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similar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capitalized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methods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requires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decision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061"/>
            <w:tcMar>
              <w:top w:type="dxa" w:w="50"/>
              <w:left w:type="dxa" w:w="110"/>
              <w:bottom w:type="dxa" w:w="50"/>
              <w:right w:type="dxa" w:w="110"/>
            </w:tcMar>
          </w:tcPr>
          <w:p>
            <w:pPr>
              <w:spacing w:before="28" w:after="28"/>
            </w:pPr>
            <w:r>
              <w:rPr>
                <w:sz w:val="15"/>
                <w:szCs w:val="15"/>
              </w:rPr>
              <w:t xml:space="preserve">Year 2</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Year 3</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061"/>
            <w:tcMar>
              <w:top w:type="dxa" w:w="50"/>
              <w:left w:type="dxa" w:w="110"/>
              <w:bottom w:type="dxa" w:w="50"/>
              <w:right w:type="dxa" w:w="110"/>
            </w:tcMar>
          </w:tcPr>
          <w:p>
            <w:pPr>
              <w:spacing w:before="28" w:after="28"/>
            </w:pPr>
            <w:r>
              <w:rPr>
                <w:sz w:val="15"/>
                <w:szCs w:val="15"/>
              </w:rPr>
              <w:t xml:space="preserve">Year 4</w:t>
            </w:r>
          </w:p>
        </w:tc>
        <w:tc>
          <w:tcPr>
            <w:tcW w:type="pct" w:w="2939"/>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061"/>
            <w:tcMar>
              <w:top w:type="dxa" w:w="50"/>
              <w:left w:type="dxa" w:w="110"/>
              <w:bottom w:type="dxa" w:w="50"/>
              <w:right w:type="dxa" w:w="110"/>
            </w:tcMar>
          </w:tcPr>
          <w:p>
            <w:pPr>
              <w:spacing w:before="28" w:after="28"/>
            </w:pPr>
            <w:r>
              <w:rPr>
                <w:sz w:val="15"/>
                <w:szCs w:val="15"/>
              </w:rPr>
              <w:t xml:space="preserve">P</w:t>
            </w:r>
          </w:p>
        </w:tc>
        <w:tc>
          <w:tcPr>
            <w:tcW w:type="pct" w:w="2939"/>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W</w:t>
            </w:r>
          </w:p>
        </w:tc>
        <w:tc>
          <w:tcPr>
            <w:tcW w:type="pct" w:w="29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061"/>
            <w:tcMar>
              <w:top w:type="dxa" w:w="50"/>
              <w:left w:type="dxa" w:w="110"/>
              <w:bottom w:type="dxa" w:w="50"/>
              <w:right w:type="dxa" w:w="110"/>
            </w:tcMar>
          </w:tcPr>
          <w:p>
            <w:pPr>
              <w:spacing w:before="28" w:after="28"/>
            </w:pPr>
            <w:r>
              <w:rPr>
                <w:sz w:val="15"/>
                <w:szCs w:val="15"/>
              </w:rPr>
              <w:t xml:space="preserve">B</w:t>
            </w:r>
          </w:p>
        </w:tc>
        <w:tc>
          <w:tcPr>
            <w:tcW w:type="pct" w:w="2939"/>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G</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061"/>
            <w:tcMar>
              <w:top w:type="dxa" w:w="50"/>
              <w:left w:type="dxa" w:w="110"/>
              <w:bottom w:type="dxa" w:w="50"/>
              <w:right w:type="dxa" w:w="110"/>
            </w:tcMar>
          </w:tcPr>
          <w:p>
            <w:pPr>
              <w:spacing w:before="28" w:after="28"/>
            </w:pPr>
            <w:r>
              <w:rPr>
                <w:sz w:val="15"/>
                <w:szCs w:val="15"/>
              </w:rPr>
              <w:t xml:space="preserve">V</w:t>
            </w:r>
          </w:p>
        </w:tc>
        <w:tc>
          <w:tcPr>
            <w:tcW w:type="pct" w:w="2939"/>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dcbb9c4a2e7540e1c2301bc3f0bf97b8801a4c5.png" Type="http://schemas.openxmlformats.org/officeDocument/2006/relationships/image"/><Relationship Id="rId102" Target="media/17ea0cd187a8c59a19dadc24d70faedf951fefac.png" Type="http://schemas.openxmlformats.org/officeDocument/2006/relationships/image"/><Relationship Id="rId103" Target="media/19a8f0638aa75a07518ee3e0a832d7a465424ec1.png" Type="http://schemas.openxmlformats.org/officeDocument/2006/relationships/image"/><Relationship Id="rId104" Target="media/e1b630ad262b1fe8c2900059e66f27b8c0ccccca.png" Type="http://schemas.openxmlformats.org/officeDocument/2006/relationships/image"/><Relationship Id="rId105" Target="media/95239b04230276ae52a00ec91eabbdc4c70fb25b.png" Type="http://schemas.openxmlformats.org/officeDocument/2006/relationships/image"/><Relationship Id="rId106" Target="media/ed46f9f1b2f5c2affe6908cc38b9197f1f9c1ac1.png" Type="http://schemas.openxmlformats.org/officeDocument/2006/relationships/image"/><Relationship Id="rId107" Target="media/d6466bce8f3cbfbee9aa4c85c55b95d20c73caac.png" Type="http://schemas.openxmlformats.org/officeDocument/2006/relationships/image"/><Relationship Id="rId108" Target="media/7baeafa82b15f970f354c6cd19a3a59e468fdc8f.png" Type="http://schemas.openxmlformats.org/officeDocument/2006/relationships/image"/><Relationship Id="rId109" Target="media/9dd87b9b12328c77c7e0e2a46945795ac59aa9ed.png" Type="http://schemas.openxmlformats.org/officeDocument/2006/relationships/image"/><Relationship Id="rId110" Target="media/b819ac729341c143b12fa1b08044c1bb717f0a9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