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Steps 3 and 4: the transaction price and its a   ·   Step 5: recognizing revenue over time or at a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Revenue is the inflow from a company's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at or after 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ASC 606 applies one model to all contracts with customers: goods, services, construction and software. </w:t>
      </w:r>
      <w:r>
        <w:rPr>
          <w:sz w:val="19"/>
          <w:szCs w:val="19"/>
        </w:rPr>
        <w:t xml:space="preserve">The model has five steps.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transfers   ·   therefore   ·   moment   ·   recognizes   ·   entitled   ·   direct   ·   activities   ·   arrive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 5: recognizing revenue over time or at a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The model has five steps. Each step answers one question, and each uses the answer to the step before.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obligations. </w:t>
      </w:r>
      <w:r>
        <w:rPr>
          <w:sz w:val="19"/>
          <w:szCs w:val="19"/>
        </w:rPr>
        <w:t xml:space="preserve">Each promise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distinct good or service is a separate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contract, not highly dependent on other promises.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obligation   ·   higher   ·   identifiable   ·   performance   ·   substantially   ·   question   ·   criteria   ·   meaning   ·   consideration   ·   commercial   ·   revenue   ·   transfer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2042"/>
            <w:tcMar>
              <w:top w:type="dxa" w:w="50"/>
              <w:left w:type="dxa" w:w="110"/>
              <w:bottom w:type="dxa" w:w="50"/>
              <w:right w:type="dxa" w:w="110"/>
            </w:tcMar>
          </w:tcPr>
          <w:p>
            <w:pPr>
              <w:spacing w:before="28" w:after="28"/>
            </w:pPr>
            <w:r>
              <w:rPr>
                <w:sz w:val="15"/>
                <w:szCs w:val="15"/>
              </w:rPr>
              <w:t xml:space="preserve">1. Identify the contract</w:t>
            </w:r>
          </w:p>
        </w:tc>
        <w:tc>
          <w:tcPr>
            <w:tcW w:type="pct" w:w="2200"/>
            <w:tcMar>
              <w:top w:type="dxa" w:w="50"/>
              <w:left w:type="dxa" w:w="110"/>
              <w:bottom w:type="dxa" w:w="50"/>
              <w:right w:type="dxa" w:w="110"/>
            </w:tcMar>
          </w:tcPr>
          <w:p>
            <w:pPr>
              <w:spacing w:before="28" w:after="28"/>
            </w:pPr>
            <w:r>
              <w:rPr>
                <w:sz w:val="15"/>
                <w:szCs w:val="15"/>
              </w:rPr>
              <w:t xml:space="preserve">A signed agreement for olive oil, a dispenser and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payment terms clear; collection probable.</w:t>
            </w:r>
          </w:p>
        </w:tc>
        <w:tc>
          <w:tcPr>
            <w:tcW w:type="pct" w:w="758"/>
            <w:tcMar>
              <w:top w:type="dxa" w:w="50"/>
              <w:left w:type="dxa" w:w="110"/>
              <w:bottom w:type="dxa" w:w="50"/>
              <w:right w:type="dxa" w:w="110"/>
            </w:tcMar>
          </w:tcPr>
          <w:p>
            <w:pPr>
              <w:spacing w:before="28" w:after="28"/>
            </w:pPr>
            <w:r>
              <w:rPr>
                <w:sz w:val="15"/>
                <w:szCs w:val="15"/>
              </w:rPr>
              <w:t xml:space="preserve">Contract exists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2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42"/>
            <w:tcMar>
              <w:top w:type="dxa" w:w="50"/>
              <w:left w:type="dxa" w:w="110"/>
              <w:bottom w:type="dxa" w:w="50"/>
              <w:right w:type="dxa" w:w="110"/>
            </w:tcMar>
          </w:tcPr>
          <w:p>
            <w:pPr>
              <w:spacing w:before="28" w:after="28"/>
            </w:pPr>
            <w:r>
              <w:rPr>
                <w:sz w:val="15"/>
                <w:szCs w:val="15"/>
              </w:rPr>
              <w:t xml:space="preserve">3. Determine the transaction price</w:t>
            </w:r>
          </w:p>
        </w:tc>
        <w:tc>
          <w:tcPr>
            <w:tcW w:type="pct" w:w="22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758"/>
            <w:tcMar>
              <w:top w:type="dxa" w:w="50"/>
              <w:left w:type="dxa" w:w="110"/>
              <w:bottom w:type="dxa" w:w="50"/>
              <w:right w:type="dxa" w:w="110"/>
            </w:tcMar>
          </w:tcPr>
          <w:p>
            <w:pPr>
              <w:spacing w:before="28" w:after="28"/>
            </w:pPr>
            <w:r>
              <w:rPr>
                <w:sz w:val="15"/>
                <w:szCs w:val="15"/>
              </w:rPr>
              <w:t xml:space="preserve">1,080,000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200"/>
            <w:shd w:fill="FBFAF6" w:val="clear"/>
            <w:tcMar>
              <w:top w:type="dxa" w:w="50"/>
              <w:left w:type="dxa" w:w="110"/>
              <w:bottom w:type="dxa" w:w="50"/>
              <w:right w:type="dxa" w:w="110"/>
            </w:tcMar>
          </w:tcPr>
          <w:p>
            <w:pPr>
              <w:spacing w:before="28" w:after="28"/>
            </w:pPr>
            <w:r>
              <w:rPr>
                <w:sz w:val="15"/>
                <w:szCs w:val="15"/>
              </w:rPr>
              <w:t xml:space="preserve">Relative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selling prices totalling 1,200,000; each obligation gets 90%.</w:t>
            </w:r>
          </w:p>
        </w:tc>
        <w:tc>
          <w:tcPr>
            <w:tcW w:type="pct" w:w="758"/>
            <w:shd w:fill="FBFAF6" w:val="clear"/>
            <w:tcMar>
              <w:top w:type="dxa" w:w="50"/>
              <w:left w:type="dxa" w:w="110"/>
              <w:bottom w:type="dxa" w:w="50"/>
              <w:right w:type="dxa" w:w="110"/>
            </w:tcMar>
          </w:tcPr>
          <w:p>
            <w:pPr>
              <w:spacing w:before="28" w:after="28"/>
            </w:pPr>
            <w:r>
              <w:rPr>
                <w:sz w:val="15"/>
                <w:szCs w:val="15"/>
              </w:rPr>
              <w:t xml:space="preserve">810,000 / 180,000 / 90,000</w:t>
            </w:r>
          </w:p>
        </w:tc>
      </w:tr>
      <w:tr>
        <w:tc>
          <w:tcPr>
            <w:tcW w:type="pct" w:w="2042"/>
            <w:tcMar>
              <w:top w:type="dxa" w:w="50"/>
              <w:left w:type="dxa" w:w="110"/>
              <w:bottom w:type="dxa" w:w="50"/>
              <w:right w:type="dxa" w:w="110"/>
            </w:tcMar>
          </w:tcPr>
          <w:p>
            <w:pPr>
              <w:spacing w:before="28" w:after="28"/>
            </w:pPr>
            <w:r>
              <w:rPr>
                <w:sz w:val="15"/>
                <w:szCs w:val="15"/>
              </w:rPr>
              <w:t xml:space="preserve">5. Recognize revenue</w:t>
            </w:r>
          </w:p>
        </w:tc>
        <w:tc>
          <w:tcPr>
            <w:tcW w:type="pct" w:w="2200"/>
            <w:tcMar>
              <w:top w:type="dxa" w:w="50"/>
              <w:left w:type="dxa" w:w="110"/>
              <w:bottom w:type="dxa" w:w="50"/>
              <w:right w:type="dxa" w:w="110"/>
            </w:tcMar>
          </w:tcPr>
          <w:p>
            <w:pPr>
              <w:spacing w:before="28" w:after="28"/>
            </w:pPr>
            <w:r>
              <w:rPr>
                <w:sz w:val="15"/>
                <w:szCs w:val="15"/>
              </w:rPr>
              <w:t xml:space="preserve">Oil and dispenser: at delivery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Maintenance: over 24 months (over time).</w:t>
            </w:r>
          </w:p>
        </w:tc>
        <w:tc>
          <w:tcPr>
            <w:tcW w:type="pct" w:w="758"/>
            <w:tcMar>
              <w:top w:type="dxa" w:w="50"/>
              <w:left w:type="dxa" w:w="110"/>
              <w:bottom w:type="dxa" w:w="50"/>
              <w:right w:type="dxa" w:w="110"/>
            </w:tcMar>
          </w:tcPr>
          <w:p>
            <w:pPr>
              <w:spacing w:before="28" w:after="28"/>
            </w:pPr>
            <w:r>
              <w:rPr>
                <w:sz w:val="15"/>
                <w:szCs w:val="15"/>
              </w:rPr>
              <w:t xml:space="preserve">2026: 515,250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point in time   ·   Three obligations   ·   maintenance   ·   standalone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In U.S. GAAP, probable means likely to occur: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only a little more likely than not fails the U.S. contract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service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التزام الأداء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identifiable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point in time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using the expected value, for many possible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Variable amounts are included only to the extent that a significant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revenue is 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later. </w:t>
      </w:r>
      <w:r>
        <w:rPr>
          <w:sz w:val="19"/>
          <w:szCs w:val="19"/>
        </w:rPr>
        <w:t xml:space="preserve">This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variable consideration. </w:t>
      </w:r>
      <w:r>
        <w:rPr>
          <w:sz w:val="19"/>
          <w:szCs w:val="19"/>
        </w:rPr>
        <w:t xml:space="preserve">Three other items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significant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component is removed when payment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customer, such as a slotting fee paid to a supermarket for shelf space, reduces revenue. </w:t>
      </w:r>
      <w:r>
        <w:rPr>
          <w:sz w:val="19"/>
          <w:szCs w:val="19"/>
        </w:rPr>
        <w:t xml:space="preserve">Sales taxes and VAT collected may be excluded from revenue by policy. </w:t>
      </w:r>
      <w:r>
        <w:rPr>
          <w:sz w:val="19"/>
          <w:szCs w:val="19"/>
        </w:rPr>
        <w:t xml:space="preserve">Step 4: allocate the transaction price to the performance obligations in proportion to their standalone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expects   ·   constraint   ·   all-or-nothing   ·   determine   ·   delivery   ·   probable   ·   includes   ·   estimates   ·   financing   ·   rebates   ·   change   ·   reversal</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When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price is not available, the company estimates it, for example from market prices or expected cost plus a margin. </w:t>
      </w:r>
      <w:r>
        <w:rPr>
          <w:sz w:val="19"/>
          <w:szCs w:val="19"/>
        </w:rPr>
        <w:t xml:space="preserve">The residual approach is allowed only when a price is highly variable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discount is normally shared by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Each obligation therefore receives 90% of its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standalone   ·   observable   ·   obligations   ·   consideration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Revenue for each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its allocated price, not its standalone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 </w:t>
      </w:r>
      <w:r>
        <w:rPr>
          <w:sz w:val="19"/>
          <w:szCs w:val="19"/>
        </w:rPr>
        <w:t xml:space="preserve">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fee paid to a customer reduces revenue; it is not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residual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slotting   ·   probable   ·   obligation   ·   selling   ·   marketing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59"/>
        <w:gridCol w:w="4233"/>
        <w:gridCol w:w="160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958"/>
            <w:shd w:fill="353A7C" w:val="clear"/>
            <w:tcMar>
              <w:top w:type="dxa" w:w="50"/>
              <w:left w:type="dxa" w:w="110"/>
              <w:bottom w:type="dxa" w:w="50"/>
              <w:right w:type="dxa" w:w="110"/>
            </w:tcMar>
          </w:tcPr>
          <w:p>
            <w:pPr>
              <w:spacing w:before="30" w:after="30"/>
            </w:pPr>
            <w:r>
              <w:rPr>
                <w:b/>
                <w:bCs/>
                <w:color w:val="FFFFFF"/>
                <w:sz w:val="15"/>
                <w:szCs w:val="15"/>
              </w:rPr>
              <w:t xml:space="preserve">Suppose: sales of 2,400,000 with a 3% volume reb</w:t>
            </w:r>
          </w:p>
        </w:tc>
        <w:tc>
          <w:tcPr>
            <w:tcW w:type="pct" w:w="2205"/>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837"/>
            <w:shd w:fill="353A7C" w:val="clear"/>
            <w:tcMar>
              <w:top w:type="dxa" w:w="50"/>
              <w:left w:type="dxa" w:w="110"/>
              <w:bottom w:type="dxa" w:w="50"/>
              <w:right w:type="dxa" w:w="110"/>
            </w:tcMar>
          </w:tcPr>
          <w:p>
            <w:pPr>
              <w:spacing w:before="30" w:after="30"/>
            </w:pPr>
            <w:r>
              <w:rPr>
                <w:b/>
                <w:bCs/>
                <w:color w:val="FFFFFF"/>
                <w:sz w:val="15"/>
                <w:szCs w:val="15"/>
              </w:rPr>
              <w:t xml:space="preserve">Revenue (whole USD)</w:t>
            </w:r>
          </w:p>
        </w:tc>
      </w:tr>
      <w:tr>
        <w:tc>
          <w:tcPr>
            <w:tcW w:type="pct" w:w="1958"/>
            <w:tcMar>
              <w:top w:type="dxa" w:w="50"/>
              <w:left w:type="dxa" w:w="110"/>
              <w:bottom w:type="dxa" w:w="50"/>
              <w:right w:type="dxa" w:w="110"/>
            </w:tcMar>
          </w:tcPr>
          <w:p>
            <w:pPr>
              <w:spacing w:before="28" w:after="28"/>
            </w:pPr>
            <w:r>
              <w:rPr>
                <w:sz w:val="15"/>
                <w:szCs w:val="15"/>
              </w:rPr>
              <w:t xml:space="preserve">Most likely amount</w:t>
            </w:r>
          </w:p>
        </w:tc>
        <w:tc>
          <w:tcPr>
            <w:tcW w:type="pct" w:w="2205"/>
            <w:tcMar>
              <w:top w:type="dxa" w:w="50"/>
              <w:left w:type="dxa" w:w="110"/>
              <w:bottom w:type="dxa" w:w="50"/>
              <w:right w:type="dxa" w:w="110"/>
            </w:tcMar>
          </w:tcPr>
          <w:p>
            <w:pPr>
              <w:spacing w:before="28" w:after="28"/>
            </w:pPr>
            <w:r>
              <w:rPr>
                <w:sz w:val="15"/>
                <w:szCs w:val="15"/>
              </w:rPr>
              <w:t xml:space="preserve">The rebate is all or nothing, so use the single most likely outcome: the rebate is earned (70% likely).</w:t>
            </w:r>
          </w:p>
        </w:tc>
        <w:tc>
          <w:tcPr>
            <w:tcW w:type="pct" w:w="837"/>
            <w:tcMar>
              <w:top w:type="dxa" w:w="50"/>
              <w:left w:type="dxa" w:w="110"/>
              <w:bottom w:type="dxa" w:w="50"/>
              <w:right w:type="dxa" w:w="110"/>
            </w:tcMar>
          </w:tcPr>
          <w:p>
            <w:pPr>
              <w:spacing w:before="28" w:after="28"/>
            </w:pPr>
            <w:r>
              <w:rPr>
                <w:sz w:val="15"/>
                <w:szCs w:val="15"/>
              </w:rPr>
              <w:t xml:space="preserve">2,328,000</w:t>
            </w:r>
          </w:p>
        </w:tc>
      </w:tr>
      <w:tr>
        <w:tc>
          <w:tcPr>
            <w:tcW w:type="pct" w:w="1958"/>
            <w:shd w:fill="FBFAF6" w:val="clear"/>
            <w:tcMar>
              <w:top w:type="dxa" w:w="50"/>
              <w:left w:type="dxa" w:w="110"/>
              <w:bottom w:type="dxa" w:w="50"/>
              <w:right w:type="dxa" w:w="110"/>
            </w:tcMar>
          </w:tcPr>
          <w:p>
            <w:pPr>
              <w:spacing w:before="28" w:after="28"/>
            </w:pPr>
            <w:r>
              <w:rPr>
                <w:sz w:val="15"/>
                <w:szCs w:val="15"/>
              </w:rPr>
              <w:t xml:space="preserve">Expected value</w:t>
            </w:r>
          </w:p>
        </w:tc>
        <w:tc>
          <w:tcPr>
            <w:tcW w:type="pct" w:w="2205"/>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70% × 72,000 = 50,400 rebate. Best when there are many possible outcomes.</w:t>
            </w:r>
          </w:p>
        </w:tc>
        <w:tc>
          <w:tcPr>
            <w:tcW w:type="pct" w:w="837"/>
            <w:shd w:fill="FBFAF6" w:val="clear"/>
            <w:tcMar>
              <w:top w:type="dxa" w:w="50"/>
              <w:left w:type="dxa" w:w="110"/>
              <w:bottom w:type="dxa" w:w="50"/>
              <w:right w:type="dxa" w:w="110"/>
            </w:tcMar>
          </w:tcPr>
          <w:p>
            <w:pPr>
              <w:spacing w:before="28" w:after="28"/>
            </w:pPr>
            <w:r>
              <w:rPr>
                <w:sz w:val="15"/>
                <w:szCs w:val="15"/>
              </w:rPr>
              <w:t xml:space="preserve">2,349,600</w:t>
            </w:r>
          </w:p>
        </w:tc>
      </w:tr>
      <w:tr>
        <w:tc>
          <w:tcPr>
            <w:tcW w:type="pct" w:w="1958"/>
            <w:tcMar>
              <w:top w:type="dxa" w:w="50"/>
              <w:left w:type="dxa" w:w="110"/>
              <w:bottom w:type="dxa" w:w="50"/>
              <w:right w:type="dxa" w:w="110"/>
            </w:tcMar>
          </w:tcPr>
          <w:p>
            <w:pPr>
              <w:spacing w:before="28" w:after="28"/>
            </w:pPr>
            <w:r>
              <w:rPr>
                <w:sz w:val="15"/>
                <w:szCs w:val="15"/>
              </w:rPr>
              <w:t xml:space="preserve">Constraint</w:t>
            </w:r>
          </w:p>
        </w:tc>
        <w:tc>
          <w:tcPr>
            <w:tcW w:type="pct" w:w="2205"/>
            <w:tcMar>
              <w:top w:type="dxa" w:w="50"/>
              <w:left w:type="dxa" w:w="110"/>
              <w:bottom w:type="dxa" w:w="50"/>
              <w:right w:type="dxa" w:w="110"/>
            </w:tcMar>
          </w:tcPr>
          <w:p>
            <w:pPr>
              <w:spacing w:before="28" w:after="28"/>
            </w:pPr>
            <w:r>
              <w:rPr>
                <w:sz w:val="15"/>
                <w:szCs w:val="15"/>
              </w:rPr>
              <w:t xml:space="preserve">Include variable amounts only if a significant reversal of revenue is not probable later.</w:t>
            </w:r>
          </w:p>
        </w:tc>
        <w:tc>
          <w:tcPr>
            <w:tcW w:type="pct" w:w="837"/>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Probability-weighted   ·   Applies to both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variable consideration   ·   standalone selling price   ·   سعر المعاملة</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slotting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reversal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Probability-weighted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constraint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Applies to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transaction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standalone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w:t>
      </w:r>
    </w:p>
    <w:p>
      <w:pPr>
        <w:spacing w:before="20" w:after="20"/>
        <w:ind w:left="240" w:hanging="240"/>
      </w:pPr>
      <w:r>
        <w:rPr>
          <w:b/>
          <w:bCs/>
          <w:color w:val="353A7C"/>
          <w:sz w:val="15"/>
          <w:szCs w:val="15"/>
        </w:rPr>
        <w:t xml:space="preserve">Summary 2   </w:t>
      </w:r>
      <w:r>
        <w:rPr>
          <w:color w:val="6B7280"/>
          <w:sz w:val="15"/>
          <w:szCs w:val="15"/>
        </w:rPr>
        <w:t xml:space="preserve">When an observable price is not available, the company estimates it, for example from market prices or expected cost plus a margin. The residual approach is allowed only when a price is highly variable or uncertain. A discount is normally shared by all obligations. Each obligation therefore receives 90% of its standalone price.</w:t>
      </w:r>
    </w:p>
    <w:p>
      <w:pPr>
        <w:spacing w:before="20" w:after="20"/>
        <w:ind w:left="240" w:hanging="240"/>
      </w:pPr>
      <w:r>
        <w:rPr>
          <w:b/>
          <w:bCs/>
          <w:color w:val="353A7C"/>
          <w:sz w:val="15"/>
          <w:szCs w:val="15"/>
        </w:rPr>
        <w:t xml:space="preserve">Summary 3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Step 5: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revenue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improves an asset the customer controls, or if the asset has no other use and the company has a right to payment for work done so far.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time is measured by an output method, such as units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an input method, such as costs incurred. </w:t>
      </w:r>
      <w:r>
        <w:rPr>
          <w:sz w:val="19"/>
          <w:szCs w:val="19"/>
        </w:rPr>
        <w:t xml:space="preserve">If no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criterion is met, revenue is recognized at a point in time: 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Progress   ·   contract   ·   delivered   ·   control   ·   receives   ·   over-time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Olive oil is recognized at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By December 31, Orontes has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over time: 3 months of 24 at $3,750 per month, $11,250.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$564,750 will be recognized in later periods.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liability   ·   delivery   ·   delivered   ·   remaining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breakage   ·   Maintenance</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Payments rarely match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contract asset arises when the company has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but its right to payment still depends on something other than time. </w:t>
      </w:r>
      <w:r>
        <w:rPr>
          <w:sz w:val="19"/>
          <w:szCs w:val="19"/>
        </w:rPr>
        <w:t xml:space="preserve">A contract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arises when the customer pays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revenue   ·   depends   ·   performed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obligation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over-time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contract asset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 Progress over time is measured by an output method, such as units delivered, or an input method, such as costs incurred. If no over-time criterion is met, revenue is recognized at a point in time: when control passes.</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 The remaining $564,750 will be recognized in later periods.</w:t>
      </w:r>
    </w:p>
    <w:p>
      <w:pPr>
        <w:spacing w:before="20" w:after="20"/>
        <w:ind w:left="240" w:hanging="240"/>
      </w:pPr>
      <w:r>
        <w:rPr>
          <w:b/>
          <w:bCs/>
          <w:color w:val="353A7C"/>
          <w:sz w:val="15"/>
          <w:szCs w:val="15"/>
        </w:rPr>
        <w:t xml:space="preserve">Summary 3   </w:t>
      </w:r>
      <w:r>
        <w:rPr>
          <w:color w:val="6B7280"/>
          <w:sz w:val="15"/>
          <w:szCs w:val="15"/>
        </w:rPr>
        <w:t xml:space="preserve">Payments rarely match revenue. A contract asset arises when the company has performed but its right to payment still depends on something other than time. A contract liability arises when the customer pays first.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another party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must decide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 principal or an agent. </w:t>
      </w:r>
      <w:r>
        <w:rPr>
          <w:sz w:val="19"/>
          <w:szCs w:val="19"/>
        </w:rPr>
        <w:t xml:space="preserve">A principal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 or service before 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reports revenue gross. </w:t>
      </w:r>
      <w:r>
        <w:rPr>
          <w:sz w:val="19"/>
          <w:szCs w:val="19"/>
        </w:rPr>
        <w:t xml:space="preserve">An agent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sale and reports its fee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revenue. </w:t>
      </w:r>
      <w:r>
        <w:rPr>
          <w:sz w:val="19"/>
          <w:szCs w:val="19"/>
        </w:rPr>
        <w:t xml:space="preserve">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return goods,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only for goods it does not expect to be returned. </w:t>
      </w:r>
      <w:r>
        <w:rPr>
          <w:sz w:val="19"/>
          <w:szCs w:val="19"/>
        </w:rPr>
        <w:t xml:space="preserve">It records a refund liability for expected refunds and a separate asset for its right to recover the returned goods. </w:t>
      </w:r>
      <w:r>
        <w:rPr>
          <w:sz w:val="19"/>
          <w:szCs w:val="19"/>
        </w:rPr>
        <w:t xml:space="preserve">The asset and the liability are not netted.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arranges   ·   controls   ·   whether   ·   transferred   ·   commission   ·   inventory   ·   involved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9–17</w:t>
      </w:r>
    </w:p>
    <w:p>
      <w:pPr>
        <w:spacing w:before="20" w:after="20" w:line="360" w:lineRule="auto"/>
        <w:ind w:left="200"/>
      </w:pPr>
      <w:r>
        <w:rPr>
          <w:sz w:val="19"/>
          <w:szCs w:val="19"/>
        </w:rPr>
        <w:t xml:space="preserve">Control is also the test in other cases. </w:t>
      </w:r>
      <w:r>
        <w:rPr>
          <w:sz w:val="19"/>
          <w:szCs w:val="19"/>
        </w:rPr>
        <w:t xml:space="preserve">Goods sent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sold until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sells them. </w:t>
      </w: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arrangement,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right, such as loyalty points, which is a separate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part customers are not expected to use,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the cards that are used. </w:t>
      </w:r>
      <w:r>
        <w:rPr>
          <w:sz w:val="19"/>
          <w:szCs w:val="19"/>
        </w:rPr>
        <w:t xml:space="preserve">Nonrefundable upfront fees are usually deferred.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   promise   ·   revenue   ·   bill-and-hold   ·   consignment   ·   proportion   ·   separately   ·   consignee   ·   breakage   ·   obligation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An agent's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whether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الأصيل   ·   breakage   ·   agent   ·   principal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transferred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arranges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commission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principal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bill-and-hold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breakage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capitalizes   ·   related   ·   salesperson   ·   principle   ·   follow   ·   depreciated   ·   GreenBasket   ·   advertising   ·   transfers   ·   correct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Onerous contracts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17–22</w:t>
      </w:r>
    </w:p>
    <w:p>
      <w:pPr>
        <w:spacing w:before="20" w:after="20" w:line="360" w:lineRule="auto"/>
        <w:ind w:left="200"/>
      </w:pPr>
      <w:r>
        <w:rPr>
          <w:sz w:val="19"/>
          <w:szCs w:val="19"/>
        </w:rPr>
        <w:t xml:space="preserve">ASU 2025-07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how to account for shares that a customer pays as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expedient for credit losses on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contract assets; it is not testable before about January 2027. </w:t>
      </w:r>
      <w:r>
        <w:rPr>
          <w:sz w:val="19"/>
          <w:szCs w:val="19"/>
        </w:rPr>
        <w:t xml:space="preserve">Under ASC 606 the correct term is contract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applies   ·   practical   ·   expensed   ·   consideration   ·   liability   ·   explains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Contract date</w:t>
            </w:r>
          </w:p>
        </w:tc>
        <w:tc>
          <w:tcPr>
            <w:tcW w:type="pct" w:w="2600"/>
            <w:tcMar>
              <w:top w:type="dxa" w:w="50"/>
              <w:left w:type="dxa" w:w="110"/>
              <w:bottom w:type="dxa" w:w="50"/>
              <w:right w:type="dxa" w:w="110"/>
            </w:tcMar>
          </w:tcPr>
          <w:p>
            <w:pPr>
              <w:spacing w:before="28" w:after="28"/>
            </w:pPr>
            <w:r>
              <w:rPr>
                <w:sz w:val="15"/>
                <w:szCs w:val="15"/>
              </w:rPr>
              <w:t xml:space="preserve">September 1, 2026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Fixed contract price</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8" w:after="28"/>
            </w:pPr>
            <w:r>
              <w:rPr>
                <w:sz w:val="15"/>
                <w:szCs w:val="15"/>
              </w:rPr>
              <w:t xml:space="preserve">540</w:t>
            </w:r>
          </w:p>
        </w:tc>
      </w:tr>
      <w:tr>
        <w:tc>
          <w:tcPr>
            <w:tcW w:type="pct" w:w="2400"/>
            <w:tcMar>
              <w:top w:type="dxa" w:w="50"/>
              <w:left w:type="dxa" w:w="110"/>
              <w:bottom w:type="dxa" w:w="50"/>
              <w:right w:type="dxa" w:w="110"/>
            </w:tcMar>
          </w:tcPr>
          <w:p>
            <w:pPr>
              <w:spacing w:before="28" w:after="28"/>
            </w:pPr>
            <w:r>
              <w:rPr>
                <w:sz w:val="15"/>
                <w:szCs w:val="15"/>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8" w:after="28"/>
            </w:pPr>
            <w:r>
              <w:rPr>
                <w:sz w:val="15"/>
                <w:szCs w:val="15"/>
              </w:rPr>
              <w:t xml:space="preserve">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M1</w:t>
            </w:r>
          </w:p>
        </w:tc>
        <w:tc>
          <w:tcPr>
            <w:tcW w:type="pct" w:w="2600"/>
            <w:shd w:fill="FBFAF6" w:val="clear"/>
            <w:tcMar>
              <w:top w:type="dxa" w:w="50"/>
              <w:left w:type="dxa" w:w="110"/>
              <w:bottom w:type="dxa" w:w="50"/>
              <w:right w:type="dxa" w:w="110"/>
            </w:tcMar>
          </w:tcPr>
          <w:p>
            <w:pPr>
              <w:spacing w:before="28" w:after="28"/>
            </w:pPr>
            <w:r>
              <w:rPr>
                <w:sz w:val="15"/>
                <w:szCs w:val="15"/>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8" w:after="28"/>
            </w:pPr>
            <w:r>
              <w:rPr>
                <w:sz w:val="15"/>
                <w:szCs w:val="15"/>
              </w:rPr>
              <w:t xml:space="preserve">M2</w:t>
            </w:r>
          </w:p>
        </w:tc>
        <w:tc>
          <w:tcPr>
            <w:tcW w:type="pct" w:w="2600"/>
            <w:tcMar>
              <w:top w:type="dxa" w:w="50"/>
              <w:left w:type="dxa" w:w="110"/>
              <w:bottom w:type="dxa" w:w="50"/>
              <w:right w:type="dxa" w:w="110"/>
            </w:tcMar>
          </w:tcPr>
          <w:p>
            <w:pPr>
              <w:spacing w:before="28" w:after="28"/>
            </w:pPr>
            <w:r>
              <w:rPr>
                <w:sz w:val="15"/>
                <w:szCs w:val="15"/>
              </w:rPr>
              <w:t xml:space="preserve">Orontes pays Qasr 10 to list Orontes juices on hotel menus. Orontes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no distinct service.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M3</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delivers by its own trucks; control passes when the juices arrive. Orontes treats shipping as a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cost.</w:t>
            </w:r>
          </w:p>
        </w:tc>
      </w:tr>
      <w:tr>
        <w:tc>
          <w:tcPr>
            <w:tcW w:type="pct" w:w="2400"/>
            <w:tcMar>
              <w:top w:type="dxa" w:w="50"/>
              <w:left w:type="dxa" w:w="110"/>
              <w:bottom w:type="dxa" w:w="50"/>
              <w:right w:type="dxa" w:w="110"/>
            </w:tcMar>
          </w:tcPr>
          <w:p>
            <w:pPr>
              <w:spacing w:before="28" w:after="28"/>
            </w:pPr>
            <w:r>
              <w:rPr>
                <w:sz w:val="15"/>
                <w:szCs w:val="15"/>
              </w:rPr>
              <w:t xml:space="preserve">M4</w:t>
            </w:r>
          </w:p>
        </w:tc>
        <w:tc>
          <w:tcPr>
            <w:tcW w:type="pct" w:w="2600"/>
            <w:tcMar>
              <w:top w:type="dxa" w:w="50"/>
              <w:left w:type="dxa" w:w="110"/>
              <w:bottom w:type="dxa" w:w="50"/>
              <w:right w:type="dxa" w:w="110"/>
            </w:tcMar>
          </w:tcPr>
          <w:p>
            <w:pPr>
              <w:spacing w:before="28" w:after="28"/>
            </w:pPr>
            <w:r>
              <w:rPr>
                <w:sz w:val="15"/>
                <w:szCs w:val="15"/>
              </w:rPr>
              <w:t xml:space="preserve">By December 31, 2026, Qasr has paid 250. Four monthly deliveries have been made.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Qasr Hotels, a hotel chain in Amman   ·   Performance obligation   ·   fulfillment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(1,000 − 50) × $12 = 11,400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when the renewal period begins   ·   (1,000 − 50) × $20 = 19,000   ·   50 × $20 = 1,000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rebate (M1)   ·   point in time   ·   Monthly juice deliveries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مبدأ مقابلة الإيرادات بالمصروفات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Qasr Hotels, a hotel chain in Amman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fulfillment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50 × $20 = 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Monthly juice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Volume rebate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Never reversed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 when the renewal period begins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 Under ASC 606 the correct term is contract liability, and it can also arise when payment is due, not only when cash is received.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72dfe07981c75d494e7ddf8a5474f60eb117942.png" Type="http://schemas.openxmlformats.org/officeDocument/2006/relationships/image"/><Relationship Id="rId102" Target="media/3bf38548ebc9af57607458e9a8cb9944f86c4895.png" Type="http://schemas.openxmlformats.org/officeDocument/2006/relationships/image"/><Relationship Id="rId103" Target="media/276faacc22f69db430f811d8773968f6be17fc17.png" Type="http://schemas.openxmlformats.org/officeDocument/2006/relationships/image"/><Relationship Id="rId104" Target="media/12f0a22f00dd42f80fa574b8a9d150bcf196ef09.png" Type="http://schemas.openxmlformats.org/officeDocument/2006/relationships/image"/><Relationship Id="rId105" Target="media/c45ed301cf80079a8c02a6bbe5b7e0ae7600836d.png" Type="http://schemas.openxmlformats.org/officeDocument/2006/relationships/image"/><Relationship Id="rId106" Target="media/965105890a0b0e0f2efd70606d6606e6ad2833b3.png" Type="http://schemas.openxmlformats.org/officeDocument/2006/relationships/image"/><Relationship Id="rId107" Target="media/346e79b9c4429a31d43612e19e93195e6ab9bc29.png" Type="http://schemas.openxmlformats.org/officeDocument/2006/relationships/image"/><Relationship Id="rId108" Target="media/fcfb45eca7d811eb81d64b64dc59db8a3cfa597a.png" Type="http://schemas.openxmlformats.org/officeDocument/2006/relationships/image"/><Relationship Id="rId109" Target="media/5dcfd62c280437311370e2954585046c9358c7f0.png" Type="http://schemas.openxmlformats.org/officeDocument/2006/relationships/image"/><Relationship Id="rId110" Target="media/d5dff68cef7f5d77fc6cacfad65fbf605a9d073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11</dc:title>
  <dc:subject>Summary handouts</dc:subject>
  <cp:category>Student Book</cp:category>
</cp:coreProperties>
</file>