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periods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86"/>
        <w:gridCol w:w="44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701"/>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299"/>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99"/>
            <w:tcMar>
              <w:top w:type="dxa" w:w="50"/>
              <w:left w:type="dxa" w:w="110"/>
              <w:bottom w:type="dxa" w:w="50"/>
              <w:right w:type="dxa" w:w="110"/>
            </w:tcMar>
          </w:tcPr>
          <w:p>
            <w:pPr>
              <w:spacing w:before="28" w:after="28"/>
            </w:pPr>
            <w:r>
              <w:rPr>
                <w:sz w:val="15"/>
                <w:szCs w:val="15"/>
              </w:rPr>
              <w:t xml:space="preserve">3,958,800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299"/>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99"/>
            <w:tcMar>
              <w:top w:type="dxa" w:w="50"/>
              <w:left w:type="dxa" w:w="110"/>
              <w:bottom w:type="dxa" w:w="50"/>
              <w:right w:type="dxa" w:w="110"/>
            </w:tcMar>
          </w:tcPr>
          <w:p>
            <w:pPr>
              <w:spacing w:before="28" w:after="28"/>
            </w:pPr>
            <w:r>
              <w:rPr>
                <w:sz w:val="15"/>
                <w:szCs w:val="15"/>
              </w:rPr>
              <w:t xml:space="preserve">889,700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299"/>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99"/>
            <w:tcMar>
              <w:top w:type="dxa" w:w="50"/>
              <w:left w:type="dxa" w:w="110"/>
              <w:bottom w:type="dxa" w:w="50"/>
              <w:right w:type="dxa" w:w="110"/>
            </w:tcMar>
          </w:tcPr>
          <w:p>
            <w:pPr>
              <w:spacing w:before="28" w:after="28"/>
            </w:pPr>
            <w:r>
              <w:rPr>
                <w:sz w:val="15"/>
                <w:szCs w:val="15"/>
              </w:rPr>
              <w:t xml:space="preserve">839,700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299"/>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701"/>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299"/>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   deductible   ·   differences   ·   reverse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Deferred tax 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Deferred tax asset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because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permanent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13–16</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Orontes   ·   statutory   ·   equipment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39"/>
            <w:tcMar>
              <w:top w:type="dxa" w:w="50"/>
              <w:left w:type="dxa" w:w="110"/>
              <w:bottom w:type="dxa" w:w="50"/>
              <w:right w:type="dxa" w:w="110"/>
            </w:tcMar>
          </w:tcPr>
          <w:p>
            <w:pPr>
              <w:spacing w:before="28" w:after="28"/>
            </w:pPr>
            <w:r>
              <w:rPr>
                <w:sz w:val="15"/>
                <w:szCs w:val="15"/>
              </w:rPr>
              <w:t xml:space="preserve">Current tax expense</w:t>
            </w:r>
          </w:p>
        </w:tc>
        <w:tc>
          <w:tcPr>
            <w:tcW w:type="pct" w:w="1381"/>
            <w:tcMar>
              <w:top w:type="dxa" w:w="50"/>
              <w:left w:type="dxa" w:w="110"/>
              <w:bottom w:type="dxa" w:w="50"/>
              <w:right w:type="dxa" w:w="110"/>
            </w:tcMar>
          </w:tcPr>
          <w:p>
            <w:pPr>
              <w:spacing w:before="28" w:after="28"/>
            </w:pPr>
            <w:r>
              <w:rPr>
                <w:sz w:val="15"/>
                <w:szCs w:val="15"/>
              </w:rPr>
              <w:t xml:space="preserve">357,000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25% × 600,000</w:t>
            </w:r>
          </w:p>
        </w:tc>
        <w:tc>
          <w:tcPr>
            <w:tcW w:type="pct" w:w="1381"/>
            <w:shd w:fill="FBFAF6" w:val="clear"/>
            <w:tcMar>
              <w:top w:type="dxa" w:w="50"/>
              <w:left w:type="dxa" w:w="110"/>
              <w:bottom w:type="dxa" w:w="50"/>
              <w:right w:type="dxa" w:w="110"/>
            </w:tcMar>
          </w:tcPr>
          <w:p>
            <w:pPr>
              <w:spacing w:before="28" w:after="28"/>
            </w:pPr>
            <w:r>
              <w:rPr>
                <w:sz w:val="15"/>
                <w:szCs w:val="15"/>
              </w:rPr>
              <w:t xml:space="preserve">150,000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38,000</w:t>
            </w:r>
          </w:p>
        </w:tc>
        <w:tc>
          <w:tcPr>
            <w:tcW w:type="pct" w:w="1381"/>
            <w:tcMar>
              <w:top w:type="dxa" w:w="50"/>
              <w:left w:type="dxa" w:w="110"/>
              <w:bottom w:type="dxa" w:w="50"/>
              <w:right w:type="dxa" w:w="110"/>
            </w:tcMar>
          </w:tcPr>
          <w:p>
            <w:pPr>
              <w:spacing w:before="28" w:after="28"/>
            </w:pPr>
            <w:r>
              <w:rPr>
                <w:sz w:val="15"/>
                <w:szCs w:val="15"/>
              </w:rPr>
              <w:t xml:space="preserve">(9,500)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140,500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497,500</w:t>
            </w:r>
          </w:p>
        </w:tc>
        <w:tc>
          <w:tcPr>
            <w:tcW w:type="pct" w:w="1381"/>
            <w:tcMar>
              <w:top w:type="dxa" w:w="50"/>
              <w:left w:type="dxa" w:w="110"/>
              <w:bottom w:type="dxa" w:w="50"/>
              <w:right w:type="dxa" w:w="110"/>
            </w:tcMar>
          </w:tcPr>
          <w:p>
            <w:pPr>
              <w:spacing w:before="28" w:after="28"/>
            </w:pPr>
            <w:r>
              <w:rPr>
                <w:sz w:val="15"/>
                <w:szCs w:val="15"/>
              </w:rPr>
              <w:t xml:space="preserve">24.875%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Tax at the statutory rate: 25% × 2,000,000</w:t>
            </w:r>
          </w:p>
        </w:tc>
        <w:tc>
          <w:tcPr>
            <w:tcW w:type="pct" w:w="1381"/>
            <w:tcMar>
              <w:top w:type="dxa" w:w="50"/>
              <w:left w:type="dxa" w:w="110"/>
              <w:bottom w:type="dxa" w:w="50"/>
              <w:right w:type="dxa" w:w="110"/>
            </w:tcMar>
          </w:tcPr>
          <w:p>
            <w:pPr>
              <w:spacing w:before="28" w:after="28"/>
            </w:pPr>
            <w:r>
              <w:rPr>
                <w:sz w:val="15"/>
                <w:szCs w:val="15"/>
              </w:rPr>
              <w:t xml:space="preserve">500,000</w:t>
            </w:r>
          </w:p>
        </w:tc>
        <w:tc>
          <w:tcPr>
            <w:tcW w:type="pct" w:w="1381"/>
            <w:tcMar>
              <w:top w:type="dxa" w:w="50"/>
              <w:left w:type="dxa" w:w="110"/>
              <w:bottom w:type="dxa" w:w="50"/>
              <w:right w:type="dxa" w:w="110"/>
            </w:tcMar>
          </w:tcPr>
          <w:p>
            <w:pPr>
              <w:spacing w:before="28" w:after="28"/>
            </w:pPr>
            <w:r>
              <w:rPr>
                <w:sz w:val="15"/>
                <w:szCs w:val="15"/>
              </w:rPr>
              <w:t xml:space="preserve">25.000%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381"/>
            <w:shd w:fill="FBFAF6" w:val="clear"/>
            <w:tcMar>
              <w:top w:type="dxa" w:w="50"/>
              <w:left w:type="dxa" w:w="110"/>
              <w:bottom w:type="dxa" w:w="50"/>
              <w:right w:type="dxa" w:w="110"/>
            </w:tcMar>
          </w:tcPr>
          <w:p>
            <w:pPr>
              <w:spacing w:before="28" w:after="28"/>
            </w:pPr>
            <w:r>
              <w:rPr>
                <w:sz w:val="15"/>
                <w:szCs w:val="15"/>
              </w:rPr>
              <w:t xml:space="preserve">(5,000)</w:t>
            </w:r>
          </w:p>
        </w:tc>
        <w:tc>
          <w:tcPr>
            <w:tcW w:type="pct" w:w="1381"/>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39"/>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381"/>
            <w:tcMar>
              <w:top w:type="dxa" w:w="50"/>
              <w:left w:type="dxa" w:w="110"/>
              <w:bottom w:type="dxa" w:w="50"/>
              <w:right w:type="dxa" w:w="110"/>
            </w:tcMar>
          </w:tcPr>
          <w:p>
            <w:pPr>
              <w:spacing w:before="28" w:after="28"/>
            </w:pPr>
            <w:r>
              <w:rPr>
                <w:sz w:val="15"/>
                <w:szCs w:val="15"/>
              </w:rPr>
              <w:t xml:space="preserve">2,500</w:t>
            </w:r>
          </w:p>
        </w:tc>
        <w:tc>
          <w:tcPr>
            <w:tcW w:type="pct" w:w="1381"/>
            <w:tcMar>
              <w:top w:type="dxa" w:w="50"/>
              <w:left w:type="dxa" w:w="110"/>
              <w:bottom w:type="dxa" w:w="50"/>
              <w:right w:type="dxa" w:w="110"/>
            </w:tcMar>
          </w:tcPr>
          <w:p>
            <w:pPr>
              <w:spacing w:before="28" w:after="28"/>
            </w:pPr>
            <w:r>
              <w:rPr>
                <w:sz w:val="15"/>
                <w:szCs w:val="15"/>
              </w:rPr>
              <w:t xml:space="preserve">0.125%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381"/>
            <w:shd w:fill="FBFAF6" w:val="clear"/>
            <w:tcMar>
              <w:top w:type="dxa" w:w="50"/>
              <w:left w:type="dxa" w:w="110"/>
              <w:bottom w:type="dxa" w:w="50"/>
              <w:right w:type="dxa" w:w="110"/>
            </w:tcMar>
          </w:tcPr>
          <w:p>
            <w:pPr>
              <w:spacing w:before="28" w:after="28"/>
            </w:pPr>
            <w:r>
              <w:rPr>
                <w:sz w:val="15"/>
                <w:szCs w:val="15"/>
              </w:rPr>
              <w:t xml:space="preserve">497,500</w:t>
            </w:r>
          </w:p>
        </w:tc>
        <w:tc>
          <w:tcPr>
            <w:tcW w:type="pct" w:w="1381"/>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39"/>
            <w:tcMar>
              <w:top w:type="dxa" w:w="50"/>
              <w:left w:type="dxa" w:w="110"/>
              <w:bottom w:type="dxa" w:w="50"/>
              <w:right w:type="dxa" w:w="110"/>
            </w:tcMar>
          </w:tcPr>
          <w:p>
            <w:pPr>
              <w:spacing w:before="28" w:after="28"/>
            </w:pPr>
            <w:r>
              <w:rPr>
                <w:sz w:val="15"/>
                <w:szCs w:val="15"/>
              </w:rPr>
              <w:t xml:space="preserve">Tax-exempt municipal bond interest</w:t>
            </w:r>
          </w:p>
        </w:tc>
        <w:tc>
          <w:tcPr>
            <w:tcW w:type="pct" w:w="1381"/>
            <w:tcMar>
              <w:top w:type="dxa" w:w="50"/>
              <w:left w:type="dxa" w:w="110"/>
              <w:bottom w:type="dxa" w:w="50"/>
              <w:right w:type="dxa" w:w="110"/>
            </w:tcMar>
          </w:tcPr>
          <w:p>
            <w:pPr>
              <w:spacing w:before="28" w:after="28"/>
            </w:pPr>
            <w:r>
              <w:rPr>
                <w:sz w:val="15"/>
                <w:szCs w:val="15"/>
              </w:rPr>
              <w:t xml:space="preserve">Permanent</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39"/>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39"/>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Taxable income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ignored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includes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Orontes's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entities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valuation allowance is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federal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Deductible temporary difference (DTA)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756b5ba5c249e59b93298c3881977ad42325e0f.png" Type="http://schemas.openxmlformats.org/officeDocument/2006/relationships/image"/><Relationship Id="rId102" Target="media/e48f8ad27f65f10da9448b0b5d8b31c8c6afc0a5.png" Type="http://schemas.openxmlformats.org/officeDocument/2006/relationships/image"/><Relationship Id="rId103" Target="media/381c77044ec6067b4239f980c7e6f0d8011180e1.png" Type="http://schemas.openxmlformats.org/officeDocument/2006/relationships/image"/><Relationship Id="rId104" Target="media/f700317ec38426027e3b8f10f2b3c138ab56527f.png" Type="http://schemas.openxmlformats.org/officeDocument/2006/relationships/image"/><Relationship Id="rId105" Target="media/0ef6117bfdbcc52e5e01d0c9e96b7d98c3e71eb8.png" Type="http://schemas.openxmlformats.org/officeDocument/2006/relationships/image"/><Relationship Id="rId106" Target="media/dd26119acf80ffcc1d3c737b9abdc6478f03df0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13</dc:title>
  <dc:subject>Summary handouts</dc:subject>
  <cp:category>Student Book</cp:category>
</cp:coreProperties>
</file>