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9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93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It is equity, never a liability.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   ·   proportionate consolidation   ·   unrealized profit   ·   upstream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eliminated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Orontes 20,000, NCI 5,000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68"/>
        <w:gridCol w:w="45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39"/>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361"/>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39"/>
            <w:tcMar>
              <w:top w:type="dxa" w:w="50"/>
              <w:left w:type="dxa" w:w="110"/>
              <w:bottom w:type="dxa" w:w="50"/>
              <w:right w:type="dxa" w:w="110"/>
            </w:tcMar>
          </w:tcPr>
          <w:p>
            <w:pPr>
              <w:spacing w:before="28" w:after="28"/>
            </w:pPr>
            <w:r>
              <w:rPr>
                <w:sz w:val="15"/>
                <w:szCs w:val="15"/>
              </w:rPr>
              <w:t xml:space="preserve">NCI at January 1, 2027 (fair value)</w:t>
            </w:r>
          </w:p>
        </w:tc>
        <w:tc>
          <w:tcPr>
            <w:tcW w:type="pct" w:w="2361"/>
            <w:tcMar>
              <w:top w:type="dxa" w:w="50"/>
              <w:left w:type="dxa" w:w="110"/>
              <w:bottom w:type="dxa" w:w="50"/>
              <w:right w:type="dxa" w:w="110"/>
            </w:tcMar>
          </w:tcPr>
          <w:p>
            <w:pPr>
              <w:spacing w:before="28" w:after="28"/>
            </w:pPr>
            <w:r>
              <w:rPr>
                <w:sz w:val="15"/>
                <w:szCs w:val="15"/>
              </w:rPr>
              <w:t xml:space="preserve">1,900,000</w:t>
            </w:r>
          </w:p>
        </w:tc>
      </w:tr>
      <w:tr>
        <w:tc>
          <w:tcPr>
            <w:tcW w:type="pct" w:w="2639"/>
            <w:shd w:fill="FBFAF6" w:val="clear"/>
            <w:tcMar>
              <w:top w:type="dxa" w:w="50"/>
              <w:left w:type="dxa" w:w="110"/>
              <w:bottom w:type="dxa" w:w="50"/>
              <w:right w:type="dxa" w:w="110"/>
            </w:tcMar>
          </w:tcPr>
          <w:p>
            <w:pPr>
              <w:spacing w:before="28" w:after="28"/>
            </w:pPr>
            <w:r>
              <w:rPr>
                <w:sz w:val="15"/>
                <w:szCs w:val="15"/>
              </w:rPr>
              <w:t xml:space="preserve">Levant's 2027 net income</w:t>
            </w:r>
          </w:p>
        </w:tc>
        <w:tc>
          <w:tcPr>
            <w:tcW w:type="pct" w:w="2361"/>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39"/>
            <w:tcMar>
              <w:top w:type="dxa" w:w="50"/>
              <w:left w:type="dxa" w:w="110"/>
              <w:bottom w:type="dxa" w:w="50"/>
              <w:right w:type="dxa" w:w="110"/>
            </w:tcMar>
          </w:tcPr>
          <w:p>
            <w:pPr>
              <w:spacing w:before="28" w:after="28"/>
            </w:pPr>
            <w:r>
              <w:rPr>
                <w:sz w:val="15"/>
                <w:szCs w:val="15"/>
              </w:rPr>
              <w:t xml:space="preserve">Less: depreciation on the PP&amp;E step-up (1,200,000 ÷ 10 years)</w:t>
            </w:r>
          </w:p>
        </w:tc>
        <w:tc>
          <w:tcPr>
            <w:tcW w:type="pct" w:w="2361"/>
            <w:tcMar>
              <w:top w:type="dxa" w:w="50"/>
              <w:left w:type="dxa" w:w="110"/>
              <w:bottom w:type="dxa" w:w="50"/>
              <w:right w:type="dxa" w:w="110"/>
            </w:tcMar>
          </w:tcPr>
          <w:p>
            <w:pPr>
              <w:spacing w:before="28" w:after="28"/>
            </w:pPr>
            <w:r>
              <w:rPr>
                <w:sz w:val="15"/>
                <w:szCs w:val="15"/>
              </w:rPr>
              <w:t xml:space="preserve">(120,000)</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61"/>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61"/>
            <w:tcMar>
              <w:top w:type="dxa" w:w="50"/>
              <w:left w:type="dxa" w:w="110"/>
              <w:bottom w:type="dxa" w:w="50"/>
              <w:right w:type="dxa" w:w="110"/>
            </w:tcMar>
          </w:tcPr>
          <w:p>
            <w:pPr>
              <w:spacing w:before="28" w:after="28"/>
            </w:pPr>
            <w:r>
              <w:rPr>
                <w:sz w:val="15"/>
                <w:szCs w:val="15"/>
              </w:rPr>
              <w:t xml:space="preserve">________</w:t>
            </w:r>
          </w:p>
        </w:tc>
      </w:tr>
      <w:tr>
        <w:tc>
          <w:tcPr>
            <w:tcW w:type="pct" w:w="2639"/>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Adjusted net income of Levant   ·   Less: dividends paid to NCI   ·   Upstream unrealized profit (40% unsold)   ·   Less: upstream unrealized profit   ·   NCI share (20%)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elimination   ·   Downstream   ·   equity-method   ·   intercompany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Less: upstream 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Adjusted net income of 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NCI share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dividends paid to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a017e1ebbbf649361938a8cf800f166c52e6659.png" Type="http://schemas.openxmlformats.org/officeDocument/2006/relationships/image"/><Relationship Id="rId102" Target="media/5ab5dce138e136ad1f50b9018c266d193d440dc5.png" Type="http://schemas.openxmlformats.org/officeDocument/2006/relationships/image"/><Relationship Id="rId103" Target="media/73c62cce5b4ce05e4bc61761d5a0f0c55383dd33.png" Type="http://schemas.openxmlformats.org/officeDocument/2006/relationships/image"/><Relationship Id="rId104" Target="media/7fa5922cae2d4a0a3e530ecf3e9762ed89aa8a33.png" Type="http://schemas.openxmlformats.org/officeDocument/2006/relationships/image"/><Relationship Id="rId105" Target="media/3049647d6c1e0fc22a08f7b7ff5ec90e142c3937.png" Type="http://schemas.openxmlformats.org/officeDocument/2006/relationships/image"/><Relationship Id="rId106" Target="media/bbdfdd997fbc407477f3cde0be304b64fe1261ee.png" Type="http://schemas.openxmlformats.org/officeDocument/2006/relationships/image"/><Relationship Id="rId107" Target="media/818fa4282922ea543584a790d1f4091b5f45762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16</dc:title>
  <dc:subject>Summary handouts</dc:subject>
  <cp:category>Student Book</cp:category>
</cp:coreProperties>
</file>