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Porter's generic strategies · sections 2.4, 2.5, 2.7 · 42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Focus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 leadership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Review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 leadership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decide to fix or leave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Brand and wide range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Low cost per case; Levant's distribution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W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Small brand; few flavours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It is outside the company's control.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Large buyers with easy switching have strong power.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Resources and capabilities are inside the company.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An advantage must be hard to copy.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It is a favourable external condition.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SWOT is useful only when it leads to action.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The number of items does not matter.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PEST feeds the SWOT; it does not replace it.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Analysing the Environment and Choosing a Strategy: worked example · part 2 · section 2.7 · 34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0.25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Dog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Review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 quickly or leave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1.50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Focus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invest to hold the lead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0.32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invest selectively or reposition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Focus targets a narrow segment.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Lowest cost across a broad market.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Own share ÷ largest rival's share.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High growth, low relative share.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It considers more than one future.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A prepared response started by a stated event.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Relative share 1.47 in a market growing 3.0%.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Equipment is internal.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The four groups of external factors.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Other products meet the same need.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Strong forces squeeze profit.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It is inside the company and a problem.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Valuable, rare and hard to copy.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Customers pay a premium for the difference.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Analysing the Environment and Choosing a Strategy: worked example · part 3 · section 2.7 · 49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24.0%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Weakness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Opportunity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Threat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Threat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0.25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question mark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3.6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focus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contingency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15.0%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6.0%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Staff skills are internal.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That is cost leadership.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The machine is an internal resource.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Porter warned against unclear strategy.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The book gives 1.50, from 30 ÷ 20.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High relative share, low growth.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High share in a slow market brings cash with little investment.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The book gives 3.6, from 18 ÷ 5.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The book gives a study of the company's current position, inside and outside, from It feeds the SWOT.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41   </w:t>
      </w:r>
      <w:r>
        <w:rPr>
          <w:sz w:val="15"/>
          <w:szCs w:val="15"/>
        </w:rPr>
        <w:t xml:space="preserve">The book gives $1,500,000, from Best − worst.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42   </w:t>
      </w:r>
      <w:r>
        <w:rPr>
          <w:sz w:val="15"/>
          <w:szCs w:val="15"/>
        </w:rPr>
        <w:t xml:space="preserve">The trigger says when to act; the response says what to do.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43   </w:t>
      </w:r>
      <w:r>
        <w:rPr>
          <w:sz w:val="15"/>
          <w:szCs w:val="15"/>
        </w:rPr>
        <w:t xml:space="preserve">A valued difference across a broad market.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44   </w:t>
      </w:r>
      <w:r>
        <w:rPr>
          <w:sz w:val="15"/>
          <w:szCs w:val="15"/>
        </w:rPr>
        <w:t xml:space="preserve">Its advantage is only cost.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2 · Answer Keys</dc:title>
  <dc:subject>Analysing the Environment and Choosing a Strategy</dc:subject>
  <cp:category>Student Book</cp:category>
</cp:coreProperties>
</file>