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Capital Expenditure and Cash Budgets: worked example · section 9.6 · 28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$1,702,450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$2,700,000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60% of fourth-quarter sales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$600,750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$2,500,000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Plant, equipment and systems.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Installation + half the training.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So financing can be arranged in time.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cash budget gathers the cash effects of all budgets.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Customers pay according to credit terms.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Opening receivables + 40% of sales.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Capital Expenditure and Cash Budgets: worked example · part 2 · section 9.6 · 35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Cash disbursement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in the cash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Cash disbursement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in the cash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469,250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1,205,550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403,450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minimum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Depreciation uses no cash.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$900,000 would leave $358,250 after interest, below the minimum.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It changes timing, not amounts.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10% of the quarter's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Beginning cash + collections − disbursements − interest ± financing.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plans investment, not operations.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Long-term assets are capitalized.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Profit and cash differ in timing and in capital items.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Financing follows cash before financing.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Depreciation is left out.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Timing schedules come first.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Half of each quarter's purchases.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 safety margin for timing errors.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The book gives $20,000, from 8% ÷ 4 × the loan.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9 · Answer Keys</dc:title>
  <dc:subject>The Capital Expenditure and Cash Budgets</dc:subject>
  <cp:category>Student Book</cp:category>
</cp:coreProperties>
</file>