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 Forma Statements and Financing Needs: worked example · section 10.6 · 39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952,000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380,800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2,371,200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balance sheet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12.3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statement of cash flows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balance sheet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statement of cash flows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They are the budgets in financial statement form.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Both come from the same budgets and must agree.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Contribution margin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Fixed costs do not change with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A profitable plan may still miss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Not every objective is financial.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All three use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They must give the same ending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It reduced profit but used no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book gives $2,469,390, from Assets − 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Net income × payout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The loan was repaid from the year's own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Longer horizons are driven by the strategic plan.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 Forma Statements and Financing Needs: exam practice · Pro Forma Statements and Financing Needs · 36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is not a money measure.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cash budget is the source.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Only the financial ones were tested.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is the budgeted statement of financial position.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Ending cash comes straight from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(Operating income − interest) × (1 − tax rate).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New margin × cases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One assumption at a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On this measure the plan exceeds the target.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That is historical reporting.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Spending is not all financed outside.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More sales are uncollected, so cash is lower than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Buying long-term assets is investing.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Opening + net income − dividends.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10 · Answer Keys</dc:title>
  <dc:subject>Pro Forma Statements and Financing Needs</dc:subject>
  <cp:category>Student Book</cp:category>
</cp:coreProperties>
</file>