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Overhead Variances and Acting on Variances: worked example · section 14.6 · 52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0.02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$25.00 an hour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1,000 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Shorten changeovers (Book 2, Chapter 15)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100,000 jars (2,000 machine hours)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2,000 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2,260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Unplanned repair to the filling line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55,000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6,000 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83,000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Fixed overhead does not change with the driver.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Using more hours uses more variable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Actual overhead − standard rate × actual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The book gives $1,000 unfavorable, from 20 extra hours × $50.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The book gives $2,000 unfavorable, from Actual − budget.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The book gives $6,000 unfavorable, from Budget − applied.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It is charged through the fixed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48   </w:t>
      </w:r>
      <w:r>
        <w:rPr>
          <w:sz w:val="15"/>
          <w:szCs w:val="15"/>
        </w:rPr>
        <w:t xml:space="preserve">Everything except volume is grouped together.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49   </w:t>
      </w:r>
      <w:r>
        <w:rPr>
          <w:sz w:val="15"/>
          <w:szCs w:val="15"/>
        </w:rPr>
        <w:t xml:space="preserve">More incurred than applied: under-applied.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50   </w:t>
      </w:r>
      <w:r>
        <w:rPr>
          <w:sz w:val="15"/>
          <w:szCs w:val="15"/>
        </w:rPr>
        <w:t xml:space="preserve">Management by exception comes first.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51   </w:t>
      </w:r>
      <w:r>
        <w:rPr>
          <w:sz w:val="15"/>
          <w:szCs w:val="15"/>
        </w:rPr>
        <w:t xml:space="preserve">The cost has moved, not disappeared.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52   </w:t>
      </w:r>
      <w:r>
        <w:rPr>
          <w:sz w:val="15"/>
          <w:szCs w:val="15"/>
        </w:rPr>
        <w:t xml:space="preserve">$6,000 unfavorable, from producing below the denominator volume.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Overhead Variances and Acting on Variances: worked example · part 2 · section 14.6 · 49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Unfavorable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1,500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Unfavorable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1,500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Favorable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Favorable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volume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Favorable variances need causes too.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Both kinds are charged to products.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It is budgeted.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It follows the driver, not spending.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The budget is the same at any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The book gives $1,500 favorable, from $55,000 − $56,500.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The book gives $1,500 unfavorable, from 60 extra hours × $25.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The rate is set before the period begins.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More absorbed than budgeted, because output exceeded the denominator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That is the spending variance.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That is used to apply the rate, not set 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That is one column of the frame.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Standards are reviewed yearly.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The budget is unchanged.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14 · Answer Keys</dc:title>
  <dc:subject>Overhead Variances and Acting on Variances</dc:subject>
  <cp:category>Student Book</cp:category>
</cp:coreProperties>
</file>