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  Who uses financial statements, and why?</w:t>
            </w:r>
          </w:p>
          <w:p>
            <w:pPr>
              <w:spacing w:before="0" w:after="46"/>
            </w:pPr>
            <w:r>
              <w:rPr>
                <w:color w:val="E8EAF6"/>
                <w:sz w:val="16"/>
                <w:szCs w:val="16"/>
              </w:rPr>
              <w:t xml:space="preserve">Chapter 1 · section 1.1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55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25501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Who uses financial statements, and why?   ·   A first look at the four statements   ·   The building blocks: elements and the accounti   ·   The accrual basis and the matching principle</w:t>
            </w:r>
          </w:p>
        </w:tc>
      </w:tr>
    </w:tbl>
    <w:p/>
    <w:p>
      <w:pPr>
        <w:spacing w:before="44" w:after="14"/>
      </w:pPr>
      <w:r>
        <w:rPr>
          <w:b/>
          <w:bCs/>
          <w:color w:val="353A7C"/>
          <w:sz w:val="18"/>
          <w:szCs w:val="18"/>
        </w:rPr>
        <w:t xml:space="preserve">Summary 1</w:t>
      </w:r>
      <w:r>
        <w:rPr>
          <w:color w:val="6B7280"/>
          <w:sz w:val="16"/>
          <w:szCs w:val="16"/>
        </w:rPr>
        <w:t xml:space="preserve">      gaps 4–14</w:t>
      </w:r>
    </w:p>
    <w:p>
      <w:pPr>
        <w:spacing w:before="20" w:after="20" w:line="360" w:lineRule="auto"/>
        <w:ind w:left="200"/>
      </w:pPr>
      <w:r>
        <w:rPr>
          <w:sz w:val="19"/>
          <w:szCs w:val="19"/>
        </w:rPr>
        <w:t xml:space="preserve">A company collects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of facts every day: sales,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salaries and loans. </w:t>
      </w:r>
      <w:r>
        <w:rPr>
          <w:sz w:val="19"/>
          <w:szCs w:val="19"/>
        </w:rPr>
        <w:t xml:space="preserve">Financial statements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these facts in a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form for people outside the company. </w:t>
      </w:r>
      <w:r>
        <w:rPr>
          <w:sz w:val="19"/>
          <w:szCs w:val="19"/>
        </w:rPr>
        <w:t xml:space="preserve">The four main statements are 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sheet, the income statement, the statement of changes in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and the statement of cash flows. </w:t>
      </w:r>
      <w:r>
        <w:rPr>
          <w:sz w:val="19"/>
          <w:szCs w:val="19"/>
        </w:rPr>
        <w:t xml:space="preserve">Most companies prepare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financial statements. </w:t>
      </w:r>
      <w:r>
        <w:rPr>
          <w:sz w:val="19"/>
          <w:szCs w:val="19"/>
        </w:rPr>
        <w:t xml:space="preserve">These are reports for many readers at the same time, not for one special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t>
      </w:r>
      <w:r>
        <w:rPr>
          <w:sz w:val="19"/>
          <w:szCs w:val="19"/>
        </w:rPr>
        <w:t xml:space="preserve">The U.S.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framework names the most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readers. </w:t>
      </w:r>
      <w:r>
        <w:rPr>
          <w:sz w:val="19"/>
          <w:szCs w:val="19"/>
        </w:rPr>
        <w:t xml:space="preserve">The primary users are existing and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investors, lenders and other creditors. </w:t>
      </w:r>
      <w:r>
        <w:rPr>
          <w:sz w:val="19"/>
          <w:szCs w:val="19"/>
        </w:rPr>
        <w:t xml:space="preserve">They give resources (money, goods or credit) to the company. </w:t>
      </w:r>
      <w:r>
        <w:rPr>
          <w:sz w:val="19"/>
          <w:szCs w:val="19"/>
        </w:rPr>
        <w:t xml:space="preserve">They usually cannot ask the company for special reports, so they depend on the published statements. </w:t>
      </w:r>
      <w:r>
        <w:rPr>
          <w:sz w:val="19"/>
          <w:szCs w:val="19"/>
        </w:rPr>
        <w:t xml:space="preserve">Each user makes a different decision, so each user looks for different information.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general-purpose   ·   standard   ·   summarize   ·   purchases   ·   wrongly   ·   important   ·   reader   ·   equity   ·   balance   ·   conceptual   ·   thousands   ·   potential</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279"/>
        <w:gridCol w:w="1822"/>
        <w:gridCol w:w="2837"/>
        <w:gridCol w:w="2662"/>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Users of financial statements and what they need</w:t>
            </w:r>
          </w:p>
        </w:tc>
      </w:tr>
      <w:tr>
        <w:tc>
          <w:tcPr>
            <w:tcW w:type="pct" w:w="1187"/>
            <w:shd w:fill="353A7C" w:val="clear"/>
            <w:tcMar>
              <w:top w:type="dxa" w:w="50"/>
              <w:left w:type="dxa" w:w="110"/>
              <w:bottom w:type="dxa" w:w="50"/>
              <w:right w:type="dxa" w:w="110"/>
            </w:tcMar>
          </w:tcPr>
          <w:p>
            <w:pPr>
              <w:spacing w:before="30" w:after="30"/>
            </w:pPr>
            <w:r>
              <w:rPr>
                <w:b/>
                <w:bCs/>
                <w:color w:val="FFFFFF"/>
                <w:sz w:val="15"/>
                <w:szCs w:val="15"/>
              </w:rPr>
              <w:t xml:space="preserve">User</w:t>
            </w:r>
          </w:p>
        </w:tc>
        <w:tc>
          <w:tcPr>
            <w:tcW w:type="pct" w:w="949"/>
            <w:shd w:fill="353A7C" w:val="clear"/>
            <w:tcMar>
              <w:top w:type="dxa" w:w="50"/>
              <w:left w:type="dxa" w:w="110"/>
              <w:bottom w:type="dxa" w:w="50"/>
              <w:right w:type="dxa" w:w="110"/>
            </w:tcMar>
          </w:tcPr>
          <w:p>
            <w:pPr>
              <w:spacing w:before="30" w:after="30"/>
            </w:pPr>
            <w:r>
              <w:rPr>
                <w:b/>
                <w:bCs/>
                <w:color w:val="FFFFFF"/>
                <w:sz w:val="15"/>
                <w:szCs w:val="15"/>
              </w:rPr>
              <w:t xml:space="preserve">Decision</w:t>
            </w:r>
          </w:p>
        </w:tc>
        <w:tc>
          <w:tcPr>
            <w:tcW w:type="pct" w:w="1478"/>
            <w:shd w:fill="353A7C" w:val="clear"/>
            <w:tcMar>
              <w:top w:type="dxa" w:w="50"/>
              <w:left w:type="dxa" w:w="110"/>
              <w:bottom w:type="dxa" w:w="50"/>
              <w:right w:type="dxa" w:w="110"/>
            </w:tcMar>
          </w:tcPr>
          <w:p>
            <w:pPr>
              <w:spacing w:before="30" w:after="30"/>
            </w:pPr>
            <w:r>
              <w:rPr>
                <w:b/>
                <w:bCs/>
                <w:color w:val="FFFFFF"/>
                <w:sz w:val="15"/>
                <w:szCs w:val="15"/>
              </w:rPr>
              <w:t xml:space="preserve">Key question</w:t>
            </w:r>
          </w:p>
        </w:tc>
        <w:tc>
          <w:tcPr>
            <w:tcW w:type="pct" w:w="1387"/>
            <w:shd w:fill="353A7C" w:val="clear"/>
            <w:tcMar>
              <w:top w:type="dxa" w:w="50"/>
              <w:left w:type="dxa" w:w="110"/>
              <w:bottom w:type="dxa" w:w="50"/>
              <w:right w:type="dxa" w:w="110"/>
            </w:tcMar>
          </w:tcPr>
          <w:p>
            <w:pPr>
              <w:spacing w:before="30" w:after="30"/>
            </w:pPr>
            <w:r>
              <w:rPr>
                <w:b/>
                <w:bCs/>
                <w:color w:val="FFFFFF"/>
                <w:sz w:val="15"/>
                <w:szCs w:val="15"/>
              </w:rPr>
              <w:t xml:space="preserve">Statements used most</w:t>
            </w:r>
          </w:p>
        </w:tc>
      </w:tr>
      <w:tr>
        <w:tc>
          <w:tcPr>
            <w:tcW w:type="pct" w:w="1187"/>
            <w:tcMar>
              <w:top w:type="dxa" w:w="50"/>
              <w:left w:type="dxa" w:w="110"/>
              <w:bottom w:type="dxa" w:w="50"/>
              <w:right w:type="dxa" w:w="110"/>
            </w:tcMar>
          </w:tcPr>
          <w:p>
            <w:pPr>
              <w:spacing w:before="28" w:after="28"/>
            </w:pPr>
            <w:r>
              <w:rPr>
                <w:sz w:val="15"/>
                <w:szCs w:val="15"/>
              </w:rPr>
              <w:t xml:space="preserve">Investors (shareholders) — PRIMARY</w:t>
            </w:r>
          </w:p>
        </w:tc>
        <w:tc>
          <w:tcPr>
            <w:tcW w:type="pct" w:w="949"/>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1478"/>
            <w:tcMar>
              <w:top w:type="dxa" w:w="50"/>
              <w:left w:type="dxa" w:w="110"/>
              <w:bottom w:type="dxa" w:w="50"/>
              <w:right w:type="dxa" w:w="110"/>
            </w:tcMar>
          </w:tcPr>
          <w:p>
            <w:pPr>
              <w:spacing w:before="28" w:after="28"/>
            </w:pPr>
            <w:r>
              <w:rPr>
                <w:sz w:val="15"/>
                <w:szCs w:val="15"/>
              </w:rPr>
              <w:t xml:space="preserve">Will the company create future cash flows and returns?</w:t>
            </w:r>
          </w:p>
        </w:tc>
        <w:tc>
          <w:tcPr>
            <w:tcW w:type="pct" w:w="1387"/>
            <w:tcMar>
              <w:top w:type="dxa" w:w="50"/>
              <w:left w:type="dxa" w:w="110"/>
              <w:bottom w:type="dxa" w:w="50"/>
              <w:right w:type="dxa" w:w="110"/>
            </w:tcMar>
          </w:tcPr>
          <w:p>
            <w:pPr>
              <w:spacing w:before="28" w:after="28"/>
            </w:pPr>
            <w:r>
              <w:rPr>
                <w:sz w:val="15"/>
                <w:szCs w:val="15"/>
              </w:rPr>
              <w:t xml:space="preserve">Income statement, cash flows, balance sheet</w:t>
            </w:r>
          </w:p>
        </w:tc>
      </w:tr>
      <w:tr>
        <w:tc>
          <w:tcPr>
            <w:tcW w:type="pct" w:w="1187"/>
            <w:shd w:fill="FBFAF6" w:val="clear"/>
            <w:tcMar>
              <w:top w:type="dxa" w:w="50"/>
              <w:left w:type="dxa" w:w="110"/>
              <w:bottom w:type="dxa" w:w="50"/>
              <w:right w:type="dxa" w:w="110"/>
            </w:tcMar>
          </w:tcPr>
          <w:p>
            <w:pPr>
              <w:spacing w:before="28" w:after="28"/>
            </w:pPr>
            <w:r>
              <w:rPr>
                <w:sz w:val="15"/>
                <w:szCs w:val="15"/>
              </w:rPr>
              <w:t xml:space="preserve">Lenders (banks, bondholders) — PRIMARY</w:t>
            </w:r>
          </w:p>
        </w:tc>
        <w:tc>
          <w:tcPr>
            <w:tcW w:type="pct" w:w="949"/>
            <w:shd w:fill="FBFAF6" w:val="clear"/>
            <w:tcMar>
              <w:top w:type="dxa" w:w="50"/>
              <w:left w:type="dxa" w:w="110"/>
              <w:bottom w:type="dxa" w:w="50"/>
              <w:right w:type="dxa" w:w="110"/>
            </w:tcMar>
          </w:tcPr>
          <w:p>
            <w:pPr>
              <w:spacing w:before="28" w:after="28"/>
            </w:pPr>
            <w:r>
              <w:rPr>
                <w:sz w:val="15"/>
                <w:szCs w:val="15"/>
              </w:rPr>
              <w:t xml:space="preserve">Lend, renew or stop a loan</w:t>
            </w:r>
          </w:p>
        </w:tc>
        <w:tc>
          <w:tcPr>
            <w:tcW w:type="pct" w:w="1478"/>
            <w:shd w:fill="FBFAF6" w:val="clear"/>
            <w:tcMar>
              <w:top w:type="dxa" w:w="50"/>
              <w:left w:type="dxa" w:w="110"/>
              <w:bottom w:type="dxa" w:w="50"/>
              <w:right w:type="dxa" w:w="110"/>
            </w:tcMar>
          </w:tcPr>
          <w:p>
            <w:pPr>
              <w:spacing w:before="28" w:after="28"/>
            </w:pPr>
            <w:r>
              <w:rPr>
                <w:sz w:val="15"/>
                <w:szCs w:val="15"/>
              </w:rPr>
              <w:t xml:space="preserve">Can the company pay interest and repay the </w:t>
            </w:r>
            <w:r>
              <w:rPr>
                <w:b/>
                <w:bCs/>
                <w:color w:val="8186EF"/>
                <w:sz w:val="14"/>
                <w:szCs w:val="14"/>
              </w:rPr>
              <w:t xml:space="preserve"> (16) </w:t>
            </w:r>
            <w:r>
              <w:rPr>
                <w:u w:val="single"/>
                <w:sz w:val="15"/>
                <w:szCs w:val="15"/>
              </w:rPr>
              <w:t xml:space="preserve">              </w:t>
            </w:r>
            <w:r>
              <w:rPr>
                <w:sz w:val="15"/>
                <w:szCs w:val="15"/>
              </w:rPr>
              <w:t xml:space="preserve"> </w:t>
            </w:r>
            <w:r>
              <w:rPr>
                <w:sz w:val="15"/>
                <w:szCs w:val="15"/>
              </w:rPr>
              <w:t xml:space="preserve"> on time?</w:t>
            </w:r>
          </w:p>
        </w:tc>
        <w:tc>
          <w:tcPr>
            <w:tcW w:type="pct" w:w="1387"/>
            <w:shd w:fill="FBFAF6" w:val="clear"/>
            <w:tcMar>
              <w:top w:type="dxa" w:w="50"/>
              <w:left w:type="dxa" w:w="110"/>
              <w:bottom w:type="dxa" w:w="50"/>
              <w:right w:type="dxa" w:w="110"/>
            </w:tcMar>
          </w:tcPr>
          <w:p>
            <w:pPr>
              <w:spacing w:before="28" w:after="28"/>
            </w:pPr>
            <w:r>
              <w:rPr>
                <w:sz w:val="15"/>
                <w:szCs w:val="15"/>
              </w:rPr>
              <w:t xml:space="preserve">Cash flows, balance sheet</w:t>
            </w:r>
          </w:p>
        </w:tc>
      </w:tr>
      <w:tr>
        <w:tc>
          <w:tcPr>
            <w:tcW w:type="pct" w:w="1187"/>
            <w:tcMar>
              <w:top w:type="dxa" w:w="50"/>
              <w:left w:type="dxa" w:w="110"/>
              <w:bottom w:type="dxa" w:w="50"/>
              <w:right w:type="dxa" w:w="110"/>
            </w:tcMar>
          </w:tcPr>
          <w:p>
            <w:pPr>
              <w:spacing w:before="28" w:after="28"/>
            </w:pPr>
            <w:r>
              <w:rPr>
                <w:sz w:val="15"/>
                <w:szCs w:val="15"/>
              </w:rPr>
              <w:t xml:space="preserve">Other creditors (suppliers) — PRIMARY</w:t>
            </w:r>
          </w:p>
        </w:tc>
        <w:tc>
          <w:tcPr>
            <w:tcW w:type="pct" w:w="949"/>
            <w:tcMar>
              <w:top w:type="dxa" w:w="50"/>
              <w:left w:type="dxa" w:w="110"/>
              <w:bottom w:type="dxa" w:w="50"/>
              <w:right w:type="dxa" w:w="110"/>
            </w:tcMar>
          </w:tcPr>
          <w:p>
            <w:pPr>
              <w:spacing w:before="28" w:after="28"/>
            </w:pPr>
            <w:r>
              <w:rPr>
                <w:sz w:val="15"/>
                <w:szCs w:val="15"/>
              </w:rPr>
              <w:t xml:space="preserve">Sell on credit, set credit terms</w:t>
            </w:r>
          </w:p>
        </w:tc>
        <w:tc>
          <w:tcPr>
            <w:tcW w:type="pct" w:w="1478"/>
            <w:shd w:fill="FFFFFF" w:val="clear"/>
            <w:tcMar>
              <w:top w:type="dxa" w:w="50"/>
              <w:left w:type="dxa" w:w="110"/>
              <w:bottom w:type="dxa" w:w="50"/>
              <w:right w:type="dxa" w:w="110"/>
            </w:tcMar>
          </w:tcPr>
          <w:p>
            <w:pPr>
              <w:spacing w:before="46" w:after="46"/>
            </w:pPr>
            <w:r>
              <w:rPr>
                <w:b/>
                <w:bCs/>
                <w:color w:val="8186EF"/>
                <w:sz w:val="14"/>
                <w:szCs w:val="14"/>
              </w:rPr>
              <w:t xml:space="preserve">(17)</w:t>
            </w:r>
          </w:p>
        </w:tc>
        <w:tc>
          <w:tcPr>
            <w:tcW w:type="pct" w:w="1387"/>
            <w:tcMar>
              <w:top w:type="dxa" w:w="50"/>
              <w:left w:type="dxa" w:w="110"/>
              <w:bottom w:type="dxa" w:w="50"/>
              <w:right w:type="dxa" w:w="110"/>
            </w:tcMar>
          </w:tcPr>
          <w:p>
            <w:pPr>
              <w:spacing w:before="28" w:after="28"/>
            </w:pPr>
            <w:r>
              <w:rPr>
                <w:sz w:val="15"/>
                <w:szCs w:val="15"/>
              </w:rPr>
              <w:t xml:space="preserve">Balance sheet (short-term items), cash flows</w:t>
            </w:r>
          </w:p>
        </w:tc>
      </w:tr>
      <w:tr>
        <w:tc>
          <w:tcPr>
            <w:tcW w:type="pct" w:w="1187"/>
            <w:shd w:fill="FBFAF6" w:val="clear"/>
            <w:tcMar>
              <w:top w:type="dxa" w:w="50"/>
              <w:left w:type="dxa" w:w="110"/>
              <w:bottom w:type="dxa" w:w="50"/>
              <w:right w:type="dxa" w:w="110"/>
            </w:tcMar>
          </w:tcPr>
          <w:p>
            <w:pPr>
              <w:spacing w:before="28" w:after="28"/>
            </w:pPr>
            <w:r>
              <w:rPr>
                <w:sz w:val="15"/>
                <w:szCs w:val="15"/>
              </w:rPr>
              <w:t xml:space="preserve">Employees and unions</w:t>
            </w:r>
          </w:p>
        </w:tc>
        <w:tc>
          <w:tcPr>
            <w:tcW w:type="pct" w:w="949"/>
            <w:shd w:fill="FBFAF6" w:val="clear"/>
            <w:tcMar>
              <w:top w:type="dxa" w:w="50"/>
              <w:left w:type="dxa" w:w="110"/>
              <w:bottom w:type="dxa" w:w="50"/>
              <w:right w:type="dxa" w:w="110"/>
            </w:tcMar>
          </w:tcPr>
          <w:p>
            <w:pPr>
              <w:spacing w:before="28" w:after="28"/>
            </w:pPr>
            <w:r>
              <w:rPr>
                <w:sz w:val="15"/>
                <w:szCs w:val="15"/>
              </w:rPr>
              <w:t xml:space="preserve">Stay, negotiate pay</w:t>
            </w:r>
          </w:p>
        </w:tc>
        <w:tc>
          <w:tcPr>
            <w:tcW w:type="pct" w:w="1478"/>
            <w:shd w:fill="FFFFFF" w:val="clear"/>
            <w:tcMar>
              <w:top w:type="dxa" w:w="50"/>
              <w:left w:type="dxa" w:w="110"/>
              <w:bottom w:type="dxa" w:w="50"/>
              <w:right w:type="dxa" w:w="110"/>
            </w:tcMar>
          </w:tcPr>
          <w:p>
            <w:pPr>
              <w:spacing w:before="46" w:after="46"/>
            </w:pPr>
            <w:r>
              <w:rPr>
                <w:b/>
                <w:bCs/>
                <w:color w:val="8186EF"/>
                <w:sz w:val="14"/>
                <w:szCs w:val="14"/>
              </w:rPr>
              <w:t xml:space="preserve">(18)</w:t>
            </w:r>
          </w:p>
        </w:tc>
        <w:tc>
          <w:tcPr>
            <w:tcW w:type="pct" w:w="1387"/>
            <w:shd w:fill="FBFAF6" w:val="clear"/>
            <w:tcMar>
              <w:top w:type="dxa" w:w="50"/>
              <w:left w:type="dxa" w:w="110"/>
              <w:bottom w:type="dxa" w:w="50"/>
              <w:right w:type="dxa" w:w="110"/>
            </w:tcMar>
          </w:tcPr>
          <w:p>
            <w:pPr>
              <w:spacing w:before="28" w:after="28"/>
            </w:pPr>
            <w:r>
              <w:rPr>
                <w:sz w:val="15"/>
                <w:szCs w:val="15"/>
              </w:rPr>
              <w:t xml:space="preserve">Income statement</w:t>
            </w:r>
          </w:p>
        </w:tc>
      </w:tr>
      <w:tr>
        <w:tc>
          <w:tcPr>
            <w:tcW w:type="pct" w:w="1187"/>
            <w:tcMar>
              <w:top w:type="dxa" w:w="50"/>
              <w:left w:type="dxa" w:w="110"/>
              <w:bottom w:type="dxa" w:w="50"/>
              <w:right w:type="dxa" w:w="110"/>
            </w:tcMar>
          </w:tcPr>
          <w:p>
            <w:pPr>
              <w:spacing w:before="28" w:after="28"/>
            </w:pPr>
            <w:r>
              <w:rPr>
                <w:sz w:val="15"/>
                <w:szCs w:val="15"/>
              </w:rPr>
              <w:t xml:space="preserve">Customers</w:t>
            </w:r>
          </w:p>
        </w:tc>
        <w:tc>
          <w:tcPr>
            <w:tcW w:type="pct" w:w="949"/>
            <w:tcMar>
              <w:top w:type="dxa" w:w="50"/>
              <w:left w:type="dxa" w:w="110"/>
              <w:bottom w:type="dxa" w:w="50"/>
              <w:right w:type="dxa" w:w="110"/>
            </w:tcMar>
          </w:tcPr>
          <w:p>
            <w:pPr>
              <w:spacing w:before="28" w:after="28"/>
            </w:pPr>
            <w:r>
              <w:rPr>
                <w:sz w:val="15"/>
                <w:szCs w:val="15"/>
              </w:rPr>
              <w:t xml:space="preserve">Sign long-term contracts</w:t>
            </w:r>
          </w:p>
        </w:tc>
        <w:tc>
          <w:tcPr>
            <w:tcW w:type="pct" w:w="1478"/>
            <w:shd w:fill="FFFFFF" w:val="clear"/>
            <w:tcMar>
              <w:top w:type="dxa" w:w="50"/>
              <w:left w:type="dxa" w:w="110"/>
              <w:bottom w:type="dxa" w:w="50"/>
              <w:right w:type="dxa" w:w="110"/>
            </w:tcMar>
          </w:tcPr>
          <w:p>
            <w:pPr>
              <w:spacing w:before="46" w:after="46"/>
            </w:pPr>
            <w:r>
              <w:rPr>
                <w:b/>
                <w:bCs/>
                <w:color w:val="8186EF"/>
                <w:sz w:val="14"/>
                <w:szCs w:val="14"/>
              </w:rPr>
              <w:t xml:space="preserve">(19)</w:t>
            </w:r>
          </w:p>
        </w:tc>
        <w:tc>
          <w:tcPr>
            <w:tcW w:type="pct" w:w="1387"/>
            <w:tcMar>
              <w:top w:type="dxa" w:w="50"/>
              <w:left w:type="dxa" w:w="110"/>
              <w:bottom w:type="dxa" w:w="50"/>
              <w:right w:type="dxa" w:w="110"/>
            </w:tcMar>
          </w:tcPr>
          <w:p>
            <w:pPr>
              <w:spacing w:before="28" w:after="28"/>
            </w:pPr>
            <w:r>
              <w:rPr>
                <w:sz w:val="15"/>
                <w:szCs w:val="15"/>
              </w:rPr>
              <w:t xml:space="preserve">Balance sheet, income statement</w:t>
            </w:r>
          </w:p>
        </w:tc>
      </w:tr>
      <w:tr>
        <w:tc>
          <w:tcPr>
            <w:tcW w:type="pct" w:w="1187"/>
            <w:shd w:fill="FBFAF6" w:val="clear"/>
            <w:tcMar>
              <w:top w:type="dxa" w:w="50"/>
              <w:left w:type="dxa" w:w="110"/>
              <w:bottom w:type="dxa" w:w="50"/>
              <w:right w:type="dxa" w:w="110"/>
            </w:tcMar>
          </w:tcPr>
          <w:p>
            <w:pPr>
              <w:spacing w:before="28" w:after="28"/>
            </w:pPr>
            <w:r>
              <w:rPr>
                <w:sz w:val="15"/>
                <w:szCs w:val="15"/>
              </w:rPr>
              <w:t xml:space="preserve">Governments and regulators</w:t>
            </w:r>
          </w:p>
        </w:tc>
        <w:tc>
          <w:tcPr>
            <w:tcW w:type="pct" w:w="949"/>
            <w:shd w:fill="FFFFFF" w:val="clear"/>
            <w:tcMar>
              <w:top w:type="dxa" w:w="50"/>
              <w:left w:type="dxa" w:w="110"/>
              <w:bottom w:type="dxa" w:w="50"/>
              <w:right w:type="dxa" w:w="110"/>
            </w:tcMar>
          </w:tcPr>
          <w:p>
            <w:pPr>
              <w:spacing w:before="46" w:after="46"/>
            </w:pPr>
            <w:r>
              <w:rPr>
                <w:b/>
                <w:bCs/>
                <w:color w:val="8186EF"/>
                <w:sz w:val="14"/>
                <w:szCs w:val="14"/>
              </w:rPr>
              <w:t xml:space="preserve">(20)</w:t>
            </w:r>
          </w:p>
        </w:tc>
        <w:tc>
          <w:tcPr>
            <w:tcW w:type="pct" w:w="1478"/>
            <w:shd w:fill="FBFAF6" w:val="clear"/>
            <w:tcMar>
              <w:top w:type="dxa" w:w="50"/>
              <w:left w:type="dxa" w:w="110"/>
              <w:bottom w:type="dxa" w:w="50"/>
              <w:right w:type="dxa" w:w="110"/>
            </w:tcMar>
          </w:tcPr>
          <w:p>
            <w:pPr>
              <w:spacing w:before="28" w:after="28"/>
            </w:pPr>
            <w:r>
              <w:rPr>
                <w:sz w:val="15"/>
                <w:szCs w:val="15"/>
              </w:rPr>
              <w:t xml:space="preserve">Does the company follow the rules and pay its taxes?</w:t>
            </w:r>
          </w:p>
        </w:tc>
        <w:tc>
          <w:tcPr>
            <w:tcW w:type="pct" w:w="1387"/>
            <w:shd w:fill="FBFAF6" w:val="clear"/>
            <w:tcMar>
              <w:top w:type="dxa" w:w="50"/>
              <w:left w:type="dxa" w:w="110"/>
              <w:bottom w:type="dxa" w:w="50"/>
              <w:right w:type="dxa" w:w="110"/>
            </w:tcMar>
          </w:tcPr>
          <w:p>
            <w:pPr>
              <w:spacing w:before="28" w:after="28"/>
            </w:pPr>
            <w:r>
              <w:rPr>
                <w:sz w:val="15"/>
                <w:szCs w:val="15"/>
              </w:rPr>
              <w:t xml:space="preserve">All statements and notes</w:t>
            </w:r>
          </w:p>
        </w:tc>
      </w:tr>
      <w:tr>
        <w:tc>
          <w:tcPr>
            <w:tcW w:type="pct" w:w="1187"/>
            <w:tcMar>
              <w:top w:type="dxa" w:w="50"/>
              <w:left w:type="dxa" w:w="110"/>
              <w:bottom w:type="dxa" w:w="50"/>
              <w:right w:type="dxa" w:w="110"/>
            </w:tcMar>
          </w:tcPr>
          <w:p>
            <w:pPr>
              <w:spacing w:before="28" w:after="28"/>
            </w:pPr>
            <w:r>
              <w:rPr>
                <w:sz w:val="15"/>
                <w:szCs w:val="15"/>
              </w:rPr>
              <w:t xml:space="preserve">Managers (internal)</w:t>
            </w:r>
          </w:p>
        </w:tc>
        <w:tc>
          <w:tcPr>
            <w:tcW w:type="pct" w:w="949"/>
            <w:tcMar>
              <w:top w:type="dxa" w:w="50"/>
              <w:left w:type="dxa" w:w="110"/>
              <w:bottom w:type="dxa" w:w="50"/>
              <w:right w:type="dxa" w:w="110"/>
            </w:tcMar>
          </w:tcPr>
          <w:p>
            <w:pPr>
              <w:spacing w:before="28" w:after="28"/>
            </w:pPr>
            <w:r>
              <w:rPr>
                <w:sz w:val="15"/>
                <w:szCs w:val="15"/>
              </w:rPr>
              <w:t xml:space="preserve">Plan and control operations</w:t>
            </w:r>
          </w:p>
        </w:tc>
        <w:tc>
          <w:tcPr>
            <w:tcW w:type="pct" w:w="1478"/>
            <w:shd w:fill="FFFFFF" w:val="clear"/>
            <w:tcMar>
              <w:top w:type="dxa" w:w="50"/>
              <w:left w:type="dxa" w:w="110"/>
              <w:bottom w:type="dxa" w:w="50"/>
              <w:right w:type="dxa" w:w="110"/>
            </w:tcMar>
          </w:tcPr>
          <w:p>
            <w:pPr>
              <w:spacing w:before="46" w:after="46"/>
            </w:pPr>
            <w:r>
              <w:rPr>
                <w:b/>
                <w:bCs/>
                <w:color w:val="8186EF"/>
                <w:sz w:val="14"/>
                <w:szCs w:val="14"/>
              </w:rPr>
              <w:t xml:space="preserve">(21)</w:t>
            </w:r>
          </w:p>
        </w:tc>
        <w:tc>
          <w:tcPr>
            <w:tcW w:type="pct" w:w="1387"/>
            <w:tcMar>
              <w:top w:type="dxa" w:w="50"/>
              <w:left w:type="dxa" w:w="110"/>
              <w:bottom w:type="dxa" w:w="50"/>
              <w:right w:type="dxa" w:w="110"/>
            </w:tcMar>
          </w:tcPr>
          <w:p>
            <w:pPr>
              <w:spacing w:before="28" w:after="28"/>
            </w:pPr>
            <w:r>
              <w:rPr>
                <w:sz w:val="15"/>
                <w:szCs w:val="15"/>
              </w:rPr>
              <w:t xml:space="preserve">Internal management reports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Tax, oversight, statistics   ·   principal   ·   Is the company stable and profitable?   ·   Buy, hold or sell shares   ·   Will the company pay its bills when due?   ·   Will the company continue to supply us?   ·   Not a primary user: can use internal reports   ·   equity</w:t>
            </w:r>
          </w:p>
        </w:tc>
      </w:tr>
    </w:tbl>
    <w:p/>
    <w:p>
      <w:pPr>
        <w:spacing w:before="44" w:after="14"/>
      </w:pPr>
      <w:r>
        <w:rPr>
          <w:b/>
          <w:bCs/>
          <w:color w:val="353A7C"/>
          <w:sz w:val="18"/>
          <w:szCs w:val="18"/>
        </w:rPr>
        <w:t xml:space="preserve">Summary 2</w:t>
      </w:r>
      <w:r>
        <w:rPr>
          <w:color w:val="6B7280"/>
          <w:sz w:val="16"/>
          <w:szCs w:val="16"/>
        </w:rPr>
        <w:t xml:space="preserve">      gaps 22–32</w:t>
      </w:r>
    </w:p>
    <w:p>
      <w:pPr>
        <w:spacing w:before="20" w:after="20" w:line="360" w:lineRule="auto"/>
        <w:ind w:left="200"/>
      </w:pPr>
      <w:r>
        <w:rPr>
          <w:sz w:val="19"/>
          <w:szCs w:val="19"/>
        </w:rPr>
        <w:t xml:space="preserve">Other groups also read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statements: employees, customers,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tax authorities and the public. </w:t>
      </w:r>
      <w:r>
        <w:rPr>
          <w:sz w:val="19"/>
          <w:szCs w:val="19"/>
        </w:rPr>
        <w:t xml:space="preserve">Managers read them too. </w:t>
      </w:r>
      <w:r>
        <w:rPr>
          <w:sz w:val="19"/>
          <w:szCs w:val="19"/>
        </w:rPr>
        <w:t xml:space="preserve">However, managers are not primary users of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statements, because they can get any internal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they need. </w:t>
      </w:r>
      <w:r>
        <w:rPr>
          <w:sz w:val="19"/>
          <w:szCs w:val="19"/>
        </w:rPr>
        <w:t xml:space="preserve"/>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for managers is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accounting, the subject of most of the CMA exam. </w:t>
      </w:r>
      <w:r>
        <w:rPr>
          <w:sz w:val="19"/>
          <w:szCs w:val="19"/>
        </w:rPr>
        <w:t xml:space="preserve">What do all these users need? In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terms, they ask three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w:t>
      </w:r>
      <w:r>
        <w:rPr>
          <w:sz w:val="19"/>
          <w:szCs w:val="19"/>
        </w:rPr>
        <w:t xml:space="preserve">What does the company have, and what does it owe? The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sheet answers this. </w:t>
      </w:r>
      <w:r>
        <w:rPr>
          <w:sz w:val="19"/>
          <w:szCs w:val="19"/>
        </w:rPr>
        <w:t xml:space="preserve">How did the company </w:t>
      </w:r>
      <w:r>
        <w:rPr>
          <w:b/>
          <w:bCs/>
          <w:color w:val="8186EF"/>
          <w:sz w:val="15"/>
          <w:szCs w:val="15"/>
        </w:rPr>
        <w:t xml:space="preserve"> (31) </w:t>
      </w:r>
      <w:r>
        <w:rPr>
          <w:u w:val="single"/>
          <w:sz w:val="19"/>
          <w:szCs w:val="19"/>
        </w:rPr>
        <w:t xml:space="preserve">           </w:t>
      </w:r>
      <w:r>
        <w:rPr>
          <w:sz w:val="19"/>
          <w:szCs w:val="19"/>
        </w:rPr>
        <w:t xml:space="preserve"> </w:t>
      </w:r>
      <w:r>
        <w:rPr>
          <w:sz w:val="19"/>
          <w:szCs w:val="19"/>
        </w:rPr>
        <w:t xml:space="preserve"> in the period? The </w:t>
      </w:r>
      <w:r>
        <w:rPr>
          <w:b/>
          <w:bCs/>
          <w:color w:val="8186EF"/>
          <w:sz w:val="15"/>
          <w:szCs w:val="15"/>
        </w:rPr>
        <w:t xml:space="preserve"> (32) </w:t>
      </w:r>
      <w:r>
        <w:rPr>
          <w:u w:val="single"/>
          <w:sz w:val="19"/>
          <w:szCs w:val="19"/>
        </w:rPr>
        <w:t xml:space="preserve">           </w:t>
      </w:r>
      <w:r>
        <w:rPr>
          <w:sz w:val="19"/>
          <w:szCs w:val="19"/>
        </w:rPr>
        <w:t xml:space="preserve"> </w:t>
      </w:r>
      <w:r>
        <w:rPr>
          <w:sz w:val="19"/>
          <w:szCs w:val="19"/>
        </w:rPr>
        <w:t xml:space="preserve"> statement answers this. </w:t>
      </w:r>
      <w:r>
        <w:rPr>
          <w:sz w:val="19"/>
          <w:szCs w:val="19"/>
        </w:rPr>
        <w:t xml:space="preserve">Where did cash come from, and where did it go? The statement of cash flows answers this. </w:t>
      </w:r>
      <w:r>
        <w:rPr>
          <w:sz w:val="19"/>
          <w:szCs w:val="19"/>
        </w:rPr>
        <w:t xml:space="preserve">Users also want to judge stewardship: how well the managers used the owners' resources.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income   ·   financial   ·   perform   ·   information   ·   management   ·   governments   ·   simple   ·   balance   ·   Reporting   ·   material   ·   questions   ·   general-purpose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What makes information useful?</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33–41</w:t>
      </w:r>
    </w:p>
    <w:p>
      <w:pPr>
        <w:spacing w:before="20" w:after="20" w:line="360" w:lineRule="auto"/>
        <w:ind w:left="200"/>
      </w:pPr>
      <w:r>
        <w:rPr>
          <w:sz w:val="19"/>
          <w:szCs w:val="19"/>
        </w:rPr>
        <w:t xml:space="preserve">The </w:t>
      </w:r>
      <w:r>
        <w:rPr>
          <w:b/>
          <w:bCs/>
          <w:color w:val="8186EF"/>
          <w:sz w:val="15"/>
          <w:szCs w:val="15"/>
        </w:rPr>
        <w:t xml:space="preserve"> (33) </w:t>
      </w:r>
      <w:r>
        <w:rPr>
          <w:u w:val="single"/>
          <w:sz w:val="19"/>
          <w:szCs w:val="19"/>
        </w:rPr>
        <w:t xml:space="preserve">            </w:t>
      </w:r>
      <w:r>
        <w:rPr>
          <w:sz w:val="19"/>
          <w:szCs w:val="19"/>
        </w:rPr>
        <w:t xml:space="preserve"> </w:t>
      </w:r>
      <w:r>
        <w:rPr>
          <w:sz w:val="19"/>
          <w:szCs w:val="19"/>
        </w:rPr>
        <w:t xml:space="preserve"> framework lists the qualities of useful information. </w:t>
      </w:r>
      <w:r>
        <w:rPr>
          <w:sz w:val="19"/>
          <w:szCs w:val="19"/>
        </w:rPr>
        <w:t xml:space="preserve">There are two </w:t>
      </w:r>
      <w:r>
        <w:rPr>
          <w:b/>
          <w:bCs/>
          <w:color w:val="8186EF"/>
          <w:sz w:val="15"/>
          <w:szCs w:val="15"/>
        </w:rPr>
        <w:t xml:space="preserve"> (34) </w:t>
      </w:r>
      <w:r>
        <w:rPr>
          <w:u w:val="single"/>
          <w:sz w:val="19"/>
          <w:szCs w:val="19"/>
        </w:rPr>
        <w:t xml:space="preserve">             </w:t>
      </w:r>
      <w:r>
        <w:rPr>
          <w:sz w:val="19"/>
          <w:szCs w:val="19"/>
        </w:rPr>
        <w:t xml:space="preserve"> </w:t>
      </w:r>
      <w:r>
        <w:rPr>
          <w:sz w:val="19"/>
          <w:szCs w:val="19"/>
        </w:rPr>
        <w:t xml:space="preserve"> qualities. </w:t>
      </w:r>
      <w:r>
        <w:rPr>
          <w:sz w:val="19"/>
          <w:szCs w:val="19"/>
        </w:rPr>
        <w:t xml:space="preserve">Relevance means the information can make a </w:t>
      </w:r>
      <w:r>
        <w:rPr>
          <w:b/>
          <w:bCs/>
          <w:color w:val="8186EF"/>
          <w:sz w:val="15"/>
          <w:szCs w:val="15"/>
        </w:rPr>
        <w:t xml:space="preserve"> (35) </w:t>
      </w:r>
      <w:r>
        <w:rPr>
          <w:u w:val="single"/>
          <w:sz w:val="19"/>
          <w:szCs w:val="19"/>
        </w:rPr>
        <w:t xml:space="preserve">            </w:t>
      </w:r>
      <w:r>
        <w:rPr>
          <w:sz w:val="19"/>
          <w:szCs w:val="19"/>
        </w:rPr>
        <w:t xml:space="preserve"> </w:t>
      </w:r>
      <w:r>
        <w:rPr>
          <w:sz w:val="19"/>
          <w:szCs w:val="19"/>
        </w:rPr>
        <w:t xml:space="preserve"> to a decision. </w:t>
      </w:r>
      <w:r>
        <w:rPr>
          <w:sz w:val="19"/>
          <w:szCs w:val="19"/>
        </w:rPr>
        <w:t xml:space="preserve">It helps users predict the future (predictive value) or check their past predictions (</w:t>
      </w:r>
      <w:r>
        <w:rPr>
          <w:b/>
          <w:bCs/>
          <w:color w:val="8186EF"/>
          <w:sz w:val="15"/>
          <w:szCs w:val="15"/>
        </w:rPr>
        <w:t xml:space="preserve"> (36) </w:t>
      </w:r>
      <w:r>
        <w:rPr>
          <w:u w:val="single"/>
          <w:sz w:val="19"/>
          <w:szCs w:val="19"/>
        </w:rPr>
        <w:t xml:space="preserve">              </w:t>
      </w:r>
      <w:r>
        <w:rPr>
          <w:sz w:val="19"/>
          <w:szCs w:val="19"/>
        </w:rPr>
        <w:t xml:space="preserve"> </w:t>
      </w:r>
      <w:r>
        <w:rPr>
          <w:sz w:val="19"/>
          <w:szCs w:val="19"/>
        </w:rPr>
        <w:t xml:space="preserve"> value). </w:t>
      </w:r>
      <w:r>
        <w:rPr>
          <w:sz w:val="19"/>
          <w:szCs w:val="19"/>
        </w:rPr>
        <w:t xml:space="preserve">Relevance includes </w:t>
      </w:r>
      <w:r>
        <w:rPr>
          <w:b/>
          <w:bCs/>
          <w:color w:val="8186EF"/>
          <w:sz w:val="15"/>
          <w:szCs w:val="15"/>
        </w:rPr>
        <w:t xml:space="preserve"> (37) </w:t>
      </w:r>
      <w:r>
        <w:rPr>
          <w:u w:val="single"/>
          <w:sz w:val="19"/>
          <w:szCs w:val="19"/>
        </w:rPr>
        <w:t xml:space="preserve">             </w:t>
      </w:r>
      <w:r>
        <w:rPr>
          <w:sz w:val="19"/>
          <w:szCs w:val="19"/>
        </w:rPr>
        <w:t xml:space="preserve"> </w:t>
      </w:r>
      <w:r>
        <w:rPr>
          <w:sz w:val="19"/>
          <w:szCs w:val="19"/>
        </w:rPr>
        <w:t xml:space="preserve">: an item is material if leaving it out or stating it wrongly could change users' decisions. </w:t>
      </w:r>
      <w:r>
        <w:rPr>
          <w:sz w:val="19"/>
          <w:szCs w:val="19"/>
        </w:rPr>
        <w:t xml:space="preserve">Faithful </w:t>
      </w:r>
      <w:r>
        <w:rPr>
          <w:b/>
          <w:bCs/>
          <w:color w:val="8186EF"/>
          <w:sz w:val="15"/>
          <w:szCs w:val="15"/>
        </w:rPr>
        <w:t xml:space="preserve"> (38) </w:t>
      </w:r>
      <w:r>
        <w:rPr>
          <w:u w:val="single"/>
          <w:sz w:val="19"/>
          <w:szCs w:val="19"/>
        </w:rPr>
        <w:t xml:space="preserve">                </w:t>
      </w:r>
      <w:r>
        <w:rPr>
          <w:sz w:val="19"/>
          <w:szCs w:val="19"/>
        </w:rPr>
        <w:t xml:space="preserve"> </w:t>
      </w:r>
      <w:r>
        <w:rPr>
          <w:sz w:val="19"/>
          <w:szCs w:val="19"/>
        </w:rPr>
        <w:t xml:space="preserve"> means the information shows what it claims to show. </w:t>
      </w:r>
      <w:r>
        <w:rPr>
          <w:sz w:val="19"/>
          <w:szCs w:val="19"/>
        </w:rPr>
        <w:t xml:space="preserve">It is </w:t>
      </w:r>
      <w:r>
        <w:rPr>
          <w:b/>
          <w:bCs/>
          <w:color w:val="8186EF"/>
          <w:sz w:val="15"/>
          <w:szCs w:val="15"/>
        </w:rPr>
        <w:t xml:space="preserve"> (39) </w:t>
      </w:r>
      <w:r>
        <w:rPr>
          <w:u w:val="single"/>
          <w:sz w:val="19"/>
          <w:szCs w:val="19"/>
        </w:rPr>
        <w:t xml:space="preserve">           </w:t>
      </w:r>
      <w:r>
        <w:rPr>
          <w:sz w:val="19"/>
          <w:szCs w:val="19"/>
        </w:rPr>
        <w:t xml:space="preserve"> </w:t>
      </w:r>
      <w:r>
        <w:rPr>
          <w:sz w:val="19"/>
          <w:szCs w:val="19"/>
        </w:rPr>
        <w:t xml:space="preserve">, neutral and free from error. </w:t>
      </w:r>
      <w:r>
        <w:rPr>
          <w:sz w:val="19"/>
          <w:szCs w:val="19"/>
        </w:rPr>
        <w:t xml:space="preserve">Four enhancing qualities make information even more useful: comparability, verifiability, timeliness and </w:t>
      </w:r>
      <w:r>
        <w:rPr>
          <w:b/>
          <w:bCs/>
          <w:color w:val="8186EF"/>
          <w:sz w:val="15"/>
          <w:szCs w:val="15"/>
        </w:rPr>
        <w:t xml:space="preserve"> (40) </w:t>
      </w:r>
      <w:r>
        <w:rPr>
          <w:u w:val="single"/>
          <w:sz w:val="19"/>
          <w:szCs w:val="19"/>
        </w:rPr>
        <w:t xml:space="preserve">                   </w:t>
      </w:r>
      <w:r>
        <w:rPr>
          <w:sz w:val="19"/>
          <w:szCs w:val="19"/>
        </w:rPr>
        <w:t xml:space="preserve"> </w:t>
      </w:r>
      <w:r>
        <w:rPr>
          <w:sz w:val="19"/>
          <w:szCs w:val="19"/>
        </w:rPr>
        <w:t xml:space="preserve">. </w:t>
      </w:r>
      <w:r>
        <w:rPr>
          <w:sz w:val="19"/>
          <w:szCs w:val="19"/>
        </w:rPr>
        <w:t xml:space="preserve">Finally, there is a cost </w:t>
      </w:r>
      <w:r>
        <w:rPr>
          <w:b/>
          <w:bCs/>
          <w:color w:val="8186EF"/>
          <w:sz w:val="15"/>
          <w:szCs w:val="15"/>
        </w:rPr>
        <w:t xml:space="preserve"> (41) </w:t>
      </w:r>
      <w:r>
        <w:rPr>
          <w:u w:val="single"/>
          <w:sz w:val="19"/>
          <w:szCs w:val="19"/>
        </w:rPr>
        <w:t xml:space="preserve">            </w:t>
      </w:r>
      <w:r>
        <w:rPr>
          <w:sz w:val="19"/>
          <w:szCs w:val="19"/>
        </w:rPr>
        <w:t xml:space="preserve"> </w:t>
      </w:r>
      <w:r>
        <w:rPr>
          <w:sz w:val="19"/>
          <w:szCs w:val="19"/>
        </w:rPr>
        <w:t xml:space="preserve">: the benefit of reporting information should be greater than its cost.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representation   ·   benefit   ·   conceptual   ·   confirmatory   ·   materiality   ·   complete   ·   fundamental   ·   constraint   ·   understandability   ·   difference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Who is a primary user?</w:t>
            </w:r>
          </w:p>
        </w:tc>
      </w:tr>
    </w:tbl>
    <w:p/>
    <w:p>
      <w:pPr>
        <w:spacing w:before="44" w:after="14"/>
      </w:pPr>
      <w:r>
        <w:rPr>
          <w:b/>
          <w:bCs/>
          <w:color w:val="353A7C"/>
          <w:sz w:val="18"/>
          <w:szCs w:val="18"/>
        </w:rPr>
        <w:t xml:space="preserve">Summary 4</w:t>
      </w:r>
      <w:r>
        <w:rPr>
          <w:color w:val="6B7280"/>
          <w:sz w:val="16"/>
          <w:szCs w:val="16"/>
        </w:rPr>
        <w:t xml:space="preserve">      gaps 42–44</w:t>
      </w:r>
    </w:p>
    <w:p>
      <w:pPr>
        <w:spacing w:before="20" w:after="20" w:line="360" w:lineRule="auto"/>
        <w:ind w:left="200"/>
      </w:pPr>
      <w:r>
        <w:rPr>
          <w:sz w:val="19"/>
          <w:szCs w:val="19"/>
        </w:rPr>
        <w:t xml:space="preserve">Primary users are </w:t>
      </w:r>
      <w:r>
        <w:rPr>
          <w:b/>
          <w:bCs/>
          <w:color w:val="8186EF"/>
          <w:sz w:val="15"/>
          <w:szCs w:val="15"/>
        </w:rPr>
        <w:t xml:space="preserve"> (42) </w:t>
      </w:r>
      <w:r>
        <w:rPr>
          <w:u w:val="single"/>
          <w:sz w:val="19"/>
          <w:szCs w:val="19"/>
        </w:rPr>
        <w:t xml:space="preserve">           </w:t>
      </w:r>
      <w:r>
        <w:rPr>
          <w:sz w:val="19"/>
          <w:szCs w:val="19"/>
        </w:rPr>
        <w:t xml:space="preserve"> </w:t>
      </w:r>
      <w:r>
        <w:rPr>
          <w:sz w:val="19"/>
          <w:szCs w:val="19"/>
        </w:rPr>
        <w:t xml:space="preserve">, lenders and other creditors. </w:t>
      </w:r>
      <w:r>
        <w:rPr>
          <w:sz w:val="19"/>
          <w:szCs w:val="19"/>
        </w:rPr>
        <w:t xml:space="preserve">Managers are users, but not primary users of </w:t>
      </w:r>
      <w:r>
        <w:rPr>
          <w:b/>
          <w:bCs/>
          <w:color w:val="8186EF"/>
          <w:sz w:val="15"/>
          <w:szCs w:val="15"/>
        </w:rPr>
        <w:t xml:space="preserve"> (43) </w:t>
      </w:r>
      <w:r>
        <w:rPr>
          <w:u w:val="single"/>
          <w:sz w:val="19"/>
          <w:szCs w:val="19"/>
        </w:rPr>
        <w:t xml:space="preserve">                 </w:t>
      </w:r>
      <w:r>
        <w:rPr>
          <w:sz w:val="19"/>
          <w:szCs w:val="19"/>
        </w:rPr>
        <w:t xml:space="preserve"> </w:t>
      </w:r>
      <w:r>
        <w:rPr>
          <w:sz w:val="19"/>
          <w:szCs w:val="19"/>
        </w:rPr>
        <w:t xml:space="preserve"> statements. </w:t>
      </w:r>
      <w:r>
        <w:rPr>
          <w:sz w:val="19"/>
          <w:szCs w:val="19"/>
        </w:rPr>
        <w:t xml:space="preserve">Also remember: </w:t>
      </w:r>
      <w:r>
        <w:rPr>
          <w:b/>
          <w:bCs/>
          <w:color w:val="8186EF"/>
          <w:sz w:val="15"/>
          <w:szCs w:val="15"/>
        </w:rPr>
        <w:t xml:space="preserve"> (44) </w:t>
      </w:r>
      <w:r>
        <w:rPr>
          <w:u w:val="single"/>
          <w:sz w:val="19"/>
          <w:szCs w:val="19"/>
        </w:rPr>
        <w:t xml:space="preserve">           </w:t>
      </w:r>
      <w:r>
        <w:rPr>
          <w:sz w:val="19"/>
          <w:szCs w:val="19"/>
        </w:rPr>
        <w:t xml:space="preserve"> </w:t>
      </w:r>
      <w:r>
        <w:rPr>
          <w:sz w:val="19"/>
          <w:szCs w:val="19"/>
        </w:rPr>
        <w:t xml:space="preserve"> and faithful representation are the two fundamental qualities. </w:t>
      </w:r>
      <w:r>
        <w:rPr>
          <w:sz w:val="19"/>
          <w:szCs w:val="19"/>
        </w:rPr>
        <w:t xml:space="preserve">Comparability, verifiability, timeliness and understandability are only enhancing qualities.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investors   ·   relevance   ·   general-purpose   ·   T-account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Five accounting verbs</w:t>
            </w:r>
          </w:p>
        </w:tc>
      </w:tr>
    </w:tbl>
    <w:p/>
    <w:p>
      <w:pPr>
        <w:spacing w:before="20" w:after="20" w:line="360" w:lineRule="auto"/>
        <w:ind w:left="200"/>
      </w:pPr>
      <w:r>
        <w:rPr>
          <w:sz w:val="19"/>
          <w:szCs w:val="19"/>
        </w:rPr>
        <w:t xml:space="preserve">These verbs have exact meanings in exam questions.</w:t>
      </w:r>
    </w:p>
    <w:p>
      <w:pPr>
        <w:spacing w:before="44" w:after="10"/>
      </w:pPr>
      <w:r>
        <w:rPr>
          <w:b/>
          <w:bCs/>
          <w:color w:val="353A7C"/>
          <w:sz w:val="18"/>
          <w:szCs w:val="18"/>
        </w:rPr>
        <w:t xml:space="preserve">Five accounting verbs</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171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17126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decide the amount of the item   ·   statements   ·   disclose   ·   record   ·   U.S. GAAP</w:t>
            </w:r>
          </w:p>
        </w:tc>
      </w:tr>
    </w:tbl>
    <w:p/>
    <w:p>
      <w:pPr>
        <w:pageBreakBefore w:val="true"/>
        <w:spacing w:after="0"/>
      </w:pPr>
      <w:r>
        <w:rPr>
          <w:sz w:val="2"/>
        </w:rPr>
        <w:t xml:space="preserve"> </w:t>
      </w:r>
    </w:p>
    <w:p>
      <w:pPr>
        <w:spacing w:before="44" w:after="14"/>
      </w:pPr>
      <w:r>
        <w:rPr>
          <w:b/>
          <w:bCs/>
          <w:color w:val="353A7C"/>
          <w:sz w:val="18"/>
          <w:szCs w:val="18"/>
        </w:rPr>
        <w:t xml:space="preserve">Summary 5</w:t>
      </w:r>
      <w:r>
        <w:rPr>
          <w:color w:val="6B7280"/>
          <w:sz w:val="16"/>
          <w:szCs w:val="16"/>
        </w:rPr>
        <w:t xml:space="preserve">      gaps 49–51</w:t>
      </w:r>
    </w:p>
    <w:p>
      <w:pPr>
        <w:spacing w:before="20" w:after="20" w:line="360" w:lineRule="auto"/>
        <w:ind w:left="200"/>
      </w:pPr>
      <w:r>
        <w:rPr>
          <w:sz w:val="19"/>
          <w:szCs w:val="19"/>
        </w:rPr>
        <w:t xml:space="preserve">Example: Orontes </w:t>
      </w:r>
      <w:r>
        <w:rPr>
          <w:b/>
          <w:bCs/>
          <w:color w:val="8186EF"/>
          <w:sz w:val="15"/>
          <w:szCs w:val="15"/>
        </w:rPr>
        <w:t xml:space="preserve"> (49) </w:t>
      </w:r>
      <w:r>
        <w:rPr>
          <w:u w:val="single"/>
          <w:sz w:val="19"/>
          <w:szCs w:val="19"/>
        </w:rPr>
        <w:t xml:space="preserve">            </w:t>
      </w:r>
      <w:r>
        <w:rPr>
          <w:sz w:val="19"/>
          <w:szCs w:val="19"/>
        </w:rPr>
        <w:t xml:space="preserve"> </w:t>
      </w:r>
      <w:r>
        <w:rPr>
          <w:sz w:val="19"/>
          <w:szCs w:val="19"/>
        </w:rPr>
        <w:t xml:space="preserve"> revenue when it delivers the goods. </w:t>
      </w:r>
      <w:r>
        <w:rPr>
          <w:sz w:val="19"/>
          <w:szCs w:val="19"/>
        </w:rPr>
        <w:t xml:space="preserve">It </w:t>
      </w:r>
      <w:r>
        <w:rPr>
          <w:b/>
          <w:bCs/>
          <w:color w:val="8186EF"/>
          <w:sz w:val="15"/>
          <w:szCs w:val="15"/>
        </w:rPr>
        <w:t xml:space="preserve"> (50) </w:t>
      </w:r>
      <w:r>
        <w:rPr>
          <w:u w:val="single"/>
          <w:sz w:val="19"/>
          <w:szCs w:val="19"/>
        </w:rPr>
        <w:t xml:space="preserve">           </w:t>
      </w:r>
      <w:r>
        <w:rPr>
          <w:sz w:val="19"/>
          <w:szCs w:val="19"/>
        </w:rPr>
        <w:t xml:space="preserve"> </w:t>
      </w:r>
      <w:r>
        <w:rPr>
          <w:sz w:val="19"/>
          <w:szCs w:val="19"/>
        </w:rPr>
        <w:t xml:space="preserve"> the revenue at the invoice price. </w:t>
      </w:r>
      <w:r>
        <w:rPr>
          <w:sz w:val="19"/>
          <w:szCs w:val="19"/>
        </w:rPr>
        <w:t xml:space="preserve">It presents revenue in the income </w:t>
      </w:r>
      <w:r>
        <w:rPr>
          <w:b/>
          <w:bCs/>
          <w:color w:val="8186EF"/>
          <w:sz w:val="15"/>
          <w:szCs w:val="15"/>
        </w:rPr>
        <w:t xml:space="preserve"> (51) </w:t>
      </w:r>
      <w:r>
        <w:rPr>
          <w:u w:val="single"/>
          <w:sz w:val="19"/>
          <w:szCs w:val="19"/>
        </w:rPr>
        <w:t xml:space="preserve">           </w:t>
      </w:r>
      <w:r>
        <w:rPr>
          <w:sz w:val="19"/>
          <w:szCs w:val="19"/>
        </w:rPr>
        <w:t xml:space="preserve"> </w:t>
      </w:r>
      <w:r>
        <w:rPr>
          <w:sz w:val="19"/>
          <w:szCs w:val="19"/>
        </w:rPr>
        <w:t xml:space="preserve">, and it discloses its revenue policy in the notes.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relevance   ·   statement   ·   measures   ·   recognizes</w:t>
            </w:r>
          </w:p>
        </w:tc>
      </w:tr>
    </w:tbl>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01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30179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faithful representation   ·   relevance   ·   materiality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financial statements</w:t>
            </w:r>
          </w:p>
        </w:tc>
        <w:tc>
          <w:tcPr>
            <w:tcW w:type="pct" w:w="2400"/>
            <w:tcMar>
              <w:top w:type="dxa" w:w="50"/>
              <w:left w:type="dxa" w:w="110"/>
              <w:bottom w:type="dxa" w:w="50"/>
              <w:right w:type="dxa" w:w="110"/>
            </w:tcMar>
          </w:tcPr>
          <w:p>
            <w:pPr>
              <w:spacing w:before="26" w:after="26"/>
            </w:pPr>
            <w:r>
              <w:rPr>
                <w:color w:val="232733"/>
                <w:sz w:val="16"/>
                <w:szCs w:val="16"/>
              </w:rPr>
              <w:t xml:space="preserve">القوائم المالية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general-purpose financial statements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القوائم المالية ذات الغرض العام</w:t>
            </w:r>
          </w:p>
        </w:tc>
      </w:tr>
      <w:tr>
        <w:tc>
          <w:tcPr>
            <w:tcW w:type="pct" w:w="2600"/>
            <w:tcMar>
              <w:top w:type="dxa" w:w="50"/>
              <w:left w:type="dxa" w:w="110"/>
              <w:bottom w:type="dxa" w:w="50"/>
              <w:right w:type="dxa" w:w="110"/>
            </w:tcMar>
          </w:tcPr>
          <w:p>
            <w:pPr>
              <w:spacing w:before="26" w:after="26"/>
            </w:pPr>
            <w:r>
              <w:rPr>
                <w:color w:val="232733"/>
                <w:sz w:val="16"/>
                <w:szCs w:val="16"/>
              </w:rPr>
              <w:t xml:space="preserve">primary users</w:t>
            </w:r>
          </w:p>
        </w:tc>
        <w:tc>
          <w:tcPr>
            <w:tcW w:type="pct" w:w="2400"/>
            <w:tcMar>
              <w:top w:type="dxa" w:w="50"/>
              <w:left w:type="dxa" w:w="110"/>
              <w:bottom w:type="dxa" w:w="50"/>
              <w:right w:type="dxa" w:w="110"/>
            </w:tcMar>
          </w:tcPr>
          <w:p>
            <w:pPr>
              <w:spacing w:before="26" w:after="26"/>
            </w:pPr>
            <w:r>
              <w:rPr>
                <w:color w:val="232733"/>
                <w:sz w:val="16"/>
                <w:szCs w:val="16"/>
              </w:rPr>
              <w:t xml:space="preserve">المستخدمون الرئيسيون</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relevance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الملاءمة</w:t>
            </w:r>
          </w:p>
        </w:tc>
      </w:tr>
      <w:tr>
        <w:tc>
          <w:tcPr>
            <w:tcW w:type="pct" w:w="2600"/>
            <w:tcMar>
              <w:top w:type="dxa" w:w="50"/>
              <w:left w:type="dxa" w:w="110"/>
              <w:bottom w:type="dxa" w:w="50"/>
              <w:right w:type="dxa" w:w="110"/>
            </w:tcMar>
          </w:tcPr>
          <w:p>
            <w:pPr>
              <w:spacing w:before="26" w:after="26"/>
            </w:pPr>
            <w:r>
              <w:rPr>
                <w:color w:val="232733"/>
                <w:sz w:val="16"/>
                <w:szCs w:val="16"/>
              </w:rPr>
              <w:t xml:space="preserve">faithful representation</w:t>
            </w:r>
          </w:p>
        </w:tc>
        <w:tc>
          <w:tcPr>
            <w:tcW w:type="pct" w:w="2400"/>
            <w:tcMar>
              <w:top w:type="dxa" w:w="50"/>
              <w:left w:type="dxa" w:w="110"/>
              <w:bottom w:type="dxa" w:w="50"/>
              <w:right w:type="dxa" w:w="110"/>
            </w:tcMar>
          </w:tcPr>
          <w:p>
            <w:pPr>
              <w:spacing w:before="26" w:after="26"/>
            </w:pPr>
            <w:r>
              <w:rPr>
                <w:color w:val="232733"/>
                <w:sz w:val="16"/>
                <w:szCs w:val="16"/>
              </w:rPr>
              <w:t xml:space="preserve">التمثيل الصادق</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materiality</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الأهمية النسبية</w:t>
            </w:r>
          </w:p>
        </w:tc>
      </w:tr>
      <w:tr>
        <w:tc>
          <w:tcPr>
            <w:tcW w:type="pct" w:w="2600"/>
            <w:tcMar>
              <w:top w:type="dxa" w:w="50"/>
              <w:left w:type="dxa" w:w="110"/>
              <w:bottom w:type="dxa" w:w="50"/>
              <w:right w:type="dxa" w:w="110"/>
            </w:tcMar>
          </w:tcPr>
          <w:p>
            <w:pPr>
              <w:spacing w:before="26" w:after="26"/>
            </w:pPr>
            <w:r>
              <w:rPr>
                <w:color w:val="232733"/>
                <w:sz w:val="16"/>
                <w:szCs w:val="16"/>
              </w:rPr>
              <w:t xml:space="preserve">recognize</w:t>
            </w:r>
          </w:p>
        </w:tc>
        <w:tc>
          <w:tcPr>
            <w:tcW w:type="pct" w:w="2400"/>
            <w:tcMar>
              <w:top w:type="dxa" w:w="50"/>
              <w:left w:type="dxa" w:w="110"/>
              <w:bottom w:type="dxa" w:w="50"/>
              <w:right w:type="dxa" w:w="110"/>
            </w:tcMar>
          </w:tcPr>
          <w:p>
            <w:pPr>
              <w:spacing w:before="26" w:after="26"/>
            </w:pPr>
            <w:r>
              <w:rPr>
                <w:color w:val="232733"/>
                <w:sz w:val="16"/>
                <w:szCs w:val="16"/>
              </w:rPr>
              <w:t xml:space="preserve">يعترف (الاعتراف)</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disclose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يُفصح (الإفصاح)</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  Who uses financial statements, and why?</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Who uses financial statements, and why?</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simple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The accrual basis and the matching principle</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questions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 first look at the four statements</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balance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thousands</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perform</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purchases</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income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summarize</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conceptual</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standard</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fundamental</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balance</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difference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equity</w:t>
            </w:r>
          </w:p>
        </w:tc>
        <w:tc>
          <w:tcPr>
            <w:tcW w:type="pct" w:w="2500"/>
            <w:tcMar>
              <w:top w:type="dxa" w:w="20"/>
              <w:left w:type="dxa" w:w="80"/>
              <w:bottom w:type="dxa" w:w="20"/>
              <w:right w:type="dxa" w:w="80"/>
            </w:tcMar>
          </w:tcPr>
          <w:p>
            <w:pPr>
              <w:spacing w:before="12" w:after="12"/>
            </w:pPr>
            <w:r>
              <w:rPr>
                <w:b/>
                <w:bCs/>
                <w:color w:val="8186EF"/>
                <w:sz w:val="16"/>
                <w:szCs w:val="16"/>
              </w:rPr>
              <w:t xml:space="preserve">36  </w:t>
            </w:r>
            <w:r>
              <w:rPr>
                <w:sz w:val="16"/>
                <w:szCs w:val="16"/>
              </w:rPr>
              <w:t xml:space="preserve">confirmatory</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general-purpose</w:t>
            </w:r>
          </w:p>
        </w:tc>
        <w:tc>
          <w:tcPr>
            <w:tcW w:type="pct" w:w="2500"/>
            <w:tcMar>
              <w:top w:type="dxa" w:w="20"/>
              <w:left w:type="dxa" w:w="80"/>
              <w:bottom w:type="dxa" w:w="20"/>
              <w:right w:type="dxa" w:w="80"/>
            </w:tcMar>
          </w:tcPr>
          <w:p>
            <w:pPr>
              <w:spacing w:before="12" w:after="12"/>
            </w:pPr>
            <w:r>
              <w:rPr>
                <w:b/>
                <w:bCs/>
                <w:color w:val="8186EF"/>
                <w:sz w:val="16"/>
                <w:szCs w:val="16"/>
              </w:rPr>
              <w:t xml:space="preserve">37  </w:t>
            </w:r>
            <w:r>
              <w:rPr>
                <w:sz w:val="16"/>
                <w:szCs w:val="16"/>
              </w:rPr>
              <w:t xml:space="preserve">materiality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reader</w:t>
            </w:r>
          </w:p>
        </w:tc>
        <w:tc>
          <w:tcPr>
            <w:tcW w:type="pct" w:w="2500"/>
            <w:tcMar>
              <w:top w:type="dxa" w:w="20"/>
              <w:left w:type="dxa" w:w="80"/>
              <w:bottom w:type="dxa" w:w="20"/>
              <w:right w:type="dxa" w:w="80"/>
            </w:tcMar>
          </w:tcPr>
          <w:p>
            <w:pPr>
              <w:spacing w:before="12" w:after="12"/>
            </w:pPr>
            <w:r>
              <w:rPr>
                <w:b/>
                <w:bCs/>
                <w:color w:val="8186EF"/>
                <w:sz w:val="16"/>
                <w:szCs w:val="16"/>
              </w:rPr>
              <w:t xml:space="preserve">38  </w:t>
            </w:r>
            <w:r>
              <w:rPr>
                <w:sz w:val="16"/>
                <w:szCs w:val="16"/>
              </w:rPr>
              <w:t xml:space="preserve">representation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conceptual</w:t>
            </w:r>
          </w:p>
        </w:tc>
        <w:tc>
          <w:tcPr>
            <w:tcW w:type="pct" w:w="2500"/>
            <w:tcMar>
              <w:top w:type="dxa" w:w="20"/>
              <w:left w:type="dxa" w:w="80"/>
              <w:bottom w:type="dxa" w:w="20"/>
              <w:right w:type="dxa" w:w="80"/>
            </w:tcMar>
          </w:tcPr>
          <w:p>
            <w:pPr>
              <w:spacing w:before="12" w:after="12"/>
            </w:pPr>
            <w:r>
              <w:rPr>
                <w:b/>
                <w:bCs/>
                <w:color w:val="8186EF"/>
                <w:sz w:val="16"/>
                <w:szCs w:val="16"/>
              </w:rPr>
              <w:t xml:space="preserve">39  </w:t>
            </w:r>
            <w:r>
              <w:rPr>
                <w:sz w:val="16"/>
                <w:szCs w:val="16"/>
              </w:rPr>
              <w:t xml:space="preserve">complete</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important</w:t>
            </w:r>
          </w:p>
        </w:tc>
        <w:tc>
          <w:tcPr>
            <w:tcW w:type="pct" w:w="2500"/>
            <w:tcMar>
              <w:top w:type="dxa" w:w="20"/>
              <w:left w:type="dxa" w:w="80"/>
              <w:bottom w:type="dxa" w:w="20"/>
              <w:right w:type="dxa" w:w="80"/>
            </w:tcMar>
          </w:tcPr>
          <w:p>
            <w:pPr>
              <w:spacing w:before="12" w:after="12"/>
            </w:pPr>
            <w:r>
              <w:rPr>
                <w:b/>
                <w:bCs/>
                <w:color w:val="8186EF"/>
                <w:sz w:val="16"/>
                <w:szCs w:val="16"/>
              </w:rPr>
              <w:t xml:space="preserve">40  </w:t>
            </w:r>
            <w:r>
              <w:rPr>
                <w:sz w:val="16"/>
                <w:szCs w:val="16"/>
              </w:rPr>
              <w:t xml:space="preserve">understandability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potential</w:t>
            </w:r>
          </w:p>
        </w:tc>
        <w:tc>
          <w:tcPr>
            <w:tcW w:type="pct" w:w="2500"/>
            <w:tcMar>
              <w:top w:type="dxa" w:w="20"/>
              <w:left w:type="dxa" w:w="80"/>
              <w:bottom w:type="dxa" w:w="20"/>
              <w:right w:type="dxa" w:w="80"/>
            </w:tcMar>
          </w:tcPr>
          <w:p>
            <w:pPr>
              <w:spacing w:before="12" w:after="12"/>
            </w:pPr>
            <w:r>
              <w:rPr>
                <w:b/>
                <w:bCs/>
                <w:color w:val="8186EF"/>
                <w:sz w:val="16"/>
                <w:szCs w:val="16"/>
              </w:rPr>
              <w:t xml:space="preserve">41  </w:t>
            </w:r>
            <w:r>
              <w:rPr>
                <w:sz w:val="16"/>
                <w:szCs w:val="16"/>
              </w:rPr>
              <w:t xml:space="preserve">constraint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Buy, hold or sell shares</w:t>
            </w:r>
          </w:p>
        </w:tc>
        <w:tc>
          <w:tcPr>
            <w:tcW w:type="pct" w:w="2500"/>
            <w:tcMar>
              <w:top w:type="dxa" w:w="20"/>
              <w:left w:type="dxa" w:w="80"/>
              <w:bottom w:type="dxa" w:w="20"/>
              <w:right w:type="dxa" w:w="80"/>
            </w:tcMar>
          </w:tcPr>
          <w:p>
            <w:pPr>
              <w:spacing w:before="12" w:after="12"/>
            </w:pPr>
            <w:r>
              <w:rPr>
                <w:b/>
                <w:bCs/>
                <w:color w:val="8186EF"/>
                <w:sz w:val="16"/>
                <w:szCs w:val="16"/>
              </w:rPr>
              <w:t xml:space="preserve">42  </w:t>
            </w:r>
            <w:r>
              <w:rPr>
                <w:sz w:val="16"/>
                <w:szCs w:val="16"/>
              </w:rPr>
              <w:t xml:space="preserve">investors</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principal</w:t>
            </w:r>
          </w:p>
        </w:tc>
        <w:tc>
          <w:tcPr>
            <w:tcW w:type="pct" w:w="2500"/>
            <w:tcMar>
              <w:top w:type="dxa" w:w="20"/>
              <w:left w:type="dxa" w:w="80"/>
              <w:bottom w:type="dxa" w:w="20"/>
              <w:right w:type="dxa" w:w="80"/>
            </w:tcMar>
          </w:tcPr>
          <w:p>
            <w:pPr>
              <w:spacing w:before="12" w:after="12"/>
            </w:pPr>
            <w:r>
              <w:rPr>
                <w:b/>
                <w:bCs/>
                <w:color w:val="8186EF"/>
                <w:sz w:val="16"/>
                <w:szCs w:val="16"/>
              </w:rPr>
              <w:t xml:space="preserve">43  </w:t>
            </w:r>
            <w:r>
              <w:rPr>
                <w:sz w:val="16"/>
                <w:szCs w:val="16"/>
              </w:rPr>
              <w:t xml:space="preserve">general-purpose</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Will the company pay its bills when due?</w:t>
            </w:r>
          </w:p>
        </w:tc>
        <w:tc>
          <w:tcPr>
            <w:tcW w:type="pct" w:w="2500"/>
            <w:tcMar>
              <w:top w:type="dxa" w:w="20"/>
              <w:left w:type="dxa" w:w="80"/>
              <w:bottom w:type="dxa" w:w="20"/>
              <w:right w:type="dxa" w:w="80"/>
            </w:tcMar>
          </w:tcPr>
          <w:p>
            <w:pPr>
              <w:spacing w:before="12" w:after="12"/>
            </w:pPr>
            <w:r>
              <w:rPr>
                <w:b/>
                <w:bCs/>
                <w:color w:val="8186EF"/>
                <w:sz w:val="16"/>
                <w:szCs w:val="16"/>
              </w:rPr>
              <w:t xml:space="preserve">44  </w:t>
            </w:r>
            <w:r>
              <w:rPr>
                <w:sz w:val="16"/>
                <w:szCs w:val="16"/>
              </w:rPr>
              <w:t xml:space="preserve">relevance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Is the company stable and profitable?</w:t>
            </w:r>
          </w:p>
        </w:tc>
        <w:tc>
          <w:tcPr>
            <w:tcW w:type="pct" w:w="2500"/>
            <w:tcMar>
              <w:top w:type="dxa" w:w="20"/>
              <w:left w:type="dxa" w:w="80"/>
              <w:bottom w:type="dxa" w:w="20"/>
              <w:right w:type="dxa" w:w="80"/>
            </w:tcMar>
          </w:tcPr>
          <w:p>
            <w:pPr>
              <w:spacing w:before="12" w:after="12"/>
            </w:pPr>
            <w:r>
              <w:rPr>
                <w:b/>
                <w:bCs/>
                <w:color w:val="8186EF"/>
                <w:sz w:val="16"/>
                <w:szCs w:val="16"/>
              </w:rPr>
              <w:t xml:space="preserve">45  </w:t>
            </w:r>
            <w:r>
              <w:rPr>
                <w:sz w:val="16"/>
                <w:szCs w:val="16"/>
              </w:rPr>
              <w:t xml:space="preserve">statements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Will the company continue to supply us?</w:t>
            </w:r>
          </w:p>
        </w:tc>
        <w:tc>
          <w:tcPr>
            <w:tcW w:type="pct" w:w="2500"/>
            <w:tcMar>
              <w:top w:type="dxa" w:w="20"/>
              <w:left w:type="dxa" w:w="80"/>
              <w:bottom w:type="dxa" w:w="20"/>
              <w:right w:type="dxa" w:w="80"/>
            </w:tcMar>
          </w:tcPr>
          <w:p>
            <w:pPr>
              <w:spacing w:before="12" w:after="12"/>
            </w:pPr>
            <w:r>
              <w:rPr>
                <w:b/>
                <w:bCs/>
                <w:color w:val="8186EF"/>
                <w:sz w:val="16"/>
                <w:szCs w:val="16"/>
              </w:rPr>
              <w:t xml:space="preserve">46  </w:t>
            </w:r>
            <w:r>
              <w:rPr>
                <w:sz w:val="16"/>
                <w:szCs w:val="16"/>
              </w:rPr>
              <w:t xml:space="preserve">decide the amount of the item</w:t>
            </w:r>
          </w:p>
        </w:tc>
      </w:tr>
      <w:tr>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Tax, oversight, statistics</w:t>
            </w:r>
          </w:p>
        </w:tc>
        <w:tc>
          <w:tcPr>
            <w:tcW w:type="pct" w:w="2500"/>
            <w:tcMar>
              <w:top w:type="dxa" w:w="20"/>
              <w:left w:type="dxa" w:w="80"/>
              <w:bottom w:type="dxa" w:w="20"/>
              <w:right w:type="dxa" w:w="80"/>
            </w:tcMar>
          </w:tcPr>
          <w:p>
            <w:pPr>
              <w:spacing w:before="12" w:after="12"/>
            </w:pPr>
            <w:r>
              <w:rPr>
                <w:b/>
                <w:bCs/>
                <w:color w:val="8186EF"/>
                <w:sz w:val="16"/>
                <w:szCs w:val="16"/>
              </w:rPr>
              <w:t xml:space="preserve">47  </w:t>
            </w:r>
            <w:r>
              <w:rPr>
                <w:sz w:val="16"/>
                <w:szCs w:val="16"/>
              </w:rPr>
              <w:t xml:space="preserve">record</w:t>
            </w:r>
          </w:p>
        </w:tc>
      </w:tr>
      <w:tr>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Not a primary user: can use internal reports</w:t>
            </w:r>
          </w:p>
        </w:tc>
        <w:tc>
          <w:tcPr>
            <w:tcW w:type="pct" w:w="2500"/>
            <w:tcMar>
              <w:top w:type="dxa" w:w="20"/>
              <w:left w:type="dxa" w:w="80"/>
              <w:bottom w:type="dxa" w:w="20"/>
              <w:right w:type="dxa" w:w="80"/>
            </w:tcMar>
          </w:tcPr>
          <w:p>
            <w:pPr>
              <w:spacing w:before="12" w:after="12"/>
            </w:pPr>
            <w:r>
              <w:rPr>
                <w:b/>
                <w:bCs/>
                <w:color w:val="8186EF"/>
                <w:sz w:val="16"/>
                <w:szCs w:val="16"/>
              </w:rPr>
              <w:t xml:space="preserve">48  </w:t>
            </w:r>
            <w:r>
              <w:rPr>
                <w:sz w:val="16"/>
                <w:szCs w:val="16"/>
              </w:rPr>
              <w:t xml:space="preserve">disclose</w:t>
            </w:r>
          </w:p>
        </w:tc>
      </w:tr>
      <w:tr>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financial</w:t>
            </w:r>
          </w:p>
        </w:tc>
        <w:tc>
          <w:tcPr>
            <w:tcW w:type="pct" w:w="2500"/>
            <w:tcMar>
              <w:top w:type="dxa" w:w="20"/>
              <w:left w:type="dxa" w:w="80"/>
              <w:bottom w:type="dxa" w:w="20"/>
              <w:right w:type="dxa" w:w="80"/>
            </w:tcMar>
          </w:tcPr>
          <w:p>
            <w:pPr>
              <w:spacing w:before="12" w:after="12"/>
            </w:pPr>
            <w:r>
              <w:rPr>
                <w:b/>
                <w:bCs/>
                <w:color w:val="8186EF"/>
                <w:sz w:val="16"/>
                <w:szCs w:val="16"/>
              </w:rPr>
              <w:t xml:space="preserve">49  </w:t>
            </w:r>
            <w:r>
              <w:rPr>
                <w:sz w:val="16"/>
                <w:szCs w:val="16"/>
              </w:rPr>
              <w:t xml:space="preserve">recognizes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governments</w:t>
            </w:r>
          </w:p>
        </w:tc>
        <w:tc>
          <w:tcPr>
            <w:tcW w:type="pct" w:w="2500"/>
            <w:tcMar>
              <w:top w:type="dxa" w:w="20"/>
              <w:left w:type="dxa" w:w="80"/>
              <w:bottom w:type="dxa" w:w="20"/>
              <w:right w:type="dxa" w:w="80"/>
            </w:tcMar>
          </w:tcPr>
          <w:p>
            <w:pPr>
              <w:spacing w:before="12" w:after="12"/>
            </w:pPr>
            <w:r>
              <w:rPr>
                <w:b/>
                <w:bCs/>
                <w:color w:val="8186EF"/>
                <w:sz w:val="16"/>
                <w:szCs w:val="16"/>
              </w:rPr>
              <w:t xml:space="preserve">50  </w:t>
            </w:r>
            <w:r>
              <w:rPr>
                <w:sz w:val="16"/>
                <w:szCs w:val="16"/>
              </w:rPr>
              <w:t xml:space="preserve">measures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general-purpose</w:t>
            </w:r>
          </w:p>
        </w:tc>
        <w:tc>
          <w:tcPr>
            <w:tcW w:type="pct" w:w="2500"/>
            <w:tcMar>
              <w:top w:type="dxa" w:w="20"/>
              <w:left w:type="dxa" w:w="80"/>
              <w:bottom w:type="dxa" w:w="20"/>
              <w:right w:type="dxa" w:w="80"/>
            </w:tcMar>
          </w:tcPr>
          <w:p>
            <w:pPr>
              <w:spacing w:before="12" w:after="12"/>
            </w:pPr>
            <w:r>
              <w:rPr>
                <w:b/>
                <w:bCs/>
                <w:color w:val="8186EF"/>
                <w:sz w:val="16"/>
                <w:szCs w:val="16"/>
              </w:rPr>
              <w:t xml:space="preserve">51  </w:t>
            </w:r>
            <w:r>
              <w:rPr>
                <w:sz w:val="16"/>
                <w:szCs w:val="16"/>
              </w:rPr>
              <w:t xml:space="preserve">statement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information</w:t>
            </w:r>
          </w:p>
        </w:tc>
        <w:tc>
          <w:tcPr>
            <w:tcW w:type="pct" w:w="2500"/>
            <w:tcMar>
              <w:top w:type="dxa" w:w="20"/>
              <w:left w:type="dxa" w:w="80"/>
              <w:bottom w:type="dxa" w:w="20"/>
              <w:right w:type="dxa" w:w="80"/>
            </w:tcMar>
          </w:tcPr>
          <w:p>
            <w:pPr>
              <w:spacing w:before="12" w:after="12"/>
            </w:pPr>
            <w:r>
              <w:rPr>
                <w:b/>
                <w:bCs/>
                <w:color w:val="8186EF"/>
                <w:sz w:val="16"/>
                <w:szCs w:val="16"/>
              </w:rPr>
              <w:t xml:space="preserve">52  </w:t>
            </w:r>
            <w:r>
              <w:rPr>
                <w:sz w:val="16"/>
                <w:szCs w:val="16"/>
              </w:rPr>
              <w:t xml:space="preserve">relevance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Reporting</w:t>
            </w:r>
          </w:p>
        </w:tc>
        <w:tc>
          <w:tcPr>
            <w:tcW w:type="pct" w:w="2500"/>
            <w:tcMar>
              <w:top w:type="dxa" w:w="20"/>
              <w:left w:type="dxa" w:w="80"/>
              <w:bottom w:type="dxa" w:w="20"/>
              <w:right w:type="dxa" w:w="80"/>
            </w:tcMar>
          </w:tcPr>
          <w:p>
            <w:pPr>
              <w:spacing w:before="12" w:after="12"/>
            </w:pPr>
            <w:r>
              <w:rPr>
                <w:b/>
                <w:bCs/>
                <w:color w:val="8186EF"/>
                <w:sz w:val="16"/>
                <w:szCs w:val="16"/>
              </w:rPr>
              <w:t xml:space="preserve">53  </w:t>
            </w:r>
            <w:r>
              <w:rPr>
                <w:sz w:val="16"/>
                <w:szCs w:val="16"/>
              </w:rPr>
              <w:t xml:space="preserve">faithful representation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management</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company collects thousands of facts every day: sales, purchases, salaries and loans. Financial statements summarize these facts in a standard form for people outside the company. The four main statements are the balance sheet, the income statement, the statement of changes in equity and the statement of cash flows. Most companies prepare general-purpose financial statements. These are reports for many readers at the same time, not for one special reader. The U.S. conceptual framework names the most important readers. The primary users are existing and potential investors, lenders and other creditors. They give resources (money, goods or credit) to the company. They usually cannot ask the company for special reports, so they depend on the published statements. Each user makes a different decision, so each user looks for different information.</w:t>
      </w:r>
    </w:p>
    <w:p>
      <w:pPr>
        <w:spacing w:before="20" w:after="20"/>
        <w:ind w:left="240" w:hanging="240"/>
      </w:pPr>
      <w:r>
        <w:rPr>
          <w:b/>
          <w:bCs/>
          <w:color w:val="353A7C"/>
          <w:sz w:val="15"/>
          <w:szCs w:val="15"/>
        </w:rPr>
        <w:t xml:space="preserve">Summary 2   </w:t>
      </w:r>
      <w:r>
        <w:rPr>
          <w:color w:val="6B7280"/>
          <w:sz w:val="15"/>
          <w:szCs w:val="15"/>
        </w:rPr>
        <w:t xml:space="preserve">Other groups also read financial statements: employees, customers, governments, tax authorities and the public. Managers read them too. However, managers are not primary users of general-purpose statements, because they can get any internal information they need. Reporting for managers is management accounting, the subject of most of the CMA exam. What do all these users need? In simple terms, they ask three questions. What does the company have, and what does it owe? The balance sheet answers this. How did the company perform in the period? The income statement answers this. Where did cash come from, and where did it go? The statement of cash flows answers this. Users also want to judge stewardship: how well the managers used the owners' resources.</w:t>
      </w:r>
    </w:p>
    <w:p>
      <w:pPr>
        <w:spacing w:before="20" w:after="20"/>
        <w:ind w:left="240" w:hanging="240"/>
      </w:pPr>
      <w:r>
        <w:rPr>
          <w:b/>
          <w:bCs/>
          <w:color w:val="353A7C"/>
          <w:sz w:val="15"/>
          <w:szCs w:val="15"/>
        </w:rPr>
        <w:t xml:space="preserve">Summary 3   </w:t>
      </w:r>
      <w:r>
        <w:rPr>
          <w:color w:val="6B7280"/>
          <w:sz w:val="15"/>
          <w:szCs w:val="15"/>
        </w:rPr>
        <w:t xml:space="preserve">The conceptual framework lists the qualities of useful information. There are two fundamental qualities. Relevance means the information can make a difference to a decision. It helps users predict the future (predictive value) or check their past predictions (confirmatory value). Relevance includes materiality: an item is material if leaving it out or stating it wrongly could change users' decisions. Faithful representation means the information shows what it claims to show. It is complete, neutral and free from error. Four enhancing qualities make information even more useful: comparability, verifiability, timeliness and understandability. Finally, there is a cost constraint: the benefit of reporting information should be greater than its cost.</w:t>
      </w:r>
    </w:p>
    <w:p>
      <w:pPr>
        <w:spacing w:before="20" w:after="20"/>
        <w:ind w:left="240" w:hanging="240"/>
      </w:pPr>
      <w:r>
        <w:rPr>
          <w:b/>
          <w:bCs/>
          <w:color w:val="353A7C"/>
          <w:sz w:val="15"/>
          <w:szCs w:val="15"/>
        </w:rPr>
        <w:t xml:space="preserve">Summary 4   </w:t>
      </w:r>
      <w:r>
        <w:rPr>
          <w:color w:val="6B7280"/>
          <w:sz w:val="15"/>
          <w:szCs w:val="15"/>
        </w:rPr>
        <w:t xml:space="preserve">Primary users are investors, lenders and other creditors. Managers are users, but not primary users of general-purpose statements. Also remember: relevance and faithful representation are the two fundamental qualities. Comparability, verifiability, timeliness and understandability are only enhancing qualities.</w:t>
      </w:r>
    </w:p>
    <w:p>
      <w:pPr>
        <w:spacing w:before="20" w:after="20"/>
        <w:ind w:left="240" w:hanging="240"/>
      </w:pPr>
      <w:r>
        <w:rPr>
          <w:b/>
          <w:bCs/>
          <w:color w:val="353A7C"/>
          <w:sz w:val="15"/>
          <w:szCs w:val="15"/>
        </w:rPr>
        <w:t xml:space="preserve">Summary 5   </w:t>
      </w:r>
      <w:r>
        <w:rPr>
          <w:color w:val="6B7280"/>
          <w:sz w:val="15"/>
          <w:szCs w:val="15"/>
        </w:rPr>
        <w:t xml:space="preserve">Example: Orontes recognizes revenue when it delivers the goods. It measures the revenue at the invoice price. It presents revenue in the income statement, and it discloses its revenue policy in the notes.</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1.2  The building blocks: elements and the accounting equation</w:t>
            </w:r>
          </w:p>
          <w:p>
            <w:pPr>
              <w:spacing w:before="0" w:after="46"/>
            </w:pPr>
            <w:r>
              <w:rPr>
                <w:color w:val="E8EAF6"/>
                <w:sz w:val="16"/>
                <w:szCs w:val="16"/>
              </w:rPr>
              <w:t xml:space="preserve">Chapter 1 · section 1.2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Every amount in the financial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belongs to an element. </w:t>
      </w:r>
      <w:r>
        <w:rPr>
          <w:sz w:val="19"/>
          <w:szCs w:val="19"/>
        </w:rPr>
        <w:t xml:space="preserve">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conceptual framework defines ten elements. </w:t>
      </w:r>
      <w:r>
        <w:rPr>
          <w:sz w:val="19"/>
          <w:szCs w:val="19"/>
        </w:rPr>
        <w:t xml:space="preserve">Three of them describe 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sheet at one date. </w:t>
      </w:r>
      <w:r>
        <w:rPr>
          <w:sz w:val="19"/>
          <w:szCs w:val="19"/>
        </w:rPr>
        <w:t xml:space="preserve">An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is a present right of an entity to an economic benefit. </w:t>
      </w:r>
      <w:r>
        <w:rPr>
          <w:sz w:val="19"/>
          <w:szCs w:val="19"/>
        </w:rPr>
        <w:t xml:space="preserve">Examples: cash, accounts receivable,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and equipment. </w:t>
      </w:r>
      <w:r>
        <w:rPr>
          <w:sz w:val="19"/>
          <w:szCs w:val="19"/>
        </w:rPr>
        <w:t xml:space="preserve">A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is a present obligation of an entity to transfer an economic benefit. </w:t>
      </w:r>
      <w:r>
        <w:rPr>
          <w:sz w:val="19"/>
          <w:szCs w:val="19"/>
        </w:rPr>
        <w:t xml:space="preserve">Examples: accounts payable, notes payable and wages payable. </w:t>
      </w:r>
      <w:r>
        <w:rPr>
          <w:sz w:val="19"/>
          <w:szCs w:val="19"/>
        </w:rPr>
        <w:t xml:space="preserve"/>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is the residual interest in the assets after the liabilities are deducted. </w:t>
      </w:r>
      <w:r>
        <w:rPr>
          <w:sz w:val="19"/>
          <w:szCs w:val="19"/>
        </w:rPr>
        <w:t xml:space="preserve">It is 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claim. </w:t>
      </w:r>
      <w:r>
        <w:rPr>
          <w:sz w:val="19"/>
          <w:szCs w:val="19"/>
        </w:rPr>
        <w:t xml:space="preserve">The other elements describe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during a period. </w:t>
      </w:r>
      <w:r>
        <w:rPr>
          <w:sz w:val="19"/>
          <w:szCs w:val="19"/>
        </w:rPr>
        <w:t xml:space="preserve">Revenues and expenses come from the company's central, ongoing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r>
        <w:rPr>
          <w:sz w:val="19"/>
          <w:szCs w:val="19"/>
        </w:rPr>
        <w:t xml:space="preserve">When Orontes sells olive oil, it earns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t>
      </w:r>
      <w:r>
        <w:rPr>
          <w:sz w:val="19"/>
          <w:szCs w:val="19"/>
        </w:rPr>
        <w:t xml:space="preserve">When it pays plant workers, it has an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t>
      </w:r>
      <w:r>
        <w:rPr>
          <w:sz w:val="19"/>
          <w:szCs w:val="19"/>
        </w:rPr>
        <w:t xml:space="preserve">Gains and losses come from peripheral or incidental events. </w:t>
      </w:r>
      <w:r>
        <w:rPr>
          <w:sz w:val="19"/>
          <w:szCs w:val="19"/>
        </w:rPr>
        <w:t xml:space="preserve">If Orontes sells an old delivery truck for more than its carrying amount, it has a gain.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asset   ·   inventory   ·   balance   ·   expense   ·   accounts   ·   Equity   ·   revenue   ·   statements   ·   operations   ·   FASB   ·   liability   ·   owners   ·   changes</w:t>
            </w:r>
          </w:p>
        </w:tc>
      </w:tr>
    </w:tbl>
    <w:p/>
    <w:p>
      <w:pPr>
        <w:spacing w:before="44" w:after="14"/>
      </w:pPr>
      <w:r>
        <w:rPr>
          <w:b/>
          <w:bCs/>
          <w:color w:val="353A7C"/>
          <w:sz w:val="18"/>
          <w:szCs w:val="18"/>
        </w:rPr>
        <w:t xml:space="preserve">Summary 2</w:t>
      </w:r>
      <w:r>
        <w:rPr>
          <w:color w:val="6B7280"/>
          <w:sz w:val="16"/>
          <w:szCs w:val="16"/>
        </w:rPr>
        <w:t xml:space="preserve">      gaps 13–24</w:t>
      </w:r>
    </w:p>
    <w:p>
      <w:pPr>
        <w:spacing w:before="20" w:after="20" w:line="360" w:lineRule="auto"/>
        <w:ind w:left="200"/>
      </w:pPr>
      <w:r>
        <w:rPr>
          <w:sz w:val="19"/>
          <w:szCs w:val="19"/>
        </w:rPr>
        <w:t xml:space="preserve">Investments by owners, such as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new shares, increase equity. </w:t>
      </w:r>
      <w:r>
        <w:rPr>
          <w:sz w:val="19"/>
          <w:szCs w:val="19"/>
        </w:rPr>
        <w:t xml:space="preserve"/>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to owners, such as dividends, decrease equity. </w:t>
      </w:r>
      <w:r>
        <w:rPr>
          <w:sz w:val="19"/>
          <w:szCs w:val="19"/>
        </w:rPr>
        <w:t xml:space="preserve"/>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income is the total change in equity from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other than owners. </w:t>
      </w:r>
      <w:r>
        <w:rPr>
          <w:sz w:val="19"/>
          <w:szCs w:val="19"/>
        </w:rPr>
        <w:t xml:space="preserve">The equation always holds, because creditors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or owners (equity) finance every asset. </w:t>
      </w:r>
      <w:r>
        <w:rPr>
          <w:sz w:val="19"/>
          <w:szCs w:val="19"/>
        </w:rPr>
        <w:t xml:space="preserve">Equity has two main parts. </w:t>
      </w:r>
      <w:r>
        <w:rPr>
          <w:sz w:val="19"/>
          <w:szCs w:val="19"/>
        </w:rPr>
        <w:t xml:space="preserve"/>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capital is what owners paid: common stock at its par value, plus additional paid-in capital (APIC). </w:t>
      </w:r>
      <w:r>
        <w:rPr>
          <w:sz w:val="19"/>
          <w:szCs w:val="19"/>
        </w:rPr>
        <w:t xml:space="preserve">Retained earnings (RE) are the past net income that the company kept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of paying it out as dividends. </w:t>
      </w:r>
      <w:r>
        <w:rPr>
          <w:sz w:val="19"/>
          <w:szCs w:val="19"/>
        </w:rPr>
        <w:t xml:space="preserve">Look at the lower part. </w:t>
      </w:r>
      <w:r>
        <w:rPr>
          <w:sz w:val="19"/>
          <w:szCs w:val="19"/>
        </w:rPr>
        <w:t xml:space="preserve"/>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and gains increase retained earnings. </w:t>
      </w:r>
      <w:r>
        <w:rPr>
          <w:sz w:val="19"/>
          <w:szCs w:val="19"/>
        </w:rPr>
        <w:t xml:space="preserve"/>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and losses decrease it. </w:t>
      </w:r>
      <w:r>
        <w:rPr>
          <w:sz w:val="19"/>
          <w:szCs w:val="19"/>
        </w:rPr>
        <w:t xml:space="preserve">Dividends also decrease it, but a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is not an expense. </w:t>
      </w:r>
      <w:r>
        <w:rPr>
          <w:sz w:val="19"/>
          <w:szCs w:val="19"/>
        </w:rPr>
        <w:t xml:space="preserve">It is a distribution to owners, so it never appears in the income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w:t>
      </w:r>
      <w:r>
        <w:rPr>
          <w:sz w:val="19"/>
          <w:szCs w:val="19"/>
        </w:rPr>
        <w:t xml:space="preserve">The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Conceptual Framework (2018) defines an asset as a present economic resource controlled by the entity as a result of past events.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balance   ·   buying   ·   Contributed   ·   dividend   ·   Comprehensive   ·   statement   ·   sources   ·   IFRS   ·   instead   ·   Expenses   ·   Revenues   ·   liabilities   ·   Distributions</w:t>
            </w:r>
          </w:p>
        </w:tc>
      </w:tr>
    </w:tbl>
    <w:p/>
    <w:p>
      <w:pPr>
        <w:spacing w:before="44" w:after="14"/>
      </w:pPr>
      <w:r>
        <w:rPr>
          <w:b/>
          <w:bCs/>
          <w:color w:val="353A7C"/>
          <w:sz w:val="18"/>
          <w:szCs w:val="18"/>
        </w:rPr>
        <w:t xml:space="preserve">Summary 3</w:t>
      </w:r>
      <w:r>
        <w:rPr>
          <w:color w:val="6B7280"/>
          <w:sz w:val="16"/>
          <w:szCs w:val="16"/>
        </w:rPr>
        <w:t xml:space="preserve">      gaps 25–29</w:t>
      </w:r>
    </w:p>
    <w:p>
      <w:pPr>
        <w:spacing w:before="20" w:after="20" w:line="360" w:lineRule="auto"/>
        <w:ind w:left="200"/>
      </w:pPr>
      <w:r>
        <w:rPr>
          <w:sz w:val="19"/>
          <w:szCs w:val="19"/>
        </w:rPr>
        <w:t xml:space="preserve">The idea is the same as in U.S. GAAP; only the wording is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w:t>
      </w:r>
      <w:r>
        <w:rPr>
          <w:sz w:val="19"/>
          <w:szCs w:val="19"/>
        </w:rPr>
        <w:t xml:space="preserve">IFRS also uses the word income for both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and gains, while U.S. GAAP keeps revenues and gains apart. </w:t>
      </w:r>
      <w:r>
        <w:rPr>
          <w:sz w:val="19"/>
          <w:szCs w:val="19"/>
        </w:rPr>
        <w:t xml:space="preserve">You may also know these IFRS names: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of financial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(balance sheet), share capital (common stock) and share premium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paid-in capital).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additional   ·   obligation   ·   different   ·   statement   ·   position   ·   revenue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Words that look familiar</w:t>
            </w:r>
          </w:p>
        </w:tc>
      </w:tr>
    </w:tbl>
    <w:p/>
    <w:p>
      <w:pPr>
        <w:pageBreakBefore w:val="true"/>
        <w:spacing w:after="0"/>
      </w:pPr>
      <w:r>
        <w:rPr>
          <w:sz w:val="2"/>
        </w:rPr>
        <w:t xml:space="preserve"> </w:t>
      </w:r>
    </w:p>
    <w:p>
      <w:pPr>
        <w:spacing w:before="44" w:after="14"/>
      </w:pPr>
      <w:r>
        <w:rPr>
          <w:b/>
          <w:bCs/>
          <w:color w:val="353A7C"/>
          <w:sz w:val="18"/>
          <w:szCs w:val="18"/>
        </w:rPr>
        <w:t xml:space="preserve">Summary 4</w:t>
      </w:r>
      <w:r>
        <w:rPr>
          <w:color w:val="6B7280"/>
          <w:sz w:val="16"/>
          <w:szCs w:val="16"/>
        </w:rPr>
        <w:t xml:space="preserve">      gaps 30–32</w:t>
      </w:r>
    </w:p>
    <w:p>
      <w:pPr>
        <w:spacing w:before="20" w:after="20" w:line="360" w:lineRule="auto"/>
        <w:ind w:left="200"/>
      </w:pPr>
      <w:r>
        <w:rPr>
          <w:sz w:val="19"/>
          <w:szCs w:val="19"/>
        </w:rPr>
        <w:t xml:space="preserve">In a CMA question, inventory is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inventory. </w:t>
      </w:r>
      <w:r>
        <w:rPr>
          <w:sz w:val="19"/>
          <w:szCs w:val="19"/>
        </w:rPr>
        <w:t xml:space="preserve">Revenue is the gross </w:t>
      </w:r>
      <w:r>
        <w:rPr>
          <w:b/>
          <w:bCs/>
          <w:color w:val="8186EF"/>
          <w:sz w:val="15"/>
          <w:szCs w:val="15"/>
        </w:rPr>
        <w:t xml:space="preserve"> (31) </w:t>
      </w:r>
      <w:r>
        <w:rPr>
          <w:u w:val="single"/>
          <w:sz w:val="19"/>
          <w:szCs w:val="19"/>
        </w:rPr>
        <w:t xml:space="preserve">           </w:t>
      </w:r>
      <w:r>
        <w:rPr>
          <w:sz w:val="19"/>
          <w:szCs w:val="19"/>
        </w:rPr>
        <w:t xml:space="preserve"> </w:t>
      </w:r>
      <w:r>
        <w:rPr>
          <w:sz w:val="19"/>
          <w:szCs w:val="19"/>
        </w:rPr>
        <w:t xml:space="preserve"> from sales. </w:t>
      </w:r>
      <w:r>
        <w:rPr>
          <w:sz w:val="19"/>
          <w:szCs w:val="19"/>
        </w:rPr>
        <w:t xml:space="preserve">Net income is what remains after </w:t>
      </w:r>
      <w:r>
        <w:rPr>
          <w:b/>
          <w:bCs/>
          <w:color w:val="8186EF"/>
          <w:sz w:val="15"/>
          <w:szCs w:val="15"/>
        </w:rPr>
        <w:t xml:space="preserve"> (32) </w:t>
      </w:r>
      <w:r>
        <w:rPr>
          <w:u w:val="single"/>
          <w:sz w:val="19"/>
          <w:szCs w:val="19"/>
        </w:rPr>
        <w:t xml:space="preserve">           </w:t>
      </w:r>
      <w:r>
        <w:rPr>
          <w:sz w:val="19"/>
          <w:szCs w:val="19"/>
        </w:rPr>
        <w:t xml:space="preserve"> </w:t>
      </w:r>
      <w:r>
        <w:rPr>
          <w:sz w:val="19"/>
          <w:szCs w:val="19"/>
        </w:rPr>
        <w:t xml:space="preserve">. </w:t>
      </w:r>
      <w:r>
        <w:rPr>
          <w:sz w:val="19"/>
          <w:szCs w:val="19"/>
        </w:rPr>
        <w:t xml:space="preserve">Do not use income when the question means revenue. </w:t>
      </w:r>
      <w:r>
        <w:rPr>
          <w:sz w:val="19"/>
          <w:szCs w:val="19"/>
        </w:rPr>
        <w:t xml:space="preserve">In English, charges usually means fees.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amount   ·   always   ·   Orontes   ·   expenses</w:t>
            </w:r>
          </w:p>
        </w:tc>
      </w:tr>
    </w:tbl>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34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33499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income statement   ·   asset   ·   net income   ·   equity</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asset</w:t>
            </w:r>
          </w:p>
        </w:tc>
        <w:tc>
          <w:tcPr>
            <w:tcW w:type="pct" w:w="2600"/>
            <w:tcMar>
              <w:top w:type="dxa" w:w="50"/>
              <w:left w:type="dxa" w:w="110"/>
              <w:bottom w:type="dxa" w:w="50"/>
              <w:right w:type="dxa" w:w="110"/>
            </w:tcMar>
          </w:tcPr>
          <w:p>
            <w:pPr>
              <w:spacing w:before="26" w:after="26"/>
            </w:pPr>
            <w:r>
              <w:rPr>
                <w:color w:val="232733"/>
                <w:sz w:val="16"/>
                <w:szCs w:val="16"/>
              </w:rPr>
              <w:t xml:space="preserve">أصل (أصول)</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liability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التزام (التزامات)</w:t>
            </w:r>
          </w:p>
        </w:tc>
      </w:tr>
      <w:tr>
        <w:tc>
          <w:tcPr>
            <w:tcW w:type="pct" w:w="2400"/>
            <w:tcMar>
              <w:top w:type="dxa" w:w="50"/>
              <w:left w:type="dxa" w:w="110"/>
              <w:bottom w:type="dxa" w:w="50"/>
              <w:right w:type="dxa" w:w="110"/>
            </w:tcMar>
          </w:tcPr>
          <w:p>
            <w:pPr>
              <w:spacing w:before="26" w:after="26"/>
            </w:pPr>
            <w:r>
              <w:rPr>
                <w:color w:val="232733"/>
                <w:sz w:val="16"/>
                <w:szCs w:val="16"/>
              </w:rPr>
              <w:t xml:space="preserve">equity</w:t>
            </w:r>
          </w:p>
        </w:tc>
        <w:tc>
          <w:tcPr>
            <w:tcW w:type="pct" w:w="2600"/>
            <w:tcMar>
              <w:top w:type="dxa" w:w="50"/>
              <w:left w:type="dxa" w:w="110"/>
              <w:bottom w:type="dxa" w:w="50"/>
              <w:right w:type="dxa" w:w="110"/>
            </w:tcMar>
          </w:tcPr>
          <w:p>
            <w:pPr>
              <w:spacing w:before="26" w:after="26"/>
            </w:pPr>
            <w:r>
              <w:rPr>
                <w:color w:val="232733"/>
                <w:sz w:val="16"/>
                <w:szCs w:val="16"/>
              </w:rPr>
              <w:t xml:space="preserve">حقوق الملكية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revenue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إيراد (إيرادات)</w:t>
            </w:r>
          </w:p>
        </w:tc>
      </w:tr>
      <w:tr>
        <w:tc>
          <w:tcPr>
            <w:tcW w:type="pct" w:w="2400"/>
            <w:tcMar>
              <w:top w:type="dxa" w:w="50"/>
              <w:left w:type="dxa" w:w="110"/>
              <w:bottom w:type="dxa" w:w="50"/>
              <w:right w:type="dxa" w:w="110"/>
            </w:tcMar>
          </w:tcPr>
          <w:p>
            <w:pPr>
              <w:spacing w:before="26" w:after="26"/>
            </w:pPr>
            <w:r>
              <w:rPr>
                <w:color w:val="232733"/>
                <w:sz w:val="16"/>
                <w:szCs w:val="16"/>
              </w:rPr>
              <w:t xml:space="preserve">expense</w:t>
            </w:r>
          </w:p>
        </w:tc>
        <w:tc>
          <w:tcPr>
            <w:tcW w:type="pct" w:w="2600"/>
            <w:tcMar>
              <w:top w:type="dxa" w:w="50"/>
              <w:left w:type="dxa" w:w="110"/>
              <w:bottom w:type="dxa" w:w="50"/>
              <w:right w:type="dxa" w:w="110"/>
            </w:tcMar>
          </w:tcPr>
          <w:p>
            <w:pPr>
              <w:spacing w:before="26" w:after="26"/>
            </w:pPr>
            <w:r>
              <w:rPr>
                <w:color w:val="232733"/>
                <w:sz w:val="16"/>
                <w:szCs w:val="16"/>
              </w:rPr>
              <w:t xml:space="preserve">مصروف (مصروفات)</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gain</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مكسب (مكاسب)</w:t>
            </w:r>
          </w:p>
        </w:tc>
      </w:tr>
      <w:tr>
        <w:tc>
          <w:tcPr>
            <w:tcW w:type="pct" w:w="2400"/>
            <w:tcMar>
              <w:top w:type="dxa" w:w="50"/>
              <w:left w:type="dxa" w:w="110"/>
              <w:bottom w:type="dxa" w:w="50"/>
              <w:right w:type="dxa" w:w="110"/>
            </w:tcMar>
          </w:tcPr>
          <w:p>
            <w:pPr>
              <w:spacing w:before="26" w:after="26"/>
            </w:pPr>
            <w:r>
              <w:rPr>
                <w:color w:val="232733"/>
                <w:sz w:val="16"/>
                <w:szCs w:val="16"/>
              </w:rPr>
              <w:t xml:space="preserve">loss</w:t>
            </w:r>
          </w:p>
        </w:tc>
        <w:tc>
          <w:tcPr>
            <w:tcW w:type="pct" w:w="2600"/>
            <w:tcMar>
              <w:top w:type="dxa" w:w="50"/>
              <w:left w:type="dxa" w:w="110"/>
              <w:bottom w:type="dxa" w:w="50"/>
              <w:right w:type="dxa" w:w="110"/>
            </w:tcMar>
          </w:tcPr>
          <w:p>
            <w:pPr>
              <w:spacing w:before="26" w:after="26"/>
            </w:pPr>
            <w:r>
              <w:rPr>
                <w:color w:val="232733"/>
                <w:sz w:val="16"/>
                <w:szCs w:val="16"/>
              </w:rPr>
              <w:t xml:space="preserve">خسارة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net income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صافي الدخل</w:t>
            </w:r>
          </w:p>
        </w:tc>
      </w:tr>
      <w:tr>
        <w:tc>
          <w:tcPr>
            <w:tcW w:type="pct" w:w="2400"/>
            <w:tcMar>
              <w:top w:type="dxa" w:w="50"/>
              <w:left w:type="dxa" w:w="110"/>
              <w:bottom w:type="dxa" w:w="50"/>
              <w:right w:type="dxa" w:w="110"/>
            </w:tcMar>
          </w:tcPr>
          <w:p>
            <w:pPr>
              <w:spacing w:before="26" w:after="26"/>
            </w:pPr>
            <w:r>
              <w:rPr>
                <w:color w:val="232733"/>
                <w:sz w:val="16"/>
                <w:szCs w:val="16"/>
              </w:rPr>
              <w:t xml:space="preserve">retained earnings</w:t>
            </w:r>
          </w:p>
        </w:tc>
        <w:tc>
          <w:tcPr>
            <w:tcW w:type="pct" w:w="2600"/>
            <w:tcMar>
              <w:top w:type="dxa" w:w="50"/>
              <w:left w:type="dxa" w:w="110"/>
              <w:bottom w:type="dxa" w:w="50"/>
              <w:right w:type="dxa" w:w="110"/>
            </w:tcMar>
          </w:tcPr>
          <w:p>
            <w:pPr>
              <w:spacing w:before="26" w:after="26"/>
            </w:pPr>
            <w:r>
              <w:rPr>
                <w:color w:val="232733"/>
                <w:sz w:val="16"/>
                <w:szCs w:val="16"/>
              </w:rPr>
              <w:t xml:space="preserve">الأرباح المحتجزة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common stock</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الأسهم العادية</w:t>
            </w:r>
          </w:p>
        </w:tc>
      </w:tr>
      <w:tr>
        <w:tc>
          <w:tcPr>
            <w:tcW w:type="pct" w:w="2400"/>
            <w:tcMar>
              <w:top w:type="dxa" w:w="50"/>
              <w:left w:type="dxa" w:w="110"/>
              <w:bottom w:type="dxa" w:w="50"/>
              <w:right w:type="dxa" w:w="110"/>
            </w:tcMar>
          </w:tcPr>
          <w:p>
            <w:pPr>
              <w:spacing w:before="26" w:after="26"/>
            </w:pPr>
            <w:r>
              <w:rPr>
                <w:color w:val="232733"/>
                <w:sz w:val="16"/>
                <w:szCs w:val="16"/>
              </w:rPr>
              <w:t xml:space="preserve">additional paid-in capital</w:t>
            </w:r>
          </w:p>
        </w:tc>
        <w:tc>
          <w:tcPr>
            <w:tcW w:type="pct" w:w="2600"/>
            <w:tcMar>
              <w:top w:type="dxa" w:w="50"/>
              <w:left w:type="dxa" w:w="110"/>
              <w:bottom w:type="dxa" w:w="50"/>
              <w:right w:type="dxa" w:w="110"/>
            </w:tcMar>
          </w:tcPr>
          <w:p>
            <w:pPr>
              <w:spacing w:before="26" w:after="26"/>
            </w:pPr>
            <w:r>
              <w:rPr>
                <w:color w:val="232733"/>
                <w:sz w:val="16"/>
                <w:szCs w:val="16"/>
              </w:rPr>
              <w:t xml:space="preserve">علاوة إصدار الأسهم (رأس المال الإضافي المدفوع)</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par value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القيمة الاسمية</w:t>
            </w:r>
          </w:p>
        </w:tc>
      </w:tr>
      <w:tr>
        <w:tc>
          <w:tcPr>
            <w:tcW w:type="pct" w:w="2400"/>
            <w:tcMar>
              <w:top w:type="dxa" w:w="50"/>
              <w:left w:type="dxa" w:w="110"/>
              <w:bottom w:type="dxa" w:w="50"/>
              <w:right w:type="dxa" w:w="110"/>
            </w:tcMar>
          </w:tcPr>
          <w:p>
            <w:pPr>
              <w:spacing w:before="26" w:after="26"/>
            </w:pPr>
            <w:r>
              <w:rPr>
                <w:color w:val="232733"/>
                <w:sz w:val="16"/>
                <w:szCs w:val="16"/>
              </w:rPr>
              <w:t xml:space="preserve">dividend</w:t>
            </w:r>
          </w:p>
        </w:tc>
        <w:tc>
          <w:tcPr>
            <w:tcW w:type="pct" w:w="2600"/>
            <w:tcMar>
              <w:top w:type="dxa" w:w="50"/>
              <w:left w:type="dxa" w:w="110"/>
              <w:bottom w:type="dxa" w:w="50"/>
              <w:right w:type="dxa" w:w="110"/>
            </w:tcMar>
          </w:tcPr>
          <w:p>
            <w:pPr>
              <w:spacing w:before="26" w:after="26"/>
            </w:pPr>
            <w:r>
              <w:rPr>
                <w:color w:val="232733"/>
                <w:sz w:val="16"/>
                <w:szCs w:val="16"/>
              </w:rPr>
              <w:t xml:space="preserve">توزيعات الأرباح</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accounting equation</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المعادلة المحاسبية</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1.2  The building blocks: elements and the accounting equation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statements</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instead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FASB</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Revenues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balance</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Expenses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asset</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dividend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inventory</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statement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liability</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IFRS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Equity</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different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owners</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revenue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changes</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statement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operations</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position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revenue</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additional</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expense</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always</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buying</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amount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Distributions</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expenses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Comprehensive</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asset</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sources</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equity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liabilities</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net income</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Contributed</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Every amount in the financial statements belongs to an element. The FASB conceptual framework defines ten elements. Three of them describe the balance sheet at one date. An asset is a present right of an entity to an economic benefit. Examples: cash, accounts receivable, inventory and equipment. A liability is a present obligation of an entity to transfer an economic benefit. Examples: accounts payable, notes payable and wages payable. Equity is the residual interest in the assets after the liabilities are deducted. It is the owners' claim. The other elements describe changes during a period. Revenues and expenses come from the company's central, ongoing operations. When Orontes sells olive oil, it earns revenue. When it pays plant workers, it has an expense. Gains and losses come from peripheral or incidental events. If Orontes sells an old delivery truck for more than its carrying amount, it has a gain.</w:t>
      </w:r>
    </w:p>
    <w:p>
      <w:pPr>
        <w:spacing w:before="20" w:after="20"/>
        <w:ind w:left="240" w:hanging="240"/>
      </w:pPr>
      <w:r>
        <w:rPr>
          <w:b/>
          <w:bCs/>
          <w:color w:val="353A7C"/>
          <w:sz w:val="15"/>
          <w:szCs w:val="15"/>
        </w:rPr>
        <w:t xml:space="preserve">Summary 2   </w:t>
      </w:r>
      <w:r>
        <w:rPr>
          <w:color w:val="6B7280"/>
          <w:sz w:val="15"/>
          <w:szCs w:val="15"/>
        </w:rPr>
        <w:t xml:space="preserve">Investments by owners, such as buying new shares, increase equity. Distributions to owners, such as dividends, decrease equity. Comprehensive income is the total change in equity from sources other than owners. The equation always holds, because creditors (liabilities) or owners (equity) finance every asset. Equity has two main parts. Contributed capital is what owners paid: common stock at its par value, plus additional paid-in capital (APIC). Retained earnings (RE) are the past net income that the company kept instead of paying it out as dividends. Look at the lower part. Revenues and gains increase retained earnings. Expenses and losses decrease it. Dividends also decrease it, but a dividend is not an expense. It is a distribution to owners, so it never appears in the income statement. The IFRS Conceptual Framework (2018) defines an asset as a present economic resource controlled by the entity as a result of past events.</w:t>
      </w:r>
    </w:p>
    <w:p>
      <w:pPr>
        <w:spacing w:before="20" w:after="20"/>
        <w:ind w:left="240" w:hanging="240"/>
      </w:pPr>
      <w:r>
        <w:rPr>
          <w:b/>
          <w:bCs/>
          <w:color w:val="353A7C"/>
          <w:sz w:val="15"/>
          <w:szCs w:val="15"/>
        </w:rPr>
        <w:t xml:space="preserve">Summary 3   </w:t>
      </w:r>
      <w:r>
        <w:rPr>
          <w:color w:val="6B7280"/>
          <w:sz w:val="15"/>
          <w:szCs w:val="15"/>
        </w:rPr>
        <w:t xml:space="preserve">The idea is the same as in U.S. GAAP; only the wording is different. IFRS also uses the word income for both revenue and gains, while U.S. GAAP keeps revenues and gains apart. You may also know these IFRS names: statement of financial position (balance sheet), share capital (common stock) and share premium (additional paid-in capital).</w:t>
      </w:r>
    </w:p>
    <w:p>
      <w:pPr>
        <w:spacing w:before="20" w:after="20"/>
        <w:ind w:left="240" w:hanging="240"/>
      </w:pPr>
      <w:r>
        <w:rPr>
          <w:b/>
          <w:bCs/>
          <w:color w:val="353A7C"/>
          <w:sz w:val="15"/>
          <w:szCs w:val="15"/>
        </w:rPr>
        <w:t xml:space="preserve">Summary 4   </w:t>
      </w:r>
      <w:r>
        <w:rPr>
          <w:color w:val="6B7280"/>
          <w:sz w:val="15"/>
          <w:szCs w:val="15"/>
        </w:rPr>
        <w:t xml:space="preserve">In a CMA question, inventory is always inventory. Revenue is the gross amount from sales. Net income is what remains after expenses. Do not use income when the question means revenue. In English, charges usually means fees.</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1.3  Double entry: debits and credits</w:t>
            </w:r>
          </w:p>
          <w:p>
            <w:pPr>
              <w:spacing w:before="0" w:after="46"/>
            </w:pPr>
            <w:r>
              <w:rPr>
                <w:color w:val="E8EAF6"/>
                <w:sz w:val="16"/>
                <w:szCs w:val="16"/>
              </w:rPr>
              <w:t xml:space="preserve">Chapter 1 · section 1.3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Accountants record every transaction with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system. </w:t>
      </w:r>
      <w:r>
        <w:rPr>
          <w:sz w:val="19"/>
          <w:szCs w:val="19"/>
        </w:rPr>
        <w:t xml:space="preserve">Each transaction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at least two accounts, and total debits always equal total credits. </w:t>
      </w:r>
      <w:r>
        <w:rPr>
          <w:sz w:val="19"/>
          <w:szCs w:val="19"/>
        </w:rPr>
        <w:t xml:space="preserve">This is why 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equation always balances. </w:t>
      </w:r>
      <w:r>
        <w:rPr>
          <w:sz w:val="19"/>
          <w:szCs w:val="19"/>
        </w:rPr>
        <w:t xml:space="preserve">Debit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means the left side of an account, and credit means the right side. </w:t>
      </w:r>
      <w:r>
        <w:rPr>
          <w:sz w:val="19"/>
          <w:szCs w:val="19"/>
        </w:rPr>
        <w:t xml:space="preserve">Neither word means good or bad, and neither word always means increase. </w:t>
      </w:r>
      <w:r>
        <w:rPr>
          <w:sz w:val="19"/>
          <w:szCs w:val="19"/>
        </w:rPr>
        <w:t xml:space="preserve"/>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 debit increases an account depends on the type of account. </w:t>
      </w:r>
      <w:r>
        <w:rPr>
          <w:sz w:val="19"/>
          <w:szCs w:val="19"/>
        </w:rPr>
        <w:t xml:space="preserve">Each account has a normal balance: the side that increases it. </w:t>
      </w:r>
      <w:r>
        <w:rPr>
          <w:sz w:val="19"/>
          <w:szCs w:val="19"/>
        </w:rPr>
        <w:t xml:space="preserve">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equation at the bottom is a useful memory aid. </w:t>
      </w:r>
      <w:r>
        <w:rPr>
          <w:sz w:val="19"/>
          <w:szCs w:val="19"/>
        </w:rPr>
        <w:t xml:space="preserve">Accounts on the left side of the equation (assets, expenses and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increase with a debit. </w:t>
      </w:r>
      <w:r>
        <w:rPr>
          <w:sz w:val="19"/>
          <w:szCs w:val="19"/>
        </w:rPr>
        <w:t xml:space="preserve">Accounts on the right side (liabilities,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and revenues) increase with a credit. </w:t>
      </w:r>
      <w:r>
        <w:rPr>
          <w:sz w:val="19"/>
          <w:szCs w:val="19"/>
        </w:rPr>
        <w:t xml:space="preserve">A contra account reduces a related account, so it has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normal balance. </w:t>
      </w:r>
      <w:r>
        <w:rPr>
          <w:sz w:val="19"/>
          <w:szCs w:val="19"/>
        </w:rPr>
        <w:t xml:space="preserve">For example, accumulated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reduces equipment. </w:t>
      </w:r>
      <w:r>
        <w:rPr>
          <w:sz w:val="19"/>
          <w:szCs w:val="19"/>
        </w:rPr>
        <w:t xml:space="preserve">It has a credit balance, but it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with the assets. </w:t>
      </w:r>
      <w:r>
        <w:rPr>
          <w:sz w:val="19"/>
          <w:szCs w:val="19"/>
        </w:rPr>
        <w:t xml:space="preserve">The allowance for credit losses reduces accounts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in the same way.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expanded   ·   receivable   ·   Whether   ·   dividends   ·   equity   ·   depreciation   ·   opposite   ·   double-entry   ·   affects   ·   simply   ·   accounting   ·   balances   ·   belongs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Orontes Foods in January</w:t>
            </w:r>
          </w:p>
        </w:tc>
      </w:tr>
    </w:tbl>
    <w:p/>
    <w:p>
      <w:pPr>
        <w:spacing w:before="44" w:after="14"/>
      </w:pPr>
      <w:r>
        <w:rPr>
          <w:b/>
          <w:bCs/>
          <w:color w:val="353A7C"/>
          <w:sz w:val="18"/>
          <w:szCs w:val="18"/>
        </w:rPr>
        <w:t xml:space="preserve">Summary 2</w:t>
      </w:r>
      <w:r>
        <w:rPr>
          <w:color w:val="6B7280"/>
          <w:sz w:val="16"/>
          <w:szCs w:val="16"/>
        </w:rPr>
        <w:t xml:space="preserve">      gaps 13–16</w:t>
      </w:r>
    </w:p>
    <w:p>
      <w:pPr>
        <w:spacing w:before="20" w:after="20" w:line="360" w:lineRule="auto"/>
        <w:ind w:left="200"/>
      </w:pPr>
      <w:r>
        <w:rPr>
          <w:sz w:val="19"/>
          <w:szCs w:val="19"/>
        </w:rPr>
        <w:t xml:space="preserve">Orontes Foods, Inc. makes olive oil and tahini in Amman, Jordan, and frozen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in Dubai. </w:t>
      </w:r>
      <w:r>
        <w:rPr>
          <w:sz w:val="19"/>
          <w:szCs w:val="19"/>
        </w:rPr>
        <w:t xml:space="preserve">Its shares are listed on a U.S. stock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and it reports under U.S. GAAP. </w:t>
      </w:r>
      <w:r>
        <w:rPr>
          <w:sz w:val="19"/>
          <w:szCs w:val="19"/>
        </w:rPr>
        <w:t xml:space="preserve">Here are its journal entries for six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in January 2025. </w:t>
      </w:r>
      <w:r>
        <w:rPr>
          <w:sz w:val="19"/>
          <w:szCs w:val="19"/>
        </w:rPr>
        <w:t xml:space="preserve"/>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are in USD 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transactions   ·   exchange   ·   pastries   ·   expense   ·   Amounts</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344"/>
        <w:gridCol w:w="1344"/>
        <w:gridCol w:w="4224"/>
        <w:gridCol w:w="1344"/>
        <w:gridCol w:w="1344"/>
      </w:tblGrid>
      <w:tr>
        <w:tc>
          <w:tcPr>
            <w:tcW w:type="pct" w:w="5000"/>
            <w:gridSpan w:val="5"/>
            <w:shd w:fill="353A7C" w:val="clear"/>
            <w:tcMar>
              <w:top w:type="dxa" w:w="60"/>
              <w:left w:type="dxa" w:w="120"/>
              <w:bottom w:type="dxa" w:w="60"/>
              <w:right w:type="dxa" w:w="120"/>
            </w:tcMar>
          </w:tcPr>
          <w:p>
            <w:pPr>
              <w:spacing w:before="40" w:after="40"/>
            </w:pPr>
            <w:r>
              <w:rPr>
                <w:b/>
                <w:bCs/>
                <w:color w:val="FFFFFF"/>
                <w:sz w:val="17"/>
                <w:szCs w:val="17"/>
              </w:rPr>
              <w:t xml:space="preserve">Orontes Foods in January</w:t>
            </w:r>
          </w:p>
        </w:tc>
      </w:tr>
      <w:tr>
        <w:tc>
          <w:tcPr>
            <w:tcW w:type="pct" w:w="700"/>
            <w:shd w:fill="353A7C" w:val="clear"/>
            <w:tcMar>
              <w:top w:type="dxa" w:w="50"/>
              <w:left w:type="dxa" w:w="110"/>
              <w:bottom w:type="dxa" w:w="50"/>
              <w:right w:type="dxa" w:w="110"/>
            </w:tcMar>
          </w:tcPr>
          <w:p>
            <w:pPr>
              <w:spacing w:before="30" w:after="30"/>
            </w:pPr>
            <w:r>
              <w:rPr>
                <w:b/>
                <w:bCs/>
                <w:color w:val="FFFFFF"/>
                <w:sz w:val="15"/>
                <w:szCs w:val="15"/>
              </w:rPr>
              <w:t xml:space="preserve">#</w:t>
            </w:r>
          </w:p>
        </w:tc>
        <w:tc>
          <w:tcPr>
            <w:tcW w:type="pct" w:w="700"/>
            <w:shd w:fill="353A7C" w:val="clear"/>
            <w:tcMar>
              <w:top w:type="dxa" w:w="50"/>
              <w:left w:type="dxa" w:w="110"/>
              <w:bottom w:type="dxa" w:w="50"/>
              <w:right w:type="dxa" w:w="110"/>
            </w:tcMar>
          </w:tcPr>
          <w:p>
            <w:pPr>
              <w:spacing w:before="30" w:after="30"/>
            </w:pPr>
            <w:r>
              <w:rPr>
                <w:b/>
                <w:bCs/>
                <w:color w:val="FFFFFF"/>
                <w:sz w:val="15"/>
                <w:szCs w:val="15"/>
              </w:rPr>
              <w:t xml:space="preserve">Date</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Account and explanation</w:t>
            </w:r>
          </w:p>
        </w:tc>
        <w:tc>
          <w:tcPr>
            <w:tcW w:type="pct" w:w="700"/>
            <w:shd w:fill="353A7C" w:val="clear"/>
            <w:tcMar>
              <w:top w:type="dxa" w:w="50"/>
              <w:left w:type="dxa" w:w="110"/>
              <w:bottom w:type="dxa" w:w="50"/>
              <w:right w:type="dxa" w:w="110"/>
            </w:tcMar>
          </w:tcPr>
          <w:p>
            <w:pPr>
              <w:spacing w:before="30" w:after="30"/>
            </w:pPr>
            <w:r>
              <w:rPr>
                <w:b/>
                <w:bCs/>
                <w:color w:val="FFFFFF"/>
                <w:sz w:val="15"/>
                <w:szCs w:val="15"/>
              </w:rPr>
              <w:t xml:space="preserve">Debit</w:t>
            </w:r>
          </w:p>
        </w:tc>
        <w:tc>
          <w:tcPr>
            <w:tcW w:type="pct" w:w="700"/>
            <w:shd w:fill="353A7C" w:val="clear"/>
            <w:tcMar>
              <w:top w:type="dxa" w:w="50"/>
              <w:left w:type="dxa" w:w="110"/>
              <w:bottom w:type="dxa" w:w="50"/>
              <w:right w:type="dxa" w:w="110"/>
            </w:tcMar>
          </w:tcPr>
          <w:p>
            <w:pPr>
              <w:spacing w:before="30" w:after="30"/>
            </w:pPr>
            <w:r>
              <w:rPr>
                <w:b/>
                <w:bCs/>
                <w:color w:val="FFFFFF"/>
                <w:sz w:val="15"/>
                <w:szCs w:val="15"/>
              </w:rPr>
              <w:t xml:space="preserve">Credit</w:t>
            </w:r>
          </w:p>
        </w:tc>
      </w:tr>
      <w:tr>
        <w:tc>
          <w:tcPr>
            <w:tcW w:type="pct" w:w="700"/>
            <w:tcMar>
              <w:top w:type="dxa" w:w="50"/>
              <w:left w:type="dxa" w:w="110"/>
              <w:bottom w:type="dxa" w:w="50"/>
              <w:right w:type="dxa" w:w="110"/>
            </w:tcMar>
          </w:tcPr>
          <w:p>
            <w:pPr>
              <w:spacing w:before="28" w:after="28"/>
            </w:pPr>
            <w:r>
              <w:rPr>
                <w:sz w:val="15"/>
                <w:szCs w:val="15"/>
              </w:rPr>
              <w:t xml:space="preserve">1</w:t>
            </w:r>
          </w:p>
        </w:tc>
        <w:tc>
          <w:tcPr>
            <w:tcW w:type="pct" w:w="700"/>
            <w:tcMar>
              <w:top w:type="dxa" w:w="50"/>
              <w:left w:type="dxa" w:w="110"/>
              <w:bottom w:type="dxa" w:w="50"/>
              <w:right w:type="dxa" w:w="110"/>
            </w:tcMar>
          </w:tcPr>
          <w:p>
            <w:pPr>
              <w:spacing w:before="28" w:after="28"/>
            </w:pPr>
            <w:r>
              <w:rPr>
                <w:sz w:val="15"/>
                <w:szCs w:val="15"/>
              </w:rPr>
              <w:t xml:space="preserve">Jan 2</w:t>
            </w:r>
          </w:p>
        </w:tc>
        <w:tc>
          <w:tcPr>
            <w:tcW w:type="pct" w:w="2200"/>
            <w:tcMar>
              <w:top w:type="dxa" w:w="50"/>
              <w:left w:type="dxa" w:w="110"/>
              <w:bottom w:type="dxa" w:w="50"/>
              <w:right w:type="dxa" w:w="110"/>
            </w:tcMar>
          </w:tcPr>
          <w:p>
            <w:pPr>
              <w:spacing w:before="28" w:after="28"/>
            </w:pPr>
            <w:r>
              <w:rPr>
                <w:sz w:val="15"/>
                <w:szCs w:val="15"/>
              </w:rPr>
              <w:t xml:space="preserve">Cash</w:t>
            </w:r>
          </w:p>
        </w:tc>
        <w:tc>
          <w:tcPr>
            <w:tcW w:type="pct" w:w="700"/>
            <w:tcMar>
              <w:top w:type="dxa" w:w="50"/>
              <w:left w:type="dxa" w:w="110"/>
              <w:bottom w:type="dxa" w:w="50"/>
              <w:right w:type="dxa" w:w="110"/>
            </w:tcMar>
          </w:tcPr>
          <w:p>
            <w:pPr>
              <w:spacing w:before="28" w:after="28"/>
            </w:pPr>
            <w:r>
              <w:rPr>
                <w:sz w:val="15"/>
                <w:szCs w:val="15"/>
              </w:rPr>
              <w:t xml:space="preserve">1,500</w:t>
            </w:r>
          </w:p>
        </w:tc>
        <w:tc>
          <w:tcPr>
            <w:tcW w:type="pct" w:w="700"/>
            <w:tcMar>
              <w:top w:type="dxa" w:w="50"/>
              <w:left w:type="dxa" w:w="110"/>
              <w:bottom w:type="dxa" w:w="50"/>
              <w:right w:type="dxa" w:w="110"/>
            </w:tcMar>
          </w:tcPr>
          <w:p>
            <w:pPr>
              <w:spacing w:before="28" w:after="28"/>
            </w:pPr>
            <w:r>
              <w:rPr>
                <w:sz w:val="15"/>
                <w:szCs w:val="15"/>
              </w:rPr>
              <w:t xml:space="preserve"> </w:t>
            </w:r>
          </w:p>
        </w:tc>
      </w:tr>
      <w:tr>
        <w:tc>
          <w:tcPr>
            <w:tcW w:type="pct" w:w="700"/>
            <w:shd w:fill="FBFAF6" w:val="clear"/>
            <w:tcMar>
              <w:top w:type="dxa" w:w="50"/>
              <w:left w:type="dxa" w:w="110"/>
              <w:bottom w:type="dxa" w:w="50"/>
              <w:right w:type="dxa" w:w="110"/>
            </w:tcMar>
          </w:tcPr>
          <w:p>
            <w:pPr>
              <w:spacing w:before="28" w:after="28"/>
            </w:pPr>
            <w:r>
              <w:rPr>
                <w:sz w:val="15"/>
                <w:szCs w:val="15"/>
              </w:rPr>
              <w:t xml:space="preserve"> </w:t>
            </w:r>
          </w:p>
        </w:tc>
        <w:tc>
          <w:tcPr>
            <w:tcW w:type="pct" w:w="700"/>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Common stock</w:t>
            </w:r>
          </w:p>
        </w:tc>
        <w:tc>
          <w:tcPr>
            <w:tcW w:type="pct" w:w="700"/>
            <w:shd w:fill="FBFAF6" w:val="clear"/>
            <w:tcMar>
              <w:top w:type="dxa" w:w="50"/>
              <w:left w:type="dxa" w:w="110"/>
              <w:bottom w:type="dxa" w:w="50"/>
              <w:right w:type="dxa" w:w="110"/>
            </w:tcMar>
          </w:tcPr>
          <w:p>
            <w:pPr>
              <w:spacing w:before="28" w:after="28"/>
            </w:pPr>
            <w:r>
              <w:rPr>
                <w:sz w:val="15"/>
                <w:szCs w:val="15"/>
              </w:rPr>
              <w:t xml:space="preserve"> </w:t>
            </w:r>
          </w:p>
        </w:tc>
        <w:tc>
          <w:tcPr>
            <w:tcW w:type="pct" w:w="700"/>
            <w:shd w:fill="FBFAF6" w:val="clear"/>
            <w:tcMar>
              <w:top w:type="dxa" w:w="50"/>
              <w:left w:type="dxa" w:w="110"/>
              <w:bottom w:type="dxa" w:w="50"/>
              <w:right w:type="dxa" w:w="110"/>
            </w:tcMar>
          </w:tcPr>
          <w:p>
            <w:pPr>
              <w:spacing w:before="28" w:after="28"/>
            </w:pPr>
            <w:r>
              <w:rPr>
                <w:sz w:val="15"/>
                <w:szCs w:val="15"/>
              </w:rPr>
              <w:t xml:space="preserve">100</w:t>
            </w:r>
          </w:p>
        </w:tc>
      </w:tr>
      <w:tr>
        <w:tc>
          <w:tcPr>
            <w:tcW w:type="pct" w:w="700"/>
            <w:tcMar>
              <w:top w:type="dxa" w:w="50"/>
              <w:left w:type="dxa" w:w="110"/>
              <w:bottom w:type="dxa" w:w="50"/>
              <w:right w:type="dxa" w:w="110"/>
            </w:tcMar>
          </w:tcPr>
          <w:p>
            <w:pPr>
              <w:spacing w:before="28" w:after="28"/>
            </w:pPr>
            <w:r>
              <w:rPr>
                <w:sz w:val="15"/>
                <w:szCs w:val="15"/>
              </w:rPr>
              <w:t xml:space="preserve"> </w:t>
            </w:r>
          </w:p>
        </w:tc>
        <w:tc>
          <w:tcPr>
            <w:tcW w:type="pct" w:w="700"/>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Additional paid-in capital</w:t>
            </w:r>
          </w:p>
        </w:tc>
        <w:tc>
          <w:tcPr>
            <w:tcW w:type="pct" w:w="700"/>
            <w:tcMar>
              <w:top w:type="dxa" w:w="50"/>
              <w:left w:type="dxa" w:w="110"/>
              <w:bottom w:type="dxa" w:w="50"/>
              <w:right w:type="dxa" w:w="110"/>
            </w:tcMar>
          </w:tcPr>
          <w:p>
            <w:pPr>
              <w:spacing w:before="28" w:after="28"/>
            </w:pPr>
            <w:r>
              <w:rPr>
                <w:sz w:val="15"/>
                <w:szCs w:val="15"/>
              </w:rPr>
              <w:t xml:space="preserve"> </w:t>
            </w:r>
          </w:p>
        </w:tc>
        <w:tc>
          <w:tcPr>
            <w:tcW w:type="pct" w:w="700"/>
            <w:tcMar>
              <w:top w:type="dxa" w:w="50"/>
              <w:left w:type="dxa" w:w="110"/>
              <w:bottom w:type="dxa" w:w="50"/>
              <w:right w:type="dxa" w:w="110"/>
            </w:tcMar>
          </w:tcPr>
          <w:p>
            <w:pPr>
              <w:spacing w:before="28" w:after="28"/>
            </w:pPr>
            <w:r>
              <w:rPr>
                <w:sz w:val="15"/>
                <w:szCs w:val="15"/>
              </w:rPr>
              <w:t xml:space="preserve">1,400</w:t>
            </w:r>
          </w:p>
        </w:tc>
      </w:tr>
      <w:tr>
        <w:tc>
          <w:tcPr>
            <w:tcW w:type="pct" w:w="700"/>
            <w:shd w:fill="FBFAF6" w:val="clear"/>
            <w:tcMar>
              <w:top w:type="dxa" w:w="50"/>
              <w:left w:type="dxa" w:w="110"/>
              <w:bottom w:type="dxa" w:w="50"/>
              <w:right w:type="dxa" w:w="110"/>
            </w:tcMar>
          </w:tcPr>
          <w:p>
            <w:pPr>
              <w:spacing w:before="28" w:after="28"/>
            </w:pPr>
            <w:r>
              <w:rPr>
                <w:sz w:val="15"/>
                <w:szCs w:val="15"/>
              </w:rPr>
              <w:t xml:space="preserve"> </w:t>
            </w:r>
          </w:p>
        </w:tc>
        <w:tc>
          <w:tcPr>
            <w:tcW w:type="pct" w:w="700"/>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Issued 100,000 new shares of $1 par common stock for $15 per share, in cash.</w:t>
            </w:r>
          </w:p>
        </w:tc>
        <w:tc>
          <w:tcPr>
            <w:tcW w:type="pct" w:w="700"/>
            <w:shd w:fill="FBFAF6" w:val="clear"/>
            <w:tcMar>
              <w:top w:type="dxa" w:w="50"/>
              <w:left w:type="dxa" w:w="110"/>
              <w:bottom w:type="dxa" w:w="50"/>
              <w:right w:type="dxa" w:w="110"/>
            </w:tcMar>
          </w:tcPr>
          <w:p>
            <w:pPr>
              <w:spacing w:before="28" w:after="28"/>
            </w:pPr>
            <w:r>
              <w:rPr>
                <w:sz w:val="15"/>
                <w:szCs w:val="15"/>
              </w:rPr>
              <w:t xml:space="preserve"> </w:t>
            </w:r>
          </w:p>
        </w:tc>
        <w:tc>
          <w:tcPr>
            <w:tcW w:type="pct" w:w="700"/>
            <w:shd w:fill="FBFAF6" w:val="clear"/>
            <w:tcMar>
              <w:top w:type="dxa" w:w="50"/>
              <w:left w:type="dxa" w:w="110"/>
              <w:bottom w:type="dxa" w:w="50"/>
              <w:right w:type="dxa" w:w="110"/>
            </w:tcMar>
          </w:tcPr>
          <w:p>
            <w:pPr>
              <w:spacing w:before="28" w:after="28"/>
            </w:pPr>
            <w:r>
              <w:rPr>
                <w:sz w:val="15"/>
                <w:szCs w:val="15"/>
              </w:rPr>
              <w:t xml:space="preserve"> </w:t>
            </w:r>
          </w:p>
        </w:tc>
      </w:tr>
      <w:tr>
        <w:tc>
          <w:tcPr>
            <w:tcW w:type="pct" w:w="700"/>
            <w:tcMar>
              <w:top w:type="dxa" w:w="50"/>
              <w:left w:type="dxa" w:w="110"/>
              <w:bottom w:type="dxa" w:w="50"/>
              <w:right w:type="dxa" w:w="110"/>
            </w:tcMar>
          </w:tcPr>
          <w:p>
            <w:pPr>
              <w:spacing w:before="28" w:after="28"/>
            </w:pPr>
            <w:r>
              <w:rPr>
                <w:sz w:val="15"/>
                <w:szCs w:val="15"/>
              </w:rPr>
              <w:t xml:space="preserve">2</w:t>
            </w:r>
          </w:p>
        </w:tc>
        <w:tc>
          <w:tcPr>
            <w:tcW w:type="pct" w:w="700"/>
            <w:shd w:fill="FFFFFF" w:val="clear"/>
            <w:tcMar>
              <w:top w:type="dxa" w:w="50"/>
              <w:left w:type="dxa" w:w="110"/>
              <w:bottom w:type="dxa" w:w="50"/>
              <w:right w:type="dxa" w:w="110"/>
            </w:tcMar>
          </w:tcPr>
          <w:p>
            <w:pPr>
              <w:spacing w:before="46" w:after="46"/>
            </w:pPr>
            <w:r>
              <w:rPr>
                <w:b/>
                <w:bCs/>
                <w:color w:val="8186EF"/>
                <w:sz w:val="14"/>
                <w:szCs w:val="14"/>
              </w:rPr>
              <w:t xml:space="preserve">(17)</w:t>
            </w:r>
          </w:p>
        </w:tc>
        <w:tc>
          <w:tcPr>
            <w:tcW w:type="pct" w:w="2200"/>
            <w:tcMar>
              <w:top w:type="dxa" w:w="50"/>
              <w:left w:type="dxa" w:w="110"/>
              <w:bottom w:type="dxa" w:w="50"/>
              <w:right w:type="dxa" w:w="110"/>
            </w:tcMar>
          </w:tcPr>
          <w:p>
            <w:pPr>
              <w:spacing w:before="28" w:after="28"/>
            </w:pPr>
            <w:r>
              <w:rPr>
                <w:sz w:val="15"/>
                <w:szCs w:val="15"/>
              </w:rPr>
              <w:t xml:space="preserve">Cash</w:t>
            </w:r>
          </w:p>
        </w:tc>
        <w:tc>
          <w:tcPr>
            <w:tcW w:type="pct" w:w="700"/>
            <w:tcMar>
              <w:top w:type="dxa" w:w="50"/>
              <w:left w:type="dxa" w:w="110"/>
              <w:bottom w:type="dxa" w:w="50"/>
              <w:right w:type="dxa" w:w="110"/>
            </w:tcMar>
          </w:tcPr>
          <w:p>
            <w:pPr>
              <w:spacing w:before="28" w:after="28"/>
            </w:pPr>
            <w:r>
              <w:rPr>
                <w:sz w:val="15"/>
                <w:szCs w:val="15"/>
              </w:rPr>
              <w:t xml:space="preserve">800</w:t>
            </w:r>
          </w:p>
        </w:tc>
        <w:tc>
          <w:tcPr>
            <w:tcW w:type="pct" w:w="700"/>
            <w:tcMar>
              <w:top w:type="dxa" w:w="50"/>
              <w:left w:type="dxa" w:w="110"/>
              <w:bottom w:type="dxa" w:w="50"/>
              <w:right w:type="dxa" w:w="110"/>
            </w:tcMar>
          </w:tcPr>
          <w:p>
            <w:pPr>
              <w:spacing w:before="28" w:after="28"/>
            </w:pPr>
            <w:r>
              <w:rPr>
                <w:sz w:val="15"/>
                <w:szCs w:val="15"/>
              </w:rPr>
              <w:t xml:space="preserve"> </w:t>
            </w:r>
          </w:p>
        </w:tc>
      </w:tr>
      <w:tr>
        <w:tc>
          <w:tcPr>
            <w:tcW w:type="pct" w:w="700"/>
            <w:shd w:fill="FBFAF6" w:val="clear"/>
            <w:tcMar>
              <w:top w:type="dxa" w:w="50"/>
              <w:left w:type="dxa" w:w="110"/>
              <w:bottom w:type="dxa" w:w="50"/>
              <w:right w:type="dxa" w:w="110"/>
            </w:tcMar>
          </w:tcPr>
          <w:p>
            <w:pPr>
              <w:spacing w:before="28" w:after="28"/>
            </w:pPr>
            <w:r>
              <w:rPr>
                <w:sz w:val="15"/>
                <w:szCs w:val="15"/>
              </w:rPr>
              <w:t xml:space="preserve"> </w:t>
            </w:r>
          </w:p>
        </w:tc>
        <w:tc>
          <w:tcPr>
            <w:tcW w:type="pct" w:w="700"/>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Notes payable (long-term)</w:t>
            </w:r>
          </w:p>
        </w:tc>
        <w:tc>
          <w:tcPr>
            <w:tcW w:type="pct" w:w="700"/>
            <w:shd w:fill="FBFAF6" w:val="clear"/>
            <w:tcMar>
              <w:top w:type="dxa" w:w="50"/>
              <w:left w:type="dxa" w:w="110"/>
              <w:bottom w:type="dxa" w:w="50"/>
              <w:right w:type="dxa" w:w="110"/>
            </w:tcMar>
          </w:tcPr>
          <w:p>
            <w:pPr>
              <w:spacing w:before="28" w:after="28"/>
            </w:pPr>
            <w:r>
              <w:rPr>
                <w:sz w:val="15"/>
                <w:szCs w:val="15"/>
              </w:rPr>
              <w:t xml:space="preserve"> </w:t>
            </w:r>
          </w:p>
        </w:tc>
        <w:tc>
          <w:tcPr>
            <w:tcW w:type="pct" w:w="700"/>
            <w:shd w:fill="FBFAF6" w:val="clear"/>
            <w:tcMar>
              <w:top w:type="dxa" w:w="50"/>
              <w:left w:type="dxa" w:w="110"/>
              <w:bottom w:type="dxa" w:w="50"/>
              <w:right w:type="dxa" w:w="110"/>
            </w:tcMar>
          </w:tcPr>
          <w:p>
            <w:pPr>
              <w:spacing w:before="28" w:after="28"/>
            </w:pPr>
            <w:r>
              <w:rPr>
                <w:sz w:val="15"/>
                <w:szCs w:val="15"/>
              </w:rPr>
              <w:t xml:space="preserve">800</w:t>
            </w:r>
          </w:p>
        </w:tc>
      </w:tr>
      <w:tr>
        <w:tc>
          <w:tcPr>
            <w:tcW w:type="pct" w:w="700"/>
            <w:tcMar>
              <w:top w:type="dxa" w:w="50"/>
              <w:left w:type="dxa" w:w="110"/>
              <w:bottom w:type="dxa" w:w="50"/>
              <w:right w:type="dxa" w:w="110"/>
            </w:tcMar>
          </w:tcPr>
          <w:p>
            <w:pPr>
              <w:spacing w:before="28" w:after="28"/>
            </w:pPr>
            <w:r>
              <w:rPr>
                <w:sz w:val="15"/>
                <w:szCs w:val="15"/>
              </w:rPr>
              <w:t xml:space="preserve"> </w:t>
            </w:r>
          </w:p>
        </w:tc>
        <w:tc>
          <w:tcPr>
            <w:tcW w:type="pct" w:w="700"/>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(18) </w:t>
            </w:r>
            <w:r>
              <w:rPr>
                <w:u w:val="single"/>
                <w:sz w:val="15"/>
                <w:szCs w:val="15"/>
              </w:rPr>
              <w:t xml:space="preserve">              </w:t>
            </w:r>
            <w:r>
              <w:rPr>
                <w:sz w:val="15"/>
                <w:szCs w:val="15"/>
              </w:rPr>
              <w:t xml:space="preserve"> </w:t>
            </w:r>
            <w:r>
              <w:rPr>
                <w:sz w:val="15"/>
                <w:szCs w:val="15"/>
              </w:rPr>
              <w:t xml:space="preserve"> cash from Levant Commerce Bank on a 5-year note at 6% interest.</w:t>
            </w:r>
          </w:p>
        </w:tc>
        <w:tc>
          <w:tcPr>
            <w:tcW w:type="pct" w:w="700"/>
            <w:tcMar>
              <w:top w:type="dxa" w:w="50"/>
              <w:left w:type="dxa" w:w="110"/>
              <w:bottom w:type="dxa" w:w="50"/>
              <w:right w:type="dxa" w:w="110"/>
            </w:tcMar>
          </w:tcPr>
          <w:p>
            <w:pPr>
              <w:spacing w:before="28" w:after="28"/>
            </w:pPr>
            <w:r>
              <w:rPr>
                <w:sz w:val="15"/>
                <w:szCs w:val="15"/>
              </w:rPr>
              <w:t xml:space="preserve"> </w:t>
            </w:r>
          </w:p>
        </w:tc>
        <w:tc>
          <w:tcPr>
            <w:tcW w:type="pct" w:w="700"/>
            <w:tcMar>
              <w:top w:type="dxa" w:w="50"/>
              <w:left w:type="dxa" w:w="110"/>
              <w:bottom w:type="dxa" w:w="50"/>
              <w:right w:type="dxa" w:w="110"/>
            </w:tcMar>
          </w:tcPr>
          <w:p>
            <w:pPr>
              <w:spacing w:before="28" w:after="28"/>
            </w:pPr>
            <w:r>
              <w:rPr>
                <w:sz w:val="15"/>
                <w:szCs w:val="15"/>
              </w:rPr>
              <w:t xml:space="preserve"> </w:t>
            </w:r>
          </w:p>
        </w:tc>
      </w:tr>
      <w:tr>
        <w:tc>
          <w:tcPr>
            <w:tcW w:type="pct" w:w="700"/>
            <w:shd w:fill="FBFAF6" w:val="clear"/>
            <w:tcMar>
              <w:top w:type="dxa" w:w="50"/>
              <w:left w:type="dxa" w:w="110"/>
              <w:bottom w:type="dxa" w:w="50"/>
              <w:right w:type="dxa" w:w="110"/>
            </w:tcMar>
          </w:tcPr>
          <w:p>
            <w:pPr>
              <w:spacing w:before="28" w:after="28"/>
            </w:pPr>
            <w:r>
              <w:rPr>
                <w:sz w:val="15"/>
                <w:szCs w:val="15"/>
              </w:rPr>
              <w:t xml:space="preserve">3</w:t>
            </w:r>
          </w:p>
        </w:tc>
        <w:tc>
          <w:tcPr>
            <w:tcW w:type="pct" w:w="700"/>
            <w:shd w:fill="FBFAF6" w:val="clear"/>
            <w:tcMar>
              <w:top w:type="dxa" w:w="50"/>
              <w:left w:type="dxa" w:w="110"/>
              <w:bottom w:type="dxa" w:w="50"/>
              <w:right w:type="dxa" w:w="110"/>
            </w:tcMar>
          </w:tcPr>
          <w:p>
            <w:pPr>
              <w:spacing w:before="28" w:after="28"/>
            </w:pPr>
            <w:r>
              <w:rPr>
                <w:sz w:val="15"/>
                <w:szCs w:val="15"/>
              </w:rPr>
              <w:t xml:space="preserve">Jan 10</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(19)</w:t>
            </w:r>
          </w:p>
        </w:tc>
        <w:tc>
          <w:tcPr>
            <w:tcW w:type="pct" w:w="700"/>
            <w:shd w:fill="FBFAF6" w:val="clear"/>
            <w:tcMar>
              <w:top w:type="dxa" w:w="50"/>
              <w:left w:type="dxa" w:w="110"/>
              <w:bottom w:type="dxa" w:w="50"/>
              <w:right w:type="dxa" w:w="110"/>
            </w:tcMar>
          </w:tcPr>
          <w:p>
            <w:pPr>
              <w:spacing w:before="28" w:after="28"/>
            </w:pPr>
            <w:r>
              <w:rPr>
                <w:sz w:val="15"/>
                <w:szCs w:val="15"/>
              </w:rPr>
              <w:t xml:space="preserve">1,200</w:t>
            </w:r>
          </w:p>
        </w:tc>
        <w:tc>
          <w:tcPr>
            <w:tcW w:type="pct" w:w="700"/>
            <w:shd w:fill="FBFAF6" w:val="clear"/>
            <w:tcMar>
              <w:top w:type="dxa" w:w="50"/>
              <w:left w:type="dxa" w:w="110"/>
              <w:bottom w:type="dxa" w:w="50"/>
              <w:right w:type="dxa" w:w="110"/>
            </w:tcMar>
          </w:tcPr>
          <w:p>
            <w:pPr>
              <w:spacing w:before="28" w:after="28"/>
            </w:pPr>
            <w:r>
              <w:rPr>
                <w:sz w:val="15"/>
                <w:szCs w:val="15"/>
              </w:rPr>
              <w:t xml:space="preserve"> </w:t>
            </w:r>
          </w:p>
        </w:tc>
      </w:tr>
      <w:tr>
        <w:tc>
          <w:tcPr>
            <w:tcW w:type="pct" w:w="700"/>
            <w:tcMar>
              <w:top w:type="dxa" w:w="50"/>
              <w:left w:type="dxa" w:w="110"/>
              <w:bottom w:type="dxa" w:w="50"/>
              <w:right w:type="dxa" w:w="110"/>
            </w:tcMar>
          </w:tcPr>
          <w:p>
            <w:pPr>
              <w:spacing w:before="28" w:after="28"/>
            </w:pPr>
            <w:r>
              <w:rPr>
                <w:sz w:val="15"/>
                <w:szCs w:val="15"/>
              </w:rPr>
              <w:t xml:space="preserve"> </w:t>
            </w:r>
          </w:p>
        </w:tc>
        <w:tc>
          <w:tcPr>
            <w:tcW w:type="pct" w:w="700"/>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(20)</w:t>
            </w:r>
          </w:p>
        </w:tc>
        <w:tc>
          <w:tcPr>
            <w:tcW w:type="pct" w:w="700"/>
            <w:tcMar>
              <w:top w:type="dxa" w:w="50"/>
              <w:left w:type="dxa" w:w="110"/>
              <w:bottom w:type="dxa" w:w="50"/>
              <w:right w:type="dxa" w:w="110"/>
            </w:tcMar>
          </w:tcPr>
          <w:p>
            <w:pPr>
              <w:spacing w:before="28" w:after="28"/>
            </w:pPr>
            <w:r>
              <w:rPr>
                <w:sz w:val="15"/>
                <w:szCs w:val="15"/>
              </w:rPr>
              <w:t xml:space="preserve"> </w:t>
            </w:r>
          </w:p>
        </w:tc>
        <w:tc>
          <w:tcPr>
            <w:tcW w:type="pct" w:w="700"/>
            <w:tcMar>
              <w:top w:type="dxa" w:w="50"/>
              <w:left w:type="dxa" w:w="110"/>
              <w:bottom w:type="dxa" w:w="50"/>
              <w:right w:type="dxa" w:w="110"/>
            </w:tcMar>
          </w:tcPr>
          <w:p>
            <w:pPr>
              <w:spacing w:before="28" w:after="28"/>
            </w:pPr>
            <w:r>
              <w:rPr>
                <w:sz w:val="15"/>
                <w:szCs w:val="15"/>
              </w:rPr>
              <w:t xml:space="preserve">1,200</w:t>
            </w:r>
          </w:p>
        </w:tc>
      </w:tr>
      <w:tr>
        <w:tc>
          <w:tcPr>
            <w:tcW w:type="pct" w:w="700"/>
            <w:shd w:fill="FBFAF6" w:val="clear"/>
            <w:tcMar>
              <w:top w:type="dxa" w:w="50"/>
              <w:left w:type="dxa" w:w="110"/>
              <w:bottom w:type="dxa" w:w="50"/>
              <w:right w:type="dxa" w:w="110"/>
            </w:tcMar>
          </w:tcPr>
          <w:p>
            <w:pPr>
              <w:spacing w:before="28" w:after="28"/>
            </w:pPr>
            <w:r>
              <w:rPr>
                <w:sz w:val="15"/>
                <w:szCs w:val="15"/>
              </w:rPr>
              <w:t xml:space="preserve"> </w:t>
            </w:r>
          </w:p>
        </w:tc>
        <w:tc>
          <w:tcPr>
            <w:tcW w:type="pct" w:w="700"/>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Bought a new </w:t>
            </w:r>
            <w:r>
              <w:rPr>
                <w:b/>
                <w:bCs/>
                <w:color w:val="8186EF"/>
                <w:sz w:val="14"/>
                <w:szCs w:val="14"/>
              </w:rPr>
              <w:t xml:space="preserve"> (21) </w:t>
            </w:r>
            <w:r>
              <w:rPr>
                <w:u w:val="single"/>
                <w:sz w:val="15"/>
                <w:szCs w:val="15"/>
              </w:rPr>
              <w:t xml:space="preserve">              </w:t>
            </w:r>
            <w:r>
              <w:rPr>
                <w:sz w:val="15"/>
                <w:szCs w:val="15"/>
              </w:rPr>
              <w:t xml:space="preserve"> </w:t>
            </w:r>
            <w:r>
              <w:rPr>
                <w:sz w:val="15"/>
                <w:szCs w:val="15"/>
              </w:rPr>
              <w:t xml:space="preserve"> line for the Amman plant and paid cash.</w:t>
            </w:r>
          </w:p>
        </w:tc>
        <w:tc>
          <w:tcPr>
            <w:tcW w:type="pct" w:w="700"/>
            <w:shd w:fill="FBFAF6" w:val="clear"/>
            <w:tcMar>
              <w:top w:type="dxa" w:w="50"/>
              <w:left w:type="dxa" w:w="110"/>
              <w:bottom w:type="dxa" w:w="50"/>
              <w:right w:type="dxa" w:w="110"/>
            </w:tcMar>
          </w:tcPr>
          <w:p>
            <w:pPr>
              <w:spacing w:before="28" w:after="28"/>
            </w:pPr>
            <w:r>
              <w:rPr>
                <w:sz w:val="15"/>
                <w:szCs w:val="15"/>
              </w:rPr>
              <w:t xml:space="preserve"> </w:t>
            </w:r>
          </w:p>
        </w:tc>
        <w:tc>
          <w:tcPr>
            <w:tcW w:type="pct" w:w="700"/>
            <w:shd w:fill="FBFAF6" w:val="clear"/>
            <w:tcMar>
              <w:top w:type="dxa" w:w="50"/>
              <w:left w:type="dxa" w:w="110"/>
              <w:bottom w:type="dxa" w:w="50"/>
              <w:right w:type="dxa" w:w="110"/>
            </w:tcMar>
          </w:tcPr>
          <w:p>
            <w:pPr>
              <w:spacing w:before="28" w:after="28"/>
            </w:pPr>
            <w:r>
              <w:rPr>
                <w:sz w:val="15"/>
                <w:szCs w:val="15"/>
              </w:rPr>
              <w:t xml:space="preserve"> </w:t>
            </w:r>
          </w:p>
        </w:tc>
      </w:tr>
      <w:tr>
        <w:tc>
          <w:tcPr>
            <w:tcW w:type="pct" w:w="700"/>
            <w:tcMar>
              <w:top w:type="dxa" w:w="50"/>
              <w:left w:type="dxa" w:w="110"/>
              <w:bottom w:type="dxa" w:w="50"/>
              <w:right w:type="dxa" w:w="110"/>
            </w:tcMar>
          </w:tcPr>
          <w:p>
            <w:pPr>
              <w:spacing w:before="28" w:after="28"/>
            </w:pPr>
            <w:r>
              <w:rPr>
                <w:sz w:val="15"/>
                <w:szCs w:val="15"/>
              </w:rPr>
              <w:t xml:space="preserve">4</w:t>
            </w:r>
          </w:p>
        </w:tc>
        <w:tc>
          <w:tcPr>
            <w:tcW w:type="pct" w:w="700"/>
            <w:tcMar>
              <w:top w:type="dxa" w:w="50"/>
              <w:left w:type="dxa" w:w="110"/>
              <w:bottom w:type="dxa" w:w="50"/>
              <w:right w:type="dxa" w:w="110"/>
            </w:tcMar>
          </w:tcPr>
          <w:p>
            <w:pPr>
              <w:spacing w:before="28" w:after="28"/>
            </w:pPr>
            <w:r>
              <w:rPr>
                <w:sz w:val="15"/>
                <w:szCs w:val="15"/>
              </w:rPr>
              <w:t xml:space="preserve">Jan 18</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(22)</w:t>
            </w:r>
          </w:p>
        </w:tc>
        <w:tc>
          <w:tcPr>
            <w:tcW w:type="pct" w:w="700"/>
            <w:tcMar>
              <w:top w:type="dxa" w:w="50"/>
              <w:left w:type="dxa" w:w="110"/>
              <w:bottom w:type="dxa" w:w="50"/>
              <w:right w:type="dxa" w:w="110"/>
            </w:tcMar>
          </w:tcPr>
          <w:p>
            <w:pPr>
              <w:spacing w:before="28" w:after="28"/>
            </w:pPr>
            <w:r>
              <w:rPr>
                <w:sz w:val="15"/>
                <w:szCs w:val="15"/>
              </w:rPr>
              <w:t xml:space="preserve">300</w:t>
            </w:r>
          </w:p>
        </w:tc>
        <w:tc>
          <w:tcPr>
            <w:tcW w:type="pct" w:w="700"/>
            <w:tcMar>
              <w:top w:type="dxa" w:w="50"/>
              <w:left w:type="dxa" w:w="110"/>
              <w:bottom w:type="dxa" w:w="50"/>
              <w:right w:type="dxa" w:w="110"/>
            </w:tcMar>
          </w:tcPr>
          <w:p>
            <w:pPr>
              <w:spacing w:before="28" w:after="28"/>
            </w:pPr>
            <w:r>
              <w:rPr>
                <w:sz w:val="15"/>
                <w:szCs w:val="15"/>
              </w:rPr>
              <w:t xml:space="preserve"> </w:t>
            </w:r>
          </w:p>
        </w:tc>
      </w:tr>
      <w:tr>
        <w:tc>
          <w:tcPr>
            <w:tcW w:type="pct" w:w="700"/>
            <w:shd w:fill="FBFAF6" w:val="clear"/>
            <w:tcMar>
              <w:top w:type="dxa" w:w="50"/>
              <w:left w:type="dxa" w:w="110"/>
              <w:bottom w:type="dxa" w:w="50"/>
              <w:right w:type="dxa" w:w="110"/>
            </w:tcMar>
          </w:tcPr>
          <w:p>
            <w:pPr>
              <w:spacing w:before="28" w:after="28"/>
            </w:pPr>
            <w:r>
              <w:rPr>
                <w:sz w:val="15"/>
                <w:szCs w:val="15"/>
              </w:rPr>
              <w:t xml:space="preserve"> </w:t>
            </w:r>
          </w:p>
        </w:tc>
        <w:tc>
          <w:tcPr>
            <w:tcW w:type="pct" w:w="700"/>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(23)</w:t>
            </w:r>
          </w:p>
        </w:tc>
        <w:tc>
          <w:tcPr>
            <w:tcW w:type="pct" w:w="700"/>
            <w:shd w:fill="FBFAF6" w:val="clear"/>
            <w:tcMar>
              <w:top w:type="dxa" w:w="50"/>
              <w:left w:type="dxa" w:w="110"/>
              <w:bottom w:type="dxa" w:w="50"/>
              <w:right w:type="dxa" w:w="110"/>
            </w:tcMar>
          </w:tcPr>
          <w:p>
            <w:pPr>
              <w:spacing w:before="28" w:after="28"/>
            </w:pPr>
            <w:r>
              <w:rPr>
                <w:sz w:val="15"/>
                <w:szCs w:val="15"/>
              </w:rPr>
              <w:t xml:space="preserve"> </w:t>
            </w:r>
          </w:p>
        </w:tc>
        <w:tc>
          <w:tcPr>
            <w:tcW w:type="pct" w:w="700"/>
            <w:shd w:fill="FBFAF6" w:val="clear"/>
            <w:tcMar>
              <w:top w:type="dxa" w:w="50"/>
              <w:left w:type="dxa" w:w="110"/>
              <w:bottom w:type="dxa" w:w="50"/>
              <w:right w:type="dxa" w:w="110"/>
            </w:tcMar>
          </w:tcPr>
          <w:p>
            <w:pPr>
              <w:spacing w:before="28" w:after="28"/>
            </w:pPr>
            <w:r>
              <w:rPr>
                <w:sz w:val="15"/>
                <w:szCs w:val="15"/>
              </w:rPr>
              <w:t xml:space="preserve">300</w:t>
            </w:r>
          </w:p>
        </w:tc>
      </w:tr>
      <w:tr>
        <w:tc>
          <w:tcPr>
            <w:tcW w:type="pct" w:w="700"/>
            <w:tcMar>
              <w:top w:type="dxa" w:w="50"/>
              <w:left w:type="dxa" w:w="110"/>
              <w:bottom w:type="dxa" w:w="50"/>
              <w:right w:type="dxa" w:w="110"/>
            </w:tcMar>
          </w:tcPr>
          <w:p>
            <w:pPr>
              <w:spacing w:before="28" w:after="28"/>
            </w:pPr>
            <w:r>
              <w:rPr>
                <w:sz w:val="15"/>
                <w:szCs w:val="15"/>
              </w:rPr>
              <w:t xml:space="preserve"> </w:t>
            </w:r>
          </w:p>
        </w:tc>
        <w:tc>
          <w:tcPr>
            <w:tcW w:type="pct" w:w="700"/>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Cost of goods sold</w:t>
            </w:r>
          </w:p>
        </w:tc>
        <w:tc>
          <w:tcPr>
            <w:tcW w:type="pct" w:w="700"/>
            <w:tcMar>
              <w:top w:type="dxa" w:w="50"/>
              <w:left w:type="dxa" w:w="110"/>
              <w:bottom w:type="dxa" w:w="50"/>
              <w:right w:type="dxa" w:w="110"/>
            </w:tcMar>
          </w:tcPr>
          <w:p>
            <w:pPr>
              <w:spacing w:before="28" w:after="28"/>
            </w:pPr>
            <w:r>
              <w:rPr>
                <w:sz w:val="15"/>
                <w:szCs w:val="15"/>
              </w:rPr>
              <w:t xml:space="preserve">180</w:t>
            </w:r>
          </w:p>
        </w:tc>
        <w:tc>
          <w:tcPr>
            <w:tcW w:type="pct" w:w="700"/>
            <w:tcMar>
              <w:top w:type="dxa" w:w="50"/>
              <w:left w:type="dxa" w:w="110"/>
              <w:bottom w:type="dxa" w:w="50"/>
              <w:right w:type="dxa" w:w="110"/>
            </w:tcMar>
          </w:tcPr>
          <w:p>
            <w:pPr>
              <w:spacing w:before="28" w:after="28"/>
            </w:pPr>
            <w:r>
              <w:rPr>
                <w:sz w:val="15"/>
                <w:szCs w:val="15"/>
              </w:rPr>
              <w:t xml:space="preserve"> </w:t>
            </w:r>
          </w:p>
        </w:tc>
      </w:tr>
      <w:tr>
        <w:tc>
          <w:tcPr>
            <w:tcW w:type="pct" w:w="700"/>
            <w:shd w:fill="FBFAF6" w:val="clear"/>
            <w:tcMar>
              <w:top w:type="dxa" w:w="50"/>
              <w:left w:type="dxa" w:w="110"/>
              <w:bottom w:type="dxa" w:w="50"/>
              <w:right w:type="dxa" w:w="110"/>
            </w:tcMar>
          </w:tcPr>
          <w:p>
            <w:pPr>
              <w:spacing w:before="28" w:after="28"/>
            </w:pPr>
            <w:r>
              <w:rPr>
                <w:sz w:val="15"/>
                <w:szCs w:val="15"/>
              </w:rPr>
              <w:t xml:space="preserve"> </w:t>
            </w:r>
          </w:p>
        </w:tc>
        <w:tc>
          <w:tcPr>
            <w:tcW w:type="pct" w:w="700"/>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Inventory</w:t>
            </w:r>
          </w:p>
        </w:tc>
        <w:tc>
          <w:tcPr>
            <w:tcW w:type="pct" w:w="700"/>
            <w:shd w:fill="FBFAF6" w:val="clear"/>
            <w:tcMar>
              <w:top w:type="dxa" w:w="50"/>
              <w:left w:type="dxa" w:w="110"/>
              <w:bottom w:type="dxa" w:w="50"/>
              <w:right w:type="dxa" w:w="110"/>
            </w:tcMar>
          </w:tcPr>
          <w:p>
            <w:pPr>
              <w:spacing w:before="28" w:after="28"/>
            </w:pPr>
            <w:r>
              <w:rPr>
                <w:sz w:val="15"/>
                <w:szCs w:val="15"/>
              </w:rPr>
              <w:t xml:space="preserve"> </w:t>
            </w:r>
          </w:p>
        </w:tc>
        <w:tc>
          <w:tcPr>
            <w:tcW w:type="pct" w:w="700"/>
            <w:shd w:fill="FBFAF6" w:val="clear"/>
            <w:tcMar>
              <w:top w:type="dxa" w:w="50"/>
              <w:left w:type="dxa" w:w="110"/>
              <w:bottom w:type="dxa" w:w="50"/>
              <w:right w:type="dxa" w:w="110"/>
            </w:tcMar>
          </w:tcPr>
          <w:p>
            <w:pPr>
              <w:spacing w:before="28" w:after="28"/>
            </w:pPr>
            <w:r>
              <w:rPr>
                <w:sz w:val="15"/>
                <w:szCs w:val="15"/>
              </w:rPr>
              <w:t xml:space="preserve">180</w:t>
            </w:r>
          </w:p>
        </w:tc>
      </w:tr>
      <w:tr>
        <w:tc>
          <w:tcPr>
            <w:tcW w:type="pct" w:w="700"/>
            <w:tcMar>
              <w:top w:type="dxa" w:w="50"/>
              <w:left w:type="dxa" w:w="110"/>
              <w:bottom w:type="dxa" w:w="50"/>
              <w:right w:type="dxa" w:w="110"/>
            </w:tcMar>
          </w:tcPr>
          <w:p>
            <w:pPr>
              <w:spacing w:before="28" w:after="28"/>
            </w:pPr>
            <w:r>
              <w:rPr>
                <w:sz w:val="15"/>
                <w:szCs w:val="15"/>
              </w:rPr>
              <w:t xml:space="preserve"> </w:t>
            </w:r>
          </w:p>
        </w:tc>
        <w:tc>
          <w:tcPr>
            <w:tcW w:type="pct" w:w="700"/>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Sold olive oil to GreenBasket Supermarkets on credit. The goods had cost Orontes less than the selling price.</w:t>
            </w:r>
          </w:p>
        </w:tc>
        <w:tc>
          <w:tcPr>
            <w:tcW w:type="pct" w:w="700"/>
            <w:tcMar>
              <w:top w:type="dxa" w:w="50"/>
              <w:left w:type="dxa" w:w="110"/>
              <w:bottom w:type="dxa" w:w="50"/>
              <w:right w:type="dxa" w:w="110"/>
            </w:tcMar>
          </w:tcPr>
          <w:p>
            <w:pPr>
              <w:spacing w:before="28" w:after="28"/>
            </w:pPr>
            <w:r>
              <w:rPr>
                <w:sz w:val="15"/>
                <w:szCs w:val="15"/>
              </w:rPr>
              <w:t xml:space="preserve"> </w:t>
            </w:r>
          </w:p>
        </w:tc>
        <w:tc>
          <w:tcPr>
            <w:tcW w:type="pct" w:w="700"/>
            <w:tcMar>
              <w:top w:type="dxa" w:w="50"/>
              <w:left w:type="dxa" w:w="110"/>
              <w:bottom w:type="dxa" w:w="50"/>
              <w:right w:type="dxa" w:w="110"/>
            </w:tcMar>
          </w:tcPr>
          <w:p>
            <w:pPr>
              <w:spacing w:before="28" w:after="28"/>
            </w:pPr>
            <w:r>
              <w:rPr>
                <w:sz w:val="15"/>
                <w:szCs w:val="15"/>
              </w:rPr>
              <w:t xml:space="preserve"> </w:t>
            </w:r>
          </w:p>
        </w:tc>
      </w:tr>
      <w:tr>
        <w:tc>
          <w:tcPr>
            <w:tcW w:type="pct" w:w="700"/>
            <w:shd w:fill="FBFAF6" w:val="clear"/>
            <w:tcMar>
              <w:top w:type="dxa" w:w="50"/>
              <w:left w:type="dxa" w:w="110"/>
              <w:bottom w:type="dxa" w:w="50"/>
              <w:right w:type="dxa" w:w="110"/>
            </w:tcMar>
          </w:tcPr>
          <w:p>
            <w:pPr>
              <w:spacing w:before="28" w:after="28"/>
            </w:pPr>
            <w:r>
              <w:rPr>
                <w:sz w:val="15"/>
                <w:szCs w:val="15"/>
              </w:rPr>
              <w:t xml:space="preserve">5</w:t>
            </w:r>
          </w:p>
        </w:tc>
        <w:tc>
          <w:tcPr>
            <w:tcW w:type="pct" w:w="700"/>
            <w:shd w:fill="FFFFFF" w:val="clear"/>
            <w:tcMar>
              <w:top w:type="dxa" w:w="50"/>
              <w:left w:type="dxa" w:w="110"/>
              <w:bottom w:type="dxa" w:w="50"/>
              <w:right w:type="dxa" w:w="110"/>
            </w:tcMar>
          </w:tcPr>
          <w:p>
            <w:pPr>
              <w:spacing w:before="46" w:after="46"/>
            </w:pPr>
            <w:r>
              <w:rPr>
                <w:b/>
                <w:bCs/>
                <w:color w:val="8186EF"/>
                <w:sz w:val="14"/>
                <w:szCs w:val="14"/>
              </w:rPr>
              <w:t xml:space="preserve">(24)</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(25)</w:t>
            </w:r>
          </w:p>
        </w:tc>
        <w:tc>
          <w:tcPr>
            <w:tcW w:type="pct" w:w="700"/>
            <w:shd w:fill="FBFAF6" w:val="clear"/>
            <w:tcMar>
              <w:top w:type="dxa" w:w="50"/>
              <w:left w:type="dxa" w:w="110"/>
              <w:bottom w:type="dxa" w:w="50"/>
              <w:right w:type="dxa" w:w="110"/>
            </w:tcMar>
          </w:tcPr>
          <w:p>
            <w:pPr>
              <w:spacing w:before="28" w:after="28"/>
            </w:pPr>
            <w:r>
              <w:rPr>
                <w:sz w:val="15"/>
                <w:szCs w:val="15"/>
              </w:rPr>
              <w:t xml:space="preserve">40</w:t>
            </w:r>
          </w:p>
        </w:tc>
        <w:tc>
          <w:tcPr>
            <w:tcW w:type="pct" w:w="700"/>
            <w:shd w:fill="FBFAF6" w:val="clear"/>
            <w:tcMar>
              <w:top w:type="dxa" w:w="50"/>
              <w:left w:type="dxa" w:w="110"/>
              <w:bottom w:type="dxa" w:w="50"/>
              <w:right w:type="dxa" w:w="110"/>
            </w:tcMar>
          </w:tcPr>
          <w:p>
            <w:pPr>
              <w:spacing w:before="28" w:after="28"/>
            </w:pPr>
            <w:r>
              <w:rPr>
                <w:sz w:val="15"/>
                <w:szCs w:val="15"/>
              </w:rPr>
              <w:t xml:space="preserve"> </w:t>
            </w:r>
          </w:p>
        </w:tc>
      </w:tr>
      <w:tr>
        <w:tc>
          <w:tcPr>
            <w:tcW w:type="pct" w:w="700"/>
            <w:tcMar>
              <w:top w:type="dxa" w:w="50"/>
              <w:left w:type="dxa" w:w="110"/>
              <w:bottom w:type="dxa" w:w="50"/>
              <w:right w:type="dxa" w:w="110"/>
            </w:tcMar>
          </w:tcPr>
          <w:p>
            <w:pPr>
              <w:spacing w:before="28" w:after="28"/>
            </w:pPr>
            <w:r>
              <w:rPr>
                <w:sz w:val="15"/>
                <w:szCs w:val="15"/>
              </w:rPr>
              <w:t xml:space="preserve"> </w:t>
            </w:r>
          </w:p>
        </w:tc>
        <w:tc>
          <w:tcPr>
            <w:tcW w:type="pct" w:w="700"/>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Cash</w:t>
            </w:r>
          </w:p>
        </w:tc>
        <w:tc>
          <w:tcPr>
            <w:tcW w:type="pct" w:w="700"/>
            <w:tcMar>
              <w:top w:type="dxa" w:w="50"/>
              <w:left w:type="dxa" w:w="110"/>
              <w:bottom w:type="dxa" w:w="50"/>
              <w:right w:type="dxa" w:w="110"/>
            </w:tcMar>
          </w:tcPr>
          <w:p>
            <w:pPr>
              <w:spacing w:before="28" w:after="28"/>
            </w:pPr>
            <w:r>
              <w:rPr>
                <w:sz w:val="15"/>
                <w:szCs w:val="15"/>
              </w:rPr>
              <w:t xml:space="preserve"> </w:t>
            </w:r>
          </w:p>
        </w:tc>
        <w:tc>
          <w:tcPr>
            <w:tcW w:type="pct" w:w="700"/>
            <w:tcMar>
              <w:top w:type="dxa" w:w="50"/>
              <w:left w:type="dxa" w:w="110"/>
              <w:bottom w:type="dxa" w:w="50"/>
              <w:right w:type="dxa" w:w="110"/>
            </w:tcMar>
          </w:tcPr>
          <w:p>
            <w:pPr>
              <w:spacing w:before="28" w:after="28"/>
            </w:pPr>
            <w:r>
              <w:rPr>
                <w:sz w:val="15"/>
                <w:szCs w:val="15"/>
              </w:rPr>
              <w:t xml:space="preserve">40</w:t>
            </w:r>
          </w:p>
        </w:tc>
      </w:tr>
      <w:tr>
        <w:tc>
          <w:tcPr>
            <w:tcW w:type="pct" w:w="700"/>
            <w:shd w:fill="FBFAF6" w:val="clear"/>
            <w:tcMar>
              <w:top w:type="dxa" w:w="50"/>
              <w:left w:type="dxa" w:w="110"/>
              <w:bottom w:type="dxa" w:w="50"/>
              <w:right w:type="dxa" w:w="110"/>
            </w:tcMar>
          </w:tcPr>
          <w:p>
            <w:pPr>
              <w:spacing w:before="28" w:after="28"/>
            </w:pPr>
            <w:r>
              <w:rPr>
                <w:sz w:val="15"/>
                <w:szCs w:val="15"/>
              </w:rPr>
              <w:t xml:space="preserve"> </w:t>
            </w:r>
          </w:p>
        </w:tc>
        <w:tc>
          <w:tcPr>
            <w:tcW w:type="pct" w:w="700"/>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Paid January wages to plant workers in cash.</w:t>
            </w:r>
          </w:p>
        </w:tc>
        <w:tc>
          <w:tcPr>
            <w:tcW w:type="pct" w:w="700"/>
            <w:shd w:fill="FBFAF6" w:val="clear"/>
            <w:tcMar>
              <w:top w:type="dxa" w:w="50"/>
              <w:left w:type="dxa" w:w="110"/>
              <w:bottom w:type="dxa" w:w="50"/>
              <w:right w:type="dxa" w:w="110"/>
            </w:tcMar>
          </w:tcPr>
          <w:p>
            <w:pPr>
              <w:spacing w:before="28" w:after="28"/>
            </w:pPr>
            <w:r>
              <w:rPr>
                <w:sz w:val="15"/>
                <w:szCs w:val="15"/>
              </w:rPr>
              <w:t xml:space="preserve"> </w:t>
            </w:r>
          </w:p>
        </w:tc>
        <w:tc>
          <w:tcPr>
            <w:tcW w:type="pct" w:w="700"/>
            <w:shd w:fill="FBFAF6" w:val="clear"/>
            <w:tcMar>
              <w:top w:type="dxa" w:w="50"/>
              <w:left w:type="dxa" w:w="110"/>
              <w:bottom w:type="dxa" w:w="50"/>
              <w:right w:type="dxa" w:w="110"/>
            </w:tcMar>
          </w:tcPr>
          <w:p>
            <w:pPr>
              <w:spacing w:before="28" w:after="28"/>
            </w:pPr>
            <w:r>
              <w:rPr>
                <w:sz w:val="15"/>
                <w:szCs w:val="15"/>
              </w:rPr>
              <w:t xml:space="preserve"> </w:t>
            </w:r>
          </w:p>
        </w:tc>
      </w:tr>
      <w:tr>
        <w:tc>
          <w:tcPr>
            <w:tcW w:type="pct" w:w="700"/>
            <w:tcMar>
              <w:top w:type="dxa" w:w="50"/>
              <w:left w:type="dxa" w:w="110"/>
              <w:bottom w:type="dxa" w:w="50"/>
              <w:right w:type="dxa" w:w="110"/>
            </w:tcMar>
          </w:tcPr>
          <w:p>
            <w:pPr>
              <w:spacing w:before="28" w:after="28"/>
            </w:pPr>
            <w:r>
              <w:rPr>
                <w:sz w:val="15"/>
                <w:szCs w:val="15"/>
              </w:rPr>
              <w:t xml:space="preserve">6</w:t>
            </w:r>
          </w:p>
        </w:tc>
        <w:tc>
          <w:tcPr>
            <w:tcW w:type="pct" w:w="700"/>
            <w:tcMar>
              <w:top w:type="dxa" w:w="50"/>
              <w:left w:type="dxa" w:w="110"/>
              <w:bottom w:type="dxa" w:w="50"/>
              <w:right w:type="dxa" w:w="110"/>
            </w:tcMar>
          </w:tcPr>
          <w:p>
            <w:pPr>
              <w:spacing w:before="28" w:after="28"/>
            </w:pPr>
            <w:r>
              <w:rPr>
                <w:sz w:val="15"/>
                <w:szCs w:val="15"/>
              </w:rPr>
              <w:t xml:space="preserve">Jan 31</w:t>
            </w:r>
          </w:p>
        </w:tc>
        <w:tc>
          <w:tcPr>
            <w:tcW w:type="pct" w:w="2200"/>
            <w:tcMar>
              <w:top w:type="dxa" w:w="50"/>
              <w:left w:type="dxa" w:w="110"/>
              <w:bottom w:type="dxa" w:w="50"/>
              <w:right w:type="dxa" w:w="110"/>
            </w:tcMar>
          </w:tcPr>
          <w:p>
            <w:pPr>
              <w:spacing w:before="28" w:after="28"/>
            </w:pPr>
            <w:r>
              <w:rPr>
                <w:sz w:val="15"/>
                <w:szCs w:val="15"/>
              </w:rPr>
              <w:t xml:space="preserve">Retained earnings (dividends declared)</w:t>
            </w:r>
          </w:p>
        </w:tc>
        <w:tc>
          <w:tcPr>
            <w:tcW w:type="pct" w:w="700"/>
            <w:tcMar>
              <w:top w:type="dxa" w:w="50"/>
              <w:left w:type="dxa" w:w="110"/>
              <w:bottom w:type="dxa" w:w="50"/>
              <w:right w:type="dxa" w:w="110"/>
            </w:tcMar>
          </w:tcPr>
          <w:p>
            <w:pPr>
              <w:spacing w:before="28" w:after="28"/>
            </w:pPr>
            <w:r>
              <w:rPr>
                <w:sz w:val="15"/>
                <w:szCs w:val="15"/>
              </w:rPr>
              <w:t xml:space="preserve">50</w:t>
            </w:r>
          </w:p>
        </w:tc>
        <w:tc>
          <w:tcPr>
            <w:tcW w:type="pct" w:w="700"/>
            <w:tcMar>
              <w:top w:type="dxa" w:w="50"/>
              <w:left w:type="dxa" w:w="110"/>
              <w:bottom w:type="dxa" w:w="50"/>
              <w:right w:type="dxa" w:w="110"/>
            </w:tcMar>
          </w:tcPr>
          <w:p>
            <w:pPr>
              <w:spacing w:before="28" w:after="28"/>
            </w:pPr>
            <w:r>
              <w:rPr>
                <w:sz w:val="15"/>
                <w:szCs w:val="15"/>
              </w:rPr>
              <w:t xml:space="preserve"> </w:t>
            </w:r>
          </w:p>
        </w:tc>
      </w:tr>
      <w:tr>
        <w:tc>
          <w:tcPr>
            <w:tcW w:type="pct" w:w="700"/>
            <w:shd w:fill="FBFAF6" w:val="clear"/>
            <w:tcMar>
              <w:top w:type="dxa" w:w="50"/>
              <w:left w:type="dxa" w:w="110"/>
              <w:bottom w:type="dxa" w:w="50"/>
              <w:right w:type="dxa" w:w="110"/>
            </w:tcMar>
          </w:tcPr>
          <w:p>
            <w:pPr>
              <w:spacing w:before="28" w:after="28"/>
            </w:pPr>
            <w:r>
              <w:rPr>
                <w:sz w:val="15"/>
                <w:szCs w:val="15"/>
              </w:rPr>
              <w:t xml:space="preserve"> </w:t>
            </w:r>
          </w:p>
        </w:tc>
        <w:tc>
          <w:tcPr>
            <w:tcW w:type="pct" w:w="700"/>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Dividends payable</w:t>
            </w:r>
          </w:p>
        </w:tc>
        <w:tc>
          <w:tcPr>
            <w:tcW w:type="pct" w:w="700"/>
            <w:shd w:fill="FBFAF6" w:val="clear"/>
            <w:tcMar>
              <w:top w:type="dxa" w:w="50"/>
              <w:left w:type="dxa" w:w="110"/>
              <w:bottom w:type="dxa" w:w="50"/>
              <w:right w:type="dxa" w:w="110"/>
            </w:tcMar>
          </w:tcPr>
          <w:p>
            <w:pPr>
              <w:spacing w:before="28" w:after="28"/>
            </w:pPr>
            <w:r>
              <w:rPr>
                <w:sz w:val="15"/>
                <w:szCs w:val="15"/>
              </w:rPr>
              <w:t xml:space="preserve"> </w:t>
            </w:r>
          </w:p>
        </w:tc>
        <w:tc>
          <w:tcPr>
            <w:tcW w:type="pct" w:w="700"/>
            <w:shd w:fill="FBFAF6" w:val="clear"/>
            <w:tcMar>
              <w:top w:type="dxa" w:w="50"/>
              <w:left w:type="dxa" w:w="110"/>
              <w:bottom w:type="dxa" w:w="50"/>
              <w:right w:type="dxa" w:w="110"/>
            </w:tcMar>
          </w:tcPr>
          <w:p>
            <w:pPr>
              <w:spacing w:before="28" w:after="28"/>
            </w:pPr>
            <w:r>
              <w:rPr>
                <w:sz w:val="15"/>
                <w:szCs w:val="15"/>
              </w:rPr>
              <w:t xml:space="preserve">50</w:t>
            </w:r>
          </w:p>
        </w:tc>
      </w:tr>
      <w:tr>
        <w:tc>
          <w:tcPr>
            <w:tcW w:type="pct" w:w="700"/>
            <w:tcMar>
              <w:top w:type="dxa" w:w="50"/>
              <w:left w:type="dxa" w:w="110"/>
              <w:bottom w:type="dxa" w:w="50"/>
              <w:right w:type="dxa" w:w="110"/>
            </w:tcMar>
          </w:tcPr>
          <w:p>
            <w:pPr>
              <w:spacing w:before="28" w:after="28"/>
            </w:pPr>
            <w:r>
              <w:rPr>
                <w:sz w:val="15"/>
                <w:szCs w:val="15"/>
              </w:rPr>
              <w:t xml:space="preserve"> </w:t>
            </w:r>
          </w:p>
        </w:tc>
        <w:tc>
          <w:tcPr>
            <w:tcW w:type="pct" w:w="700"/>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The board declared a cash dividend, payable on February 15.</w:t>
            </w:r>
          </w:p>
        </w:tc>
        <w:tc>
          <w:tcPr>
            <w:tcW w:type="pct" w:w="700"/>
            <w:tcMar>
              <w:top w:type="dxa" w:w="50"/>
              <w:left w:type="dxa" w:w="110"/>
              <w:bottom w:type="dxa" w:w="50"/>
              <w:right w:type="dxa" w:w="110"/>
            </w:tcMar>
          </w:tcPr>
          <w:p>
            <w:pPr>
              <w:spacing w:before="28" w:after="28"/>
            </w:pPr>
            <w:r>
              <w:rPr>
                <w:sz w:val="15"/>
                <w:szCs w:val="15"/>
              </w:rPr>
              <w:t xml:space="preserve"> </w:t>
            </w:r>
          </w:p>
        </w:tc>
        <w:tc>
          <w:tcPr>
            <w:tcW w:type="pct" w:w="700"/>
            <w:tcMar>
              <w:top w:type="dxa" w:w="50"/>
              <w:left w:type="dxa" w:w="110"/>
              <w:bottom w:type="dxa" w:w="50"/>
              <w:right w:type="dxa" w:w="110"/>
            </w:tcMar>
          </w:tcPr>
          <w:p>
            <w:pPr>
              <w:spacing w:before="28" w:after="28"/>
            </w:pPr>
            <w:r>
              <w:rPr>
                <w:sz w:val="15"/>
                <w:szCs w:val="15"/>
              </w:rPr>
              <w:t xml:space="preserve"> </w:t>
            </w:r>
          </w:p>
        </w:tc>
      </w:tr>
      <w:tr>
        <w:tc>
          <w:tcPr>
            <w:tcW w:type="pct" w:w="700"/>
            <w:shd w:fill="FBFAF6" w:val="clear"/>
            <w:tcMar>
              <w:top w:type="dxa" w:w="50"/>
              <w:left w:type="dxa" w:w="110"/>
              <w:bottom w:type="dxa" w:w="50"/>
              <w:right w:type="dxa" w:w="110"/>
            </w:tcMar>
          </w:tcPr>
          <w:p>
            <w:pPr>
              <w:spacing w:before="28" w:after="28"/>
            </w:pPr>
            <w:r>
              <w:rPr>
                <w:sz w:val="15"/>
                <w:szCs w:val="15"/>
              </w:rPr>
              <w:t xml:space="preserve"> </w:t>
            </w:r>
          </w:p>
        </w:tc>
        <w:tc>
          <w:tcPr>
            <w:tcW w:type="pct" w:w="700"/>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(26)</w:t>
            </w:r>
          </w:p>
        </w:tc>
        <w:tc>
          <w:tcPr>
            <w:tcW w:type="pct" w:w="700"/>
            <w:shd w:fill="FBFAF6" w:val="clear"/>
            <w:tcMar>
              <w:top w:type="dxa" w:w="50"/>
              <w:left w:type="dxa" w:w="110"/>
              <w:bottom w:type="dxa" w:w="50"/>
              <w:right w:type="dxa" w:w="110"/>
            </w:tcMar>
          </w:tcPr>
          <w:p>
            <w:pPr>
              <w:spacing w:before="28" w:after="28"/>
            </w:pPr>
            <w:r>
              <w:rPr>
                <w:sz w:val="15"/>
                <w:szCs w:val="15"/>
              </w:rPr>
              <w:t xml:space="preserve">4,070</w:t>
            </w:r>
          </w:p>
        </w:tc>
        <w:tc>
          <w:tcPr>
            <w:tcW w:type="pct" w:w="700"/>
            <w:shd w:fill="FBFAF6" w:val="clear"/>
            <w:tcMar>
              <w:top w:type="dxa" w:w="50"/>
              <w:left w:type="dxa" w:w="110"/>
              <w:bottom w:type="dxa" w:w="50"/>
              <w:right w:type="dxa" w:w="110"/>
            </w:tcMar>
          </w:tcPr>
          <w:p>
            <w:pPr>
              <w:spacing w:before="28" w:after="28"/>
            </w:pPr>
            <w:r>
              <w:rPr>
                <w:sz w:val="15"/>
                <w:szCs w:val="15"/>
              </w:rPr>
              <w:t xml:space="preserve">4,070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Totals   ·   Jan 5   ·   Jan 31   ·   bottling   ·   Wages expense   ·   Borrowed   ·   Equipment   ·   Sales revenue   ·   Accounts receivable   ·   Cash   ·   Dividends payable</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27–35</w:t>
      </w:r>
    </w:p>
    <w:p>
      <w:pPr>
        <w:spacing w:before="20" w:after="20" w:line="360" w:lineRule="auto"/>
        <w:ind w:left="200"/>
      </w:pPr>
      <w:r>
        <w:rPr>
          <w:sz w:val="19"/>
          <w:szCs w:val="19"/>
        </w:rPr>
        <w:t xml:space="preserve">Check each entry: the debits equal the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w:t>
      </w:r>
      <w:r>
        <w:rPr>
          <w:sz w:val="19"/>
          <w:szCs w:val="19"/>
        </w:rPr>
        <w:t xml:space="preserve">Read the grid row by row. </w:t>
      </w:r>
      <w:r>
        <w:rPr>
          <w:sz w:val="19"/>
          <w:szCs w:val="19"/>
        </w:rPr>
        <w:t xml:space="preserve">Three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matter for the exam. </w:t>
      </w:r>
      <w:r>
        <w:rPr>
          <w:sz w:val="19"/>
          <w:szCs w:val="19"/>
        </w:rPr>
        <w:t xml:space="preserve">Rows 1 and 2 bring in cash of 2,300 in total, but no revenue. </w:t>
      </w:r>
      <w:r>
        <w:rPr>
          <w:sz w:val="19"/>
          <w:szCs w:val="19"/>
        </w:rPr>
        <w:t xml:space="preserve">Money from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and lenders is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w:t>
      </w:r>
      <w:r>
        <w:rPr>
          <w:sz w:val="19"/>
          <w:szCs w:val="19"/>
        </w:rPr>
        <w:t xml:space="preserve">Row 4 creates revenue of 300 but no cash. </w:t>
      </w:r>
      <w:r>
        <w:rPr>
          <w:sz w:val="19"/>
          <w:szCs w:val="19"/>
        </w:rPr>
        <w:t xml:space="preserve">Orontes records revenue when it </w:t>
      </w:r>
      <w:r>
        <w:rPr>
          <w:b/>
          <w:bCs/>
          <w:color w:val="8186EF"/>
          <w:sz w:val="15"/>
          <w:szCs w:val="15"/>
        </w:rPr>
        <w:t xml:space="preserve"> (31) </w:t>
      </w:r>
      <w:r>
        <w:rPr>
          <w:u w:val="single"/>
          <w:sz w:val="19"/>
          <w:szCs w:val="19"/>
        </w:rPr>
        <w:t xml:space="preserve">           </w:t>
      </w:r>
      <w:r>
        <w:rPr>
          <w:sz w:val="19"/>
          <w:szCs w:val="19"/>
        </w:rPr>
        <w:t xml:space="preserve"> </w:t>
      </w:r>
      <w:r>
        <w:rPr>
          <w:sz w:val="19"/>
          <w:szCs w:val="19"/>
        </w:rPr>
        <w:t xml:space="preserve"> the goods, not when the customer pays. </w:t>
      </w:r>
      <w:r>
        <w:rPr>
          <w:sz w:val="19"/>
          <w:szCs w:val="19"/>
        </w:rPr>
        <w:t xml:space="preserve">Row 6 reduces retained earnings by 50 and creates a </w:t>
      </w:r>
      <w:r>
        <w:rPr>
          <w:b/>
          <w:bCs/>
          <w:color w:val="8186EF"/>
          <w:sz w:val="15"/>
          <w:szCs w:val="15"/>
        </w:rPr>
        <w:t xml:space="preserve"> (32) </w:t>
      </w:r>
      <w:r>
        <w:rPr>
          <w:u w:val="single"/>
          <w:sz w:val="19"/>
          <w:szCs w:val="19"/>
        </w:rPr>
        <w:t xml:space="preserve">           </w:t>
      </w:r>
      <w:r>
        <w:rPr>
          <w:sz w:val="19"/>
          <w:szCs w:val="19"/>
        </w:rPr>
        <w:t xml:space="preserve"> </w:t>
      </w:r>
      <w:r>
        <w:rPr>
          <w:sz w:val="19"/>
          <w:szCs w:val="19"/>
        </w:rPr>
        <w:t xml:space="preserve">. </w:t>
      </w:r>
      <w:r>
        <w:rPr>
          <w:sz w:val="19"/>
          <w:szCs w:val="19"/>
        </w:rPr>
        <w:t xml:space="preserve">No cash moves until </w:t>
      </w:r>
      <w:r>
        <w:rPr>
          <w:b/>
          <w:bCs/>
          <w:color w:val="8186EF"/>
          <w:sz w:val="15"/>
          <w:szCs w:val="15"/>
        </w:rPr>
        <w:t xml:space="preserve"> (33) </w:t>
      </w:r>
      <w:r>
        <w:rPr>
          <w:u w:val="single"/>
          <w:sz w:val="19"/>
          <w:szCs w:val="19"/>
        </w:rPr>
        <w:t xml:space="preserve">           </w:t>
      </w:r>
      <w:r>
        <w:rPr>
          <w:sz w:val="19"/>
          <w:szCs w:val="19"/>
        </w:rPr>
        <w:t xml:space="preserve"> </w:t>
      </w:r>
      <w:r>
        <w:rPr>
          <w:sz w:val="19"/>
          <w:szCs w:val="19"/>
        </w:rPr>
        <w:t xml:space="preserve">, and net income does not change. </w:t>
      </w:r>
      <w:r>
        <w:rPr>
          <w:sz w:val="19"/>
          <w:szCs w:val="19"/>
        </w:rPr>
        <w:t xml:space="preserve">The totals prove the </w:t>
      </w:r>
      <w:r>
        <w:rPr>
          <w:b/>
          <w:bCs/>
          <w:color w:val="8186EF"/>
          <w:sz w:val="15"/>
          <w:szCs w:val="15"/>
        </w:rPr>
        <w:t xml:space="preserve"> (34) </w:t>
      </w:r>
      <w:r>
        <w:rPr>
          <w:u w:val="single"/>
          <w:sz w:val="19"/>
          <w:szCs w:val="19"/>
        </w:rPr>
        <w:t xml:space="preserve">           </w:t>
      </w:r>
      <w:r>
        <w:rPr>
          <w:sz w:val="19"/>
          <w:szCs w:val="19"/>
        </w:rPr>
        <w:t xml:space="preserve"> </w:t>
      </w:r>
      <w:r>
        <w:rPr>
          <w:sz w:val="19"/>
          <w:szCs w:val="19"/>
        </w:rPr>
        <w:t xml:space="preserve">. </w:t>
      </w:r>
      <w:r>
        <w:rPr>
          <w:sz w:val="19"/>
          <w:szCs w:val="19"/>
        </w:rPr>
        <w:t xml:space="preserve">Assets rose by 2,380, liabilities rose by 850 and </w:t>
      </w:r>
      <w:r>
        <w:rPr>
          <w:b/>
          <w:bCs/>
          <w:color w:val="8186EF"/>
          <w:sz w:val="15"/>
          <w:szCs w:val="15"/>
        </w:rPr>
        <w:t xml:space="preserve"> (35) </w:t>
      </w:r>
      <w:r>
        <w:rPr>
          <w:u w:val="single"/>
          <w:sz w:val="19"/>
          <w:szCs w:val="19"/>
        </w:rPr>
        <w:t xml:space="preserve">           </w:t>
      </w:r>
      <w:r>
        <w:rPr>
          <w:sz w:val="19"/>
          <w:szCs w:val="19"/>
        </w:rPr>
        <w:t xml:space="preserve"> </w:t>
      </w:r>
      <w:r>
        <w:rPr>
          <w:sz w:val="19"/>
          <w:szCs w:val="19"/>
        </w:rPr>
        <w:t xml:space="preserve"> rose by 1,530.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equity   ·   owners   ·   February   ·   delivers   ·   points   ·   liability   ·   equation   ·   credits   ·   advance   ·   financing</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Three classic mistakes</w:t>
            </w:r>
          </w:p>
        </w:tc>
      </w:tr>
    </w:tbl>
    <w:p/>
    <w:p>
      <w:pPr>
        <w:spacing w:before="44" w:after="14"/>
      </w:pPr>
      <w:r>
        <w:rPr>
          <w:b/>
          <w:bCs/>
          <w:color w:val="353A7C"/>
          <w:sz w:val="18"/>
          <w:szCs w:val="18"/>
        </w:rPr>
        <w:t xml:space="preserve">Summary 4</w:t>
      </w:r>
      <w:r>
        <w:rPr>
          <w:color w:val="6B7280"/>
          <w:sz w:val="16"/>
          <w:szCs w:val="16"/>
        </w:rPr>
        <w:t xml:space="preserve">      gaps 36–39</w:t>
      </w:r>
    </w:p>
    <w:p>
      <w:pPr>
        <w:spacing w:before="20" w:after="20" w:line="360" w:lineRule="auto"/>
        <w:ind w:left="200"/>
      </w:pPr>
      <w:r>
        <w:rPr>
          <w:sz w:val="19"/>
          <w:szCs w:val="19"/>
        </w:rPr>
        <w:t xml:space="preserve">A </w:t>
      </w:r>
      <w:r>
        <w:rPr>
          <w:b/>
          <w:bCs/>
          <w:color w:val="8186EF"/>
          <w:sz w:val="15"/>
          <w:szCs w:val="15"/>
        </w:rPr>
        <w:t xml:space="preserve"> (36) </w:t>
      </w:r>
      <w:r>
        <w:rPr>
          <w:u w:val="single"/>
          <w:sz w:val="19"/>
          <w:szCs w:val="19"/>
        </w:rPr>
        <w:t xml:space="preserve">           </w:t>
      </w:r>
      <w:r>
        <w:rPr>
          <w:sz w:val="19"/>
          <w:szCs w:val="19"/>
        </w:rPr>
        <w:t xml:space="preserve"> </w:t>
      </w:r>
      <w:r>
        <w:rPr>
          <w:sz w:val="19"/>
          <w:szCs w:val="19"/>
        </w:rPr>
        <w:t xml:space="preserve"> is not an expense. </w:t>
      </w:r>
      <w:r>
        <w:rPr>
          <w:sz w:val="19"/>
          <w:szCs w:val="19"/>
        </w:rPr>
        <w:t xml:space="preserve">It reduces </w:t>
      </w:r>
      <w:r>
        <w:rPr>
          <w:b/>
          <w:bCs/>
          <w:color w:val="8186EF"/>
          <w:sz w:val="15"/>
          <w:szCs w:val="15"/>
        </w:rPr>
        <w:t xml:space="preserve"> (37) </w:t>
      </w:r>
      <w:r>
        <w:rPr>
          <w:u w:val="single"/>
          <w:sz w:val="19"/>
          <w:szCs w:val="19"/>
        </w:rPr>
        <w:t xml:space="preserve">           </w:t>
      </w:r>
      <w:r>
        <w:rPr>
          <w:sz w:val="19"/>
          <w:szCs w:val="19"/>
        </w:rPr>
        <w:t xml:space="preserve"> </w:t>
      </w:r>
      <w:r>
        <w:rPr>
          <w:sz w:val="19"/>
          <w:szCs w:val="19"/>
        </w:rPr>
        <w:t xml:space="preserve"> earnings, not net income. </w:t>
      </w:r>
      <w:r>
        <w:rPr>
          <w:sz w:val="19"/>
          <w:szCs w:val="19"/>
        </w:rPr>
        <w:t xml:space="preserve">Cash from borrowing or from issuing shares is not </w:t>
      </w:r>
      <w:r>
        <w:rPr>
          <w:b/>
          <w:bCs/>
          <w:color w:val="8186EF"/>
          <w:sz w:val="15"/>
          <w:szCs w:val="15"/>
        </w:rPr>
        <w:t xml:space="preserve"> (38)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(39) </w:t>
      </w:r>
      <w:r>
        <w:rPr>
          <w:u w:val="single"/>
          <w:sz w:val="19"/>
          <w:szCs w:val="19"/>
        </w:rPr>
        <w:t xml:space="preserve">           </w:t>
      </w:r>
      <w:r>
        <w:rPr>
          <w:sz w:val="19"/>
          <w:szCs w:val="19"/>
        </w:rPr>
        <w:t xml:space="preserve"> </w:t>
      </w:r>
      <w:r>
        <w:rPr>
          <w:sz w:val="19"/>
          <w:szCs w:val="19"/>
        </w:rPr>
        <w:t xml:space="preserve"> equipment for cash is not an expense today. </w:t>
      </w:r>
      <w:r>
        <w:rPr>
          <w:sz w:val="19"/>
          <w:szCs w:val="19"/>
        </w:rPr>
        <w:t xml:space="preserve">One asset (cash) becomes another asset (equipment). </w:t>
      </w:r>
      <w:r>
        <w:rPr>
          <w:sz w:val="19"/>
          <w:szCs w:val="19"/>
        </w:rPr>
        <w:t xml:space="preserve">The cost becomes an expense later, through depreciation.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Buying   ·   equation   ·   retained   ·   revenue   ·   dividend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Orontes Foods in February</w:t>
            </w:r>
          </w:p>
        </w:tc>
      </w:tr>
    </w:tbl>
    <w:p/>
    <w:p>
      <w:pPr>
        <w:spacing w:before="44" w:after="14"/>
      </w:pPr>
      <w:r>
        <w:rPr>
          <w:b/>
          <w:bCs/>
          <w:color w:val="353A7C"/>
          <w:sz w:val="18"/>
          <w:szCs w:val="18"/>
        </w:rPr>
        <w:t xml:space="preserve">Summary 5</w:t>
      </w:r>
      <w:r>
        <w:rPr>
          <w:color w:val="6B7280"/>
          <w:sz w:val="16"/>
          <w:szCs w:val="16"/>
        </w:rPr>
        <w:t xml:space="preserve">      gaps 40–48</w:t>
      </w:r>
    </w:p>
    <w:p>
      <w:pPr>
        <w:spacing w:before="20" w:after="20" w:line="360" w:lineRule="auto"/>
        <w:ind w:left="200"/>
      </w:pPr>
      <w:r>
        <w:rPr>
          <w:sz w:val="19"/>
          <w:szCs w:val="19"/>
        </w:rPr>
        <w:t xml:space="preserve">Here are six </w:t>
      </w:r>
      <w:r>
        <w:rPr>
          <w:b/>
          <w:bCs/>
          <w:color w:val="8186EF"/>
          <w:sz w:val="15"/>
          <w:szCs w:val="15"/>
        </w:rPr>
        <w:t xml:space="preserve"> (40) </w:t>
      </w:r>
      <w:r>
        <w:rPr>
          <w:u w:val="single"/>
          <w:sz w:val="19"/>
          <w:szCs w:val="19"/>
        </w:rPr>
        <w:t xml:space="preserve">              </w:t>
      </w:r>
      <w:r>
        <w:rPr>
          <w:sz w:val="19"/>
          <w:szCs w:val="19"/>
        </w:rPr>
        <w:t xml:space="preserve"> </w:t>
      </w:r>
      <w:r>
        <w:rPr>
          <w:sz w:val="19"/>
          <w:szCs w:val="19"/>
        </w:rPr>
        <w:t xml:space="preserve"> from February (USD 000). </w:t>
      </w:r>
      <w:r>
        <w:rPr>
          <w:sz w:val="19"/>
          <w:szCs w:val="19"/>
        </w:rPr>
        <w:t xml:space="preserve">Feb 3: Paid a supplier for olives bought on </w:t>
      </w:r>
      <w:r>
        <w:rPr>
          <w:b/>
          <w:bCs/>
          <w:color w:val="8186EF"/>
          <w:sz w:val="15"/>
          <w:szCs w:val="15"/>
        </w:rPr>
        <w:t xml:space="preserve"> (41) </w:t>
      </w:r>
      <w:r>
        <w:rPr>
          <w:u w:val="single"/>
          <w:sz w:val="19"/>
          <w:szCs w:val="19"/>
        </w:rPr>
        <w:t xml:space="preserve">           </w:t>
      </w:r>
      <w:r>
        <w:rPr>
          <w:sz w:val="19"/>
          <w:szCs w:val="19"/>
        </w:rPr>
        <w:t xml:space="preserve"> </w:t>
      </w:r>
      <w:r>
        <w:rPr>
          <w:sz w:val="19"/>
          <w:szCs w:val="19"/>
        </w:rPr>
        <w:t xml:space="preserve"> in January. </w:t>
      </w:r>
      <w:r>
        <w:rPr>
          <w:sz w:val="19"/>
          <w:szCs w:val="19"/>
        </w:rPr>
        <w:t xml:space="preserve">Feb 8: Collected part of the January receivable from GreenBasket </w:t>
      </w:r>
      <w:r>
        <w:rPr>
          <w:b/>
          <w:bCs/>
          <w:color w:val="8186EF"/>
          <w:sz w:val="15"/>
          <w:szCs w:val="15"/>
        </w:rPr>
        <w:t xml:space="preserve"> (42) </w:t>
      </w:r>
      <w:r>
        <w:rPr>
          <w:u w:val="single"/>
          <w:sz w:val="19"/>
          <w:szCs w:val="19"/>
        </w:rPr>
        <w:t xml:space="preserve">              </w:t>
      </w:r>
      <w:r>
        <w:rPr>
          <w:sz w:val="19"/>
          <w:szCs w:val="19"/>
        </w:rPr>
        <w:t xml:space="preserve"> </w:t>
      </w:r>
      <w:r>
        <w:rPr>
          <w:sz w:val="19"/>
          <w:szCs w:val="19"/>
        </w:rPr>
        <w:t xml:space="preserve">. </w:t>
      </w:r>
      <w:r>
        <w:rPr>
          <w:sz w:val="19"/>
          <w:szCs w:val="19"/>
        </w:rPr>
        <w:t xml:space="preserve">Feb 10: Paid 12 months of </w:t>
      </w:r>
      <w:r>
        <w:rPr>
          <w:b/>
          <w:bCs/>
          <w:color w:val="8186EF"/>
          <w:sz w:val="15"/>
          <w:szCs w:val="15"/>
        </w:rPr>
        <w:t xml:space="preserve"> (43) </w:t>
      </w:r>
      <w:r>
        <w:rPr>
          <w:u w:val="single"/>
          <w:sz w:val="19"/>
          <w:szCs w:val="19"/>
        </w:rPr>
        <w:t xml:space="preserve">           </w:t>
      </w:r>
      <w:r>
        <w:rPr>
          <w:sz w:val="19"/>
          <w:szCs w:val="19"/>
        </w:rPr>
        <w:t xml:space="preserve"> </w:t>
      </w:r>
      <w:r>
        <w:rPr>
          <w:sz w:val="19"/>
          <w:szCs w:val="19"/>
        </w:rPr>
        <w:t xml:space="preserve"> rent in advance. </w:t>
      </w:r>
      <w:r>
        <w:rPr>
          <w:sz w:val="19"/>
          <w:szCs w:val="19"/>
        </w:rPr>
        <w:t xml:space="preserve">Feb 12: A Dubai hotel group paid cash in advance for </w:t>
      </w:r>
      <w:r>
        <w:rPr>
          <w:b/>
          <w:bCs/>
          <w:color w:val="8186EF"/>
          <w:sz w:val="15"/>
          <w:szCs w:val="15"/>
        </w:rPr>
        <w:t xml:space="preserve"> (44) </w:t>
      </w:r>
      <w:r>
        <w:rPr>
          <w:u w:val="single"/>
          <w:sz w:val="19"/>
          <w:szCs w:val="19"/>
        </w:rPr>
        <w:t xml:space="preserve">           </w:t>
      </w:r>
      <w:r>
        <w:rPr>
          <w:sz w:val="19"/>
          <w:szCs w:val="19"/>
        </w:rPr>
        <w:t xml:space="preserve"> </w:t>
      </w:r>
      <w:r>
        <w:rPr>
          <w:sz w:val="19"/>
          <w:szCs w:val="19"/>
        </w:rPr>
        <w:t xml:space="preserve"> that Orontes will deliver in March. </w:t>
      </w:r>
      <w:r>
        <w:rPr>
          <w:sz w:val="19"/>
          <w:szCs w:val="19"/>
        </w:rPr>
        <w:t xml:space="preserve">Feb 15: Paid the </w:t>
      </w:r>
      <w:r>
        <w:rPr>
          <w:b/>
          <w:bCs/>
          <w:color w:val="8186EF"/>
          <w:sz w:val="15"/>
          <w:szCs w:val="15"/>
        </w:rPr>
        <w:t xml:space="preserve"> (45) </w:t>
      </w:r>
      <w:r>
        <w:rPr>
          <w:u w:val="single"/>
          <w:sz w:val="19"/>
          <w:szCs w:val="19"/>
        </w:rPr>
        <w:t xml:space="preserve">           </w:t>
      </w:r>
      <w:r>
        <w:rPr>
          <w:sz w:val="19"/>
          <w:szCs w:val="19"/>
        </w:rPr>
        <w:t xml:space="preserve"> </w:t>
      </w:r>
      <w:r>
        <w:rPr>
          <w:sz w:val="19"/>
          <w:szCs w:val="19"/>
        </w:rPr>
        <w:t xml:space="preserve"> declared on January 31. </w:t>
      </w:r>
      <w:r>
        <w:rPr>
          <w:sz w:val="19"/>
          <w:szCs w:val="19"/>
        </w:rPr>
        <w:t xml:space="preserve">Feb 28: </w:t>
      </w:r>
      <w:r>
        <w:rPr>
          <w:b/>
          <w:bCs/>
          <w:color w:val="8186EF"/>
          <w:sz w:val="15"/>
          <w:szCs w:val="15"/>
        </w:rPr>
        <w:t xml:space="preserve"> (46) </w:t>
      </w:r>
      <w:r>
        <w:rPr>
          <w:u w:val="single"/>
          <w:sz w:val="19"/>
          <w:szCs w:val="19"/>
        </w:rPr>
        <w:t xml:space="preserve">           </w:t>
      </w:r>
      <w:r>
        <w:rPr>
          <w:sz w:val="19"/>
          <w:szCs w:val="19"/>
        </w:rPr>
        <w:t xml:space="preserve"> </w:t>
      </w:r>
      <w:r>
        <w:rPr>
          <w:sz w:val="19"/>
          <w:szCs w:val="19"/>
        </w:rPr>
        <w:t xml:space="preserve"> one month of interest on the bank note. </w:t>
      </w:r>
      <w:r>
        <w:rPr>
          <w:sz w:val="19"/>
          <w:szCs w:val="19"/>
        </w:rPr>
        <w:t xml:space="preserve">Orontes has not paid it yet. </w:t>
      </w:r>
      <w:r>
        <w:rPr>
          <w:sz w:val="19"/>
          <w:szCs w:val="19"/>
        </w:rPr>
        <w:t xml:space="preserve">Rows 1 to 3 are done for you. </w:t>
      </w:r>
      <w:r>
        <w:rPr>
          <w:sz w:val="19"/>
          <w:szCs w:val="19"/>
        </w:rPr>
        <w:t xml:space="preserve"/>
      </w:r>
      <w:r>
        <w:rPr>
          <w:b/>
          <w:bCs/>
          <w:color w:val="8186EF"/>
          <w:sz w:val="15"/>
          <w:szCs w:val="15"/>
        </w:rPr>
        <w:t xml:space="preserve"> (47) </w:t>
      </w:r>
      <w:r>
        <w:rPr>
          <w:u w:val="single"/>
          <w:sz w:val="19"/>
          <w:szCs w:val="19"/>
        </w:rPr>
        <w:t xml:space="preserve">           </w:t>
      </w:r>
      <w:r>
        <w:rPr>
          <w:sz w:val="19"/>
          <w:szCs w:val="19"/>
        </w:rPr>
        <w:t xml:space="preserve"> </w:t>
      </w:r>
      <w:r>
        <w:rPr>
          <w:sz w:val="19"/>
          <w:szCs w:val="19"/>
        </w:rPr>
        <w:t xml:space="preserve"> rows 4 to 6. </w:t>
      </w:r>
      <w:r>
        <w:rPr>
          <w:sz w:val="19"/>
          <w:szCs w:val="19"/>
        </w:rPr>
        <w:t xml:space="preserve">Then write the </w:t>
      </w:r>
      <w:r>
        <w:rPr>
          <w:b/>
          <w:bCs/>
          <w:color w:val="8186EF"/>
          <w:sz w:val="15"/>
          <w:szCs w:val="15"/>
        </w:rPr>
        <w:t xml:space="preserve"> (48) </w:t>
      </w:r>
      <w:r>
        <w:rPr>
          <w:u w:val="single"/>
          <w:sz w:val="19"/>
          <w:szCs w:val="19"/>
        </w:rPr>
        <w:t xml:space="preserve">           </w:t>
      </w:r>
      <w:r>
        <w:rPr>
          <w:sz w:val="19"/>
          <w:szCs w:val="19"/>
        </w:rPr>
        <w:t xml:space="preserve"> </w:t>
      </w:r>
      <w:r>
        <w:rPr>
          <w:sz w:val="19"/>
          <w:szCs w:val="19"/>
        </w:rPr>
        <w:t xml:space="preserve"> entries for rows 4 to 6.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Complete   ·   warehouse   ·   pastries   ·   equation   ·   credit   ·   journal   ·   transactions   ·   Supermarkets   ·   dividend   ·   Recorded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Describing the effect of a transaction</w:t>
            </w:r>
          </w:p>
        </w:tc>
      </w:tr>
    </w:tbl>
    <w:p/>
    <w:p>
      <w:pPr>
        <w:pageBreakBefore w:val="true"/>
        <w:spacing w:after="0"/>
      </w:pPr>
      <w:r>
        <w:rPr>
          <w:sz w:val="2"/>
        </w:rPr>
        <w:t xml:space="preserve"> </w:t>
      </w:r>
    </w:p>
    <w:p>
      <w:pPr>
        <w:spacing w:before="44" w:after="14"/>
      </w:pPr>
      <w:r>
        <w:rPr>
          <w:b/>
          <w:bCs/>
          <w:color w:val="353A7C"/>
          <w:sz w:val="18"/>
          <w:szCs w:val="18"/>
        </w:rPr>
        <w:t xml:space="preserve">Summary 6</w:t>
      </w:r>
      <w:r>
        <w:rPr>
          <w:color w:val="6B7280"/>
          <w:sz w:val="16"/>
          <w:szCs w:val="16"/>
        </w:rPr>
        <w:t xml:space="preserve">      gaps 49–54</w:t>
      </w:r>
    </w:p>
    <w:p>
      <w:pPr>
        <w:spacing w:before="20" w:after="20" w:line="360" w:lineRule="auto"/>
        <w:ind w:left="200"/>
      </w:pPr>
      <w:r>
        <w:rPr>
          <w:sz w:val="19"/>
          <w:szCs w:val="19"/>
        </w:rPr>
        <w:t xml:space="preserve">X is debited (or </w:t>
      </w:r>
      <w:r>
        <w:rPr>
          <w:b/>
          <w:bCs/>
          <w:color w:val="8186EF"/>
          <w:sz w:val="15"/>
          <w:szCs w:val="15"/>
        </w:rPr>
        <w:t xml:space="preserve"> (49) </w:t>
      </w:r>
      <w:r>
        <w:rPr>
          <w:u w:val="single"/>
          <w:sz w:val="19"/>
          <w:szCs w:val="19"/>
        </w:rPr>
        <w:t xml:space="preserve">           </w:t>
      </w:r>
      <w:r>
        <w:rPr>
          <w:sz w:val="19"/>
          <w:szCs w:val="19"/>
        </w:rPr>
        <w:t xml:space="preserve"> </w:t>
      </w:r>
      <w:r>
        <w:rPr>
          <w:sz w:val="19"/>
          <w:szCs w:val="19"/>
        </w:rPr>
        <w:t xml:space="preserve">) for an amount: Cash is debited for 1,500. </w:t>
      </w:r>
      <w:r>
        <w:rPr>
          <w:sz w:val="19"/>
          <w:szCs w:val="19"/>
        </w:rPr>
        <w:t xml:space="preserve">Exam stems often say: The effect of this </w:t>
      </w:r>
      <w:r>
        <w:rPr>
          <w:b/>
          <w:bCs/>
          <w:color w:val="8186EF"/>
          <w:sz w:val="15"/>
          <w:szCs w:val="15"/>
        </w:rPr>
        <w:t xml:space="preserve"> (50) </w:t>
      </w:r>
      <w:r>
        <w:rPr>
          <w:u w:val="single"/>
          <w:sz w:val="19"/>
          <w:szCs w:val="19"/>
        </w:rPr>
        <w:t xml:space="preserve">             </w:t>
      </w:r>
      <w:r>
        <w:rPr>
          <w:sz w:val="19"/>
          <w:szCs w:val="19"/>
        </w:rPr>
        <w:t xml:space="preserve"> </w:t>
      </w:r>
      <w:r>
        <w:rPr>
          <w:sz w:val="19"/>
          <w:szCs w:val="19"/>
        </w:rPr>
        <w:t xml:space="preserve"> is to increase... </w:t>
      </w:r>
      <w:r>
        <w:rPr>
          <w:sz w:val="19"/>
          <w:szCs w:val="19"/>
        </w:rPr>
        <w:t xml:space="preserve">In English, always say </w:t>
      </w:r>
      <w:r>
        <w:rPr>
          <w:b/>
          <w:bCs/>
          <w:color w:val="8186EF"/>
          <w:sz w:val="15"/>
          <w:szCs w:val="15"/>
        </w:rPr>
        <w:t xml:space="preserve"> (51) </w:t>
      </w:r>
      <w:r>
        <w:rPr>
          <w:u w:val="single"/>
          <w:sz w:val="19"/>
          <w:szCs w:val="19"/>
        </w:rPr>
        <w:t xml:space="preserve">              </w:t>
      </w:r>
      <w:r>
        <w:rPr>
          <w:sz w:val="19"/>
          <w:szCs w:val="19"/>
        </w:rPr>
        <w:t xml:space="preserve"> </w:t>
      </w:r>
      <w:r>
        <w:rPr>
          <w:sz w:val="19"/>
          <w:szCs w:val="19"/>
        </w:rPr>
        <w:t xml:space="preserve">. </w:t>
      </w:r>
      <w:r>
        <w:rPr>
          <w:sz w:val="19"/>
          <w:szCs w:val="19"/>
        </w:rPr>
        <w:t xml:space="preserve">An allowance (for example, the allowance for credit losses) reduces an </w:t>
      </w:r>
      <w:r>
        <w:rPr>
          <w:b/>
          <w:bCs/>
          <w:color w:val="8186EF"/>
          <w:sz w:val="15"/>
          <w:szCs w:val="15"/>
        </w:rPr>
        <w:t xml:space="preserve"> (52) </w:t>
      </w:r>
      <w:r>
        <w:rPr>
          <w:u w:val="single"/>
          <w:sz w:val="19"/>
          <w:szCs w:val="19"/>
        </w:rPr>
        <w:t xml:space="preserve">           </w:t>
      </w:r>
      <w:r>
        <w:rPr>
          <w:sz w:val="19"/>
          <w:szCs w:val="19"/>
        </w:rPr>
        <w:t xml:space="preserve"> </w:t>
      </w:r>
      <w:r>
        <w:rPr>
          <w:sz w:val="19"/>
          <w:szCs w:val="19"/>
        </w:rPr>
        <w:t xml:space="preserve">. </w:t>
      </w:r>
      <w:r>
        <w:rPr>
          <w:sz w:val="19"/>
          <w:szCs w:val="19"/>
        </w:rPr>
        <w:t xml:space="preserve">A provision is a </w:t>
      </w:r>
      <w:r>
        <w:rPr>
          <w:b/>
          <w:bCs/>
          <w:color w:val="8186EF"/>
          <w:sz w:val="15"/>
          <w:szCs w:val="15"/>
        </w:rPr>
        <w:t xml:space="preserve"> (53) </w:t>
      </w:r>
      <w:r>
        <w:rPr>
          <w:u w:val="single"/>
          <w:sz w:val="19"/>
          <w:szCs w:val="19"/>
        </w:rPr>
        <w:t xml:space="preserve">           </w:t>
      </w:r>
      <w:r>
        <w:rPr>
          <w:sz w:val="19"/>
          <w:szCs w:val="19"/>
        </w:rPr>
        <w:t xml:space="preserve"> </w:t>
      </w:r>
      <w:r>
        <w:rPr>
          <w:sz w:val="19"/>
          <w:szCs w:val="19"/>
        </w:rPr>
        <w:t xml:space="preserve">. </w:t>
      </w:r>
      <w:r>
        <w:rPr>
          <w:sz w:val="19"/>
          <w:szCs w:val="19"/>
        </w:rPr>
        <w:t xml:space="preserve">Never say </w:t>
      </w:r>
      <w:r>
        <w:rPr>
          <w:b/>
          <w:bCs/>
          <w:color w:val="8186EF"/>
          <w:sz w:val="15"/>
          <w:szCs w:val="15"/>
        </w:rPr>
        <w:t xml:space="preserve"> (54) </w:t>
      </w:r>
      <w:r>
        <w:rPr>
          <w:u w:val="single"/>
          <w:sz w:val="19"/>
          <w:szCs w:val="19"/>
        </w:rPr>
        <w:t xml:space="preserve">           </w:t>
      </w:r>
      <w:r>
        <w:rPr>
          <w:sz w:val="19"/>
          <w:szCs w:val="19"/>
        </w:rPr>
        <w:t xml:space="preserve"> </w:t>
      </w:r>
      <w:r>
        <w:rPr>
          <w:sz w:val="19"/>
          <w:szCs w:val="19"/>
        </w:rPr>
        <w:t xml:space="preserve"> for bad debts in a U.S. GAAP answer. </w:t>
      </w:r>
      <w:r>
        <w:rPr>
          <w:sz w:val="19"/>
          <w:szCs w:val="19"/>
        </w:rPr>
        <w:t xml:space="preserve">That is the bank's view. </w:t>
      </w:r>
      <w:r>
        <w:rPr>
          <w:sz w:val="19"/>
          <w:szCs w:val="19"/>
        </w:rPr>
        <w:t xml:space="preserve">Do not use banking habits to guess the accounting side.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transaction   ·   belongs   ·   reserve   ·   credited   ·   liability   ·   depreciation   ·   asset</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97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29726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par value   ·   normal balance   ·   double-entry system   ·   debit</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double-entry system</w:t>
            </w:r>
          </w:p>
        </w:tc>
        <w:tc>
          <w:tcPr>
            <w:tcW w:type="pct" w:w="2600"/>
            <w:tcMar>
              <w:top w:type="dxa" w:w="50"/>
              <w:left w:type="dxa" w:w="110"/>
              <w:bottom w:type="dxa" w:w="50"/>
              <w:right w:type="dxa" w:w="110"/>
            </w:tcMar>
          </w:tcPr>
          <w:p>
            <w:pPr>
              <w:spacing w:before="26" w:after="26"/>
            </w:pPr>
            <w:r>
              <w:rPr>
                <w:color w:val="232733"/>
                <w:sz w:val="16"/>
                <w:szCs w:val="16"/>
              </w:rPr>
              <w:t xml:space="preserve">نظام القيد المزدوج</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debit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مدين</w:t>
            </w:r>
          </w:p>
        </w:tc>
      </w:tr>
      <w:tr>
        <w:tc>
          <w:tcPr>
            <w:tcW w:type="pct" w:w="2400"/>
            <w:tcMar>
              <w:top w:type="dxa" w:w="50"/>
              <w:left w:type="dxa" w:w="110"/>
              <w:bottom w:type="dxa" w:w="50"/>
              <w:right w:type="dxa" w:w="110"/>
            </w:tcMar>
          </w:tcPr>
          <w:p>
            <w:pPr>
              <w:spacing w:before="26" w:after="26"/>
            </w:pPr>
            <w:r>
              <w:rPr>
                <w:color w:val="232733"/>
                <w:sz w:val="16"/>
                <w:szCs w:val="16"/>
              </w:rPr>
              <w:t xml:space="preserve">credit</w:t>
            </w:r>
          </w:p>
        </w:tc>
        <w:tc>
          <w:tcPr>
            <w:tcW w:type="pct" w:w="2600"/>
            <w:tcMar>
              <w:top w:type="dxa" w:w="50"/>
              <w:left w:type="dxa" w:w="110"/>
              <w:bottom w:type="dxa" w:w="50"/>
              <w:right w:type="dxa" w:w="110"/>
            </w:tcMar>
          </w:tcPr>
          <w:p>
            <w:pPr>
              <w:spacing w:before="26" w:after="26"/>
            </w:pPr>
            <w:r>
              <w:rPr>
                <w:color w:val="232733"/>
                <w:sz w:val="16"/>
                <w:szCs w:val="16"/>
              </w:rPr>
              <w:t xml:space="preserve">دائن</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normal balance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الرصيد الطبيعي</w:t>
            </w:r>
          </w:p>
        </w:tc>
      </w:tr>
      <w:tr>
        <w:tc>
          <w:tcPr>
            <w:tcW w:type="pct" w:w="2400"/>
            <w:tcMar>
              <w:top w:type="dxa" w:w="50"/>
              <w:left w:type="dxa" w:w="110"/>
              <w:bottom w:type="dxa" w:w="50"/>
              <w:right w:type="dxa" w:w="110"/>
            </w:tcMar>
          </w:tcPr>
          <w:p>
            <w:pPr>
              <w:spacing w:before="26" w:after="26"/>
            </w:pPr>
            <w:r>
              <w:rPr>
                <w:color w:val="232733"/>
                <w:sz w:val="16"/>
                <w:szCs w:val="16"/>
              </w:rPr>
              <w:t xml:space="preserve">journal entry</w:t>
            </w:r>
          </w:p>
        </w:tc>
        <w:tc>
          <w:tcPr>
            <w:tcW w:type="pct" w:w="2600"/>
            <w:tcMar>
              <w:top w:type="dxa" w:w="50"/>
              <w:left w:type="dxa" w:w="110"/>
              <w:bottom w:type="dxa" w:w="50"/>
              <w:right w:type="dxa" w:w="110"/>
            </w:tcMar>
          </w:tcPr>
          <w:p>
            <w:pPr>
              <w:spacing w:before="26" w:after="26"/>
            </w:pPr>
            <w:r>
              <w:rPr>
                <w:color w:val="232733"/>
                <w:sz w:val="16"/>
                <w:szCs w:val="16"/>
              </w:rPr>
              <w:t xml:space="preserve">قيد اليومية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T-account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حساب على شكل حرف T</w:t>
            </w:r>
          </w:p>
        </w:tc>
      </w:tr>
      <w:tr>
        <w:tc>
          <w:tcPr>
            <w:tcW w:type="pct" w:w="2400"/>
            <w:tcMar>
              <w:top w:type="dxa" w:w="50"/>
              <w:left w:type="dxa" w:w="110"/>
              <w:bottom w:type="dxa" w:w="50"/>
              <w:right w:type="dxa" w:w="110"/>
            </w:tcMar>
          </w:tcPr>
          <w:p>
            <w:pPr>
              <w:spacing w:before="26" w:after="26"/>
            </w:pPr>
            <w:r>
              <w:rPr>
                <w:color w:val="232733"/>
                <w:sz w:val="16"/>
                <w:szCs w:val="16"/>
              </w:rPr>
              <w:t xml:space="preserve">trial balance</w:t>
            </w:r>
          </w:p>
        </w:tc>
        <w:tc>
          <w:tcPr>
            <w:tcW w:type="pct" w:w="2600"/>
            <w:tcMar>
              <w:top w:type="dxa" w:w="50"/>
              <w:left w:type="dxa" w:w="110"/>
              <w:bottom w:type="dxa" w:w="50"/>
              <w:right w:type="dxa" w:w="110"/>
            </w:tcMar>
          </w:tcPr>
          <w:p>
            <w:pPr>
              <w:spacing w:before="26" w:after="26"/>
            </w:pPr>
            <w:r>
              <w:rPr>
                <w:color w:val="232733"/>
                <w:sz w:val="16"/>
                <w:szCs w:val="16"/>
              </w:rPr>
              <w:t xml:space="preserve">ميزان المراجعة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contra account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حساب مقابل (حساب عكسي)</w:t>
            </w:r>
          </w:p>
        </w:tc>
      </w:tr>
      <w:tr>
        <w:tc>
          <w:tcPr>
            <w:tcW w:type="pct" w:w="2400"/>
            <w:tcMar>
              <w:top w:type="dxa" w:w="50"/>
              <w:left w:type="dxa" w:w="110"/>
              <w:bottom w:type="dxa" w:w="50"/>
              <w:right w:type="dxa" w:w="110"/>
            </w:tcMar>
          </w:tcPr>
          <w:p>
            <w:pPr>
              <w:spacing w:before="26" w:after="26"/>
            </w:pPr>
            <w:r>
              <w:rPr>
                <w:color w:val="232733"/>
                <w:sz w:val="16"/>
                <w:szCs w:val="16"/>
              </w:rPr>
              <w:t xml:space="preserve">accumulated depreciation</w:t>
            </w:r>
          </w:p>
        </w:tc>
        <w:tc>
          <w:tcPr>
            <w:tcW w:type="pct" w:w="2600"/>
            <w:tcMar>
              <w:top w:type="dxa" w:w="50"/>
              <w:left w:type="dxa" w:w="110"/>
              <w:bottom w:type="dxa" w:w="50"/>
              <w:right w:type="dxa" w:w="110"/>
            </w:tcMar>
          </w:tcPr>
          <w:p>
            <w:pPr>
              <w:spacing w:before="26" w:after="26"/>
            </w:pPr>
            <w:r>
              <w:rPr>
                <w:color w:val="232733"/>
                <w:sz w:val="16"/>
                <w:szCs w:val="16"/>
              </w:rPr>
              <w:t xml:space="preserve">مجمع الإهلاك (مجمع الاستهلاك / الاهتلاك)</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allowance for credit losses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مخصص الخسائر الائتمانية</w:t>
            </w:r>
          </w:p>
        </w:tc>
      </w:tr>
      <w:tr>
        <w:tc>
          <w:tcPr>
            <w:tcW w:type="pct" w:w="2400"/>
            <w:tcMar>
              <w:top w:type="dxa" w:w="50"/>
              <w:left w:type="dxa" w:w="110"/>
              <w:bottom w:type="dxa" w:w="50"/>
              <w:right w:type="dxa" w:w="110"/>
            </w:tcMar>
          </w:tcPr>
          <w:p>
            <w:pPr>
              <w:spacing w:before="26" w:after="26"/>
            </w:pPr>
            <w:r>
              <w:rPr>
                <w:color w:val="232733"/>
                <w:sz w:val="16"/>
                <w:szCs w:val="16"/>
              </w:rPr>
              <w:t xml:space="preserve">accounts receivable</w:t>
            </w:r>
          </w:p>
        </w:tc>
        <w:tc>
          <w:tcPr>
            <w:tcW w:type="pct" w:w="2600"/>
            <w:tcMar>
              <w:top w:type="dxa" w:w="50"/>
              <w:left w:type="dxa" w:w="110"/>
              <w:bottom w:type="dxa" w:w="50"/>
              <w:right w:type="dxa" w:w="110"/>
            </w:tcMar>
          </w:tcPr>
          <w:p>
            <w:pPr>
              <w:spacing w:before="26" w:after="26"/>
            </w:pPr>
            <w:r>
              <w:rPr>
                <w:color w:val="232733"/>
                <w:sz w:val="16"/>
                <w:szCs w:val="16"/>
              </w:rPr>
              <w:t xml:space="preserve">الذمم المدينة (المدينون)</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accounts payable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الذمم الدائنة (الدائنون)</w:t>
            </w:r>
          </w:p>
        </w:tc>
      </w:tr>
      <w:tr>
        <w:tc>
          <w:tcPr>
            <w:tcW w:type="pct" w:w="2400"/>
            <w:tcMar>
              <w:top w:type="dxa" w:w="50"/>
              <w:left w:type="dxa" w:w="110"/>
              <w:bottom w:type="dxa" w:w="50"/>
              <w:right w:type="dxa" w:w="110"/>
            </w:tcMar>
          </w:tcPr>
          <w:p>
            <w:pPr>
              <w:spacing w:before="26" w:after="26"/>
            </w:pPr>
            <w:r>
              <w:rPr>
                <w:color w:val="232733"/>
                <w:sz w:val="16"/>
                <w:szCs w:val="16"/>
              </w:rPr>
              <w:t xml:space="preserve">inventory</w:t>
            </w:r>
          </w:p>
        </w:tc>
        <w:tc>
          <w:tcPr>
            <w:tcW w:type="pct" w:w="2600"/>
            <w:tcMar>
              <w:top w:type="dxa" w:w="50"/>
              <w:left w:type="dxa" w:w="110"/>
              <w:bottom w:type="dxa" w:w="50"/>
              <w:right w:type="dxa" w:w="110"/>
            </w:tcMar>
          </w:tcPr>
          <w:p>
            <w:pPr>
              <w:spacing w:before="26" w:after="26"/>
            </w:pPr>
            <w:r>
              <w:rPr>
                <w:color w:val="232733"/>
                <w:sz w:val="16"/>
                <w:szCs w:val="16"/>
              </w:rPr>
              <w:t xml:space="preserve">المخزون</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cost of goods sold</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تكلفة البضاعة المباعة</w:t>
            </w:r>
          </w:p>
        </w:tc>
      </w:tr>
      <w:tr>
        <w:tc>
          <w:tcPr>
            <w:tcW w:type="pct" w:w="2400"/>
            <w:tcMar>
              <w:top w:type="dxa" w:w="50"/>
              <w:left w:type="dxa" w:w="110"/>
              <w:bottom w:type="dxa" w:w="50"/>
              <w:right w:type="dxa" w:w="110"/>
            </w:tcMar>
          </w:tcPr>
          <w:p>
            <w:pPr>
              <w:spacing w:before="26" w:after="26"/>
            </w:pPr>
            <w:r>
              <w:rPr>
                <w:color w:val="232733"/>
                <w:sz w:val="16"/>
                <w:szCs w:val="16"/>
              </w:rPr>
              <w:t xml:space="preserve">notes payable</w:t>
            </w:r>
          </w:p>
        </w:tc>
        <w:tc>
          <w:tcPr>
            <w:tcW w:type="pct" w:w="2600"/>
            <w:tcMar>
              <w:top w:type="dxa" w:w="50"/>
              <w:left w:type="dxa" w:w="110"/>
              <w:bottom w:type="dxa" w:w="50"/>
              <w:right w:type="dxa" w:w="110"/>
            </w:tcMar>
          </w:tcPr>
          <w:p>
            <w:pPr>
              <w:spacing w:before="26" w:after="26"/>
            </w:pPr>
            <w:r>
              <w:rPr>
                <w:color w:val="232733"/>
                <w:sz w:val="16"/>
                <w:szCs w:val="16"/>
              </w:rPr>
              <w:t xml:space="preserve">أوراق الدفع</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1.3  Double entry: debits and credits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double-entry</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financing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affects</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delivers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accounting</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liability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simply</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February</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Whether</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equation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expanded</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equity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dividends</w:t>
            </w:r>
          </w:p>
        </w:tc>
        <w:tc>
          <w:tcPr>
            <w:tcW w:type="pct" w:w="2500"/>
            <w:tcMar>
              <w:top w:type="dxa" w:w="20"/>
              <w:left w:type="dxa" w:w="80"/>
              <w:bottom w:type="dxa" w:w="20"/>
              <w:right w:type="dxa" w:w="80"/>
            </w:tcMar>
          </w:tcPr>
          <w:p>
            <w:pPr>
              <w:spacing w:before="12" w:after="12"/>
            </w:pPr>
            <w:r>
              <w:rPr>
                <w:b/>
                <w:bCs/>
                <w:color w:val="8186EF"/>
                <w:sz w:val="16"/>
                <w:szCs w:val="16"/>
              </w:rPr>
              <w:t xml:space="preserve">36  </w:t>
            </w:r>
            <w:r>
              <w:rPr>
                <w:sz w:val="16"/>
                <w:szCs w:val="16"/>
              </w:rPr>
              <w:t xml:space="preserve">dividend</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equity</w:t>
            </w:r>
          </w:p>
        </w:tc>
        <w:tc>
          <w:tcPr>
            <w:tcW w:type="pct" w:w="2500"/>
            <w:tcMar>
              <w:top w:type="dxa" w:w="20"/>
              <w:left w:type="dxa" w:w="80"/>
              <w:bottom w:type="dxa" w:w="20"/>
              <w:right w:type="dxa" w:w="80"/>
            </w:tcMar>
          </w:tcPr>
          <w:p>
            <w:pPr>
              <w:spacing w:before="12" w:after="12"/>
            </w:pPr>
            <w:r>
              <w:rPr>
                <w:b/>
                <w:bCs/>
                <w:color w:val="8186EF"/>
                <w:sz w:val="16"/>
                <w:szCs w:val="16"/>
              </w:rPr>
              <w:t xml:space="preserve">37  </w:t>
            </w:r>
            <w:r>
              <w:rPr>
                <w:sz w:val="16"/>
                <w:szCs w:val="16"/>
              </w:rPr>
              <w:t xml:space="preserve">retained</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opposite</w:t>
            </w:r>
          </w:p>
        </w:tc>
        <w:tc>
          <w:tcPr>
            <w:tcW w:type="pct" w:w="2500"/>
            <w:tcMar>
              <w:top w:type="dxa" w:w="20"/>
              <w:left w:type="dxa" w:w="80"/>
              <w:bottom w:type="dxa" w:w="20"/>
              <w:right w:type="dxa" w:w="80"/>
            </w:tcMar>
          </w:tcPr>
          <w:p>
            <w:pPr>
              <w:spacing w:before="12" w:after="12"/>
            </w:pPr>
            <w:r>
              <w:rPr>
                <w:b/>
                <w:bCs/>
                <w:color w:val="8186EF"/>
                <w:sz w:val="16"/>
                <w:szCs w:val="16"/>
              </w:rPr>
              <w:t xml:space="preserve">38  </w:t>
            </w:r>
            <w:r>
              <w:rPr>
                <w:sz w:val="16"/>
                <w:szCs w:val="16"/>
              </w:rPr>
              <w:t xml:space="preserve">revenue</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depreciation</w:t>
            </w:r>
          </w:p>
        </w:tc>
        <w:tc>
          <w:tcPr>
            <w:tcW w:type="pct" w:w="2500"/>
            <w:tcMar>
              <w:top w:type="dxa" w:w="20"/>
              <w:left w:type="dxa" w:w="80"/>
              <w:bottom w:type="dxa" w:w="20"/>
              <w:right w:type="dxa" w:w="80"/>
            </w:tcMar>
          </w:tcPr>
          <w:p>
            <w:pPr>
              <w:spacing w:before="12" w:after="12"/>
            </w:pPr>
            <w:r>
              <w:rPr>
                <w:b/>
                <w:bCs/>
                <w:color w:val="8186EF"/>
                <w:sz w:val="16"/>
                <w:szCs w:val="16"/>
              </w:rPr>
              <w:t xml:space="preserve">39  </w:t>
            </w:r>
            <w:r>
              <w:rPr>
                <w:sz w:val="16"/>
                <w:szCs w:val="16"/>
              </w:rPr>
              <w:t xml:space="preserve">Buying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belongs</w:t>
            </w:r>
          </w:p>
        </w:tc>
        <w:tc>
          <w:tcPr>
            <w:tcW w:type="pct" w:w="2500"/>
            <w:tcMar>
              <w:top w:type="dxa" w:w="20"/>
              <w:left w:type="dxa" w:w="80"/>
              <w:bottom w:type="dxa" w:w="20"/>
              <w:right w:type="dxa" w:w="80"/>
            </w:tcMar>
          </w:tcPr>
          <w:p>
            <w:pPr>
              <w:spacing w:before="12" w:after="12"/>
            </w:pPr>
            <w:r>
              <w:rPr>
                <w:b/>
                <w:bCs/>
                <w:color w:val="8186EF"/>
                <w:sz w:val="16"/>
                <w:szCs w:val="16"/>
              </w:rPr>
              <w:t xml:space="preserve">40  </w:t>
            </w:r>
            <w:r>
              <w:rPr>
                <w:sz w:val="16"/>
                <w:szCs w:val="16"/>
              </w:rPr>
              <w:t xml:space="preserve">transactions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receivable</w:t>
            </w:r>
          </w:p>
        </w:tc>
        <w:tc>
          <w:tcPr>
            <w:tcW w:type="pct" w:w="2500"/>
            <w:tcMar>
              <w:top w:type="dxa" w:w="20"/>
              <w:left w:type="dxa" w:w="80"/>
              <w:bottom w:type="dxa" w:w="20"/>
              <w:right w:type="dxa" w:w="80"/>
            </w:tcMar>
          </w:tcPr>
          <w:p>
            <w:pPr>
              <w:spacing w:before="12" w:after="12"/>
            </w:pPr>
            <w:r>
              <w:rPr>
                <w:b/>
                <w:bCs/>
                <w:color w:val="8186EF"/>
                <w:sz w:val="16"/>
                <w:szCs w:val="16"/>
              </w:rPr>
              <w:t xml:space="preserve">41  </w:t>
            </w:r>
            <w:r>
              <w:rPr>
                <w:sz w:val="16"/>
                <w:szCs w:val="16"/>
              </w:rPr>
              <w:t xml:space="preserve">credit</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pastries</w:t>
            </w:r>
          </w:p>
        </w:tc>
        <w:tc>
          <w:tcPr>
            <w:tcW w:type="pct" w:w="2500"/>
            <w:tcMar>
              <w:top w:type="dxa" w:w="20"/>
              <w:left w:type="dxa" w:w="80"/>
              <w:bottom w:type="dxa" w:w="20"/>
              <w:right w:type="dxa" w:w="80"/>
            </w:tcMar>
          </w:tcPr>
          <w:p>
            <w:pPr>
              <w:spacing w:before="12" w:after="12"/>
            </w:pPr>
            <w:r>
              <w:rPr>
                <w:b/>
                <w:bCs/>
                <w:color w:val="8186EF"/>
                <w:sz w:val="16"/>
                <w:szCs w:val="16"/>
              </w:rPr>
              <w:t xml:space="preserve">42  </w:t>
            </w:r>
            <w:r>
              <w:rPr>
                <w:sz w:val="16"/>
                <w:szCs w:val="16"/>
              </w:rPr>
              <w:t xml:space="preserve">Supermarkets</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exchange</w:t>
            </w:r>
          </w:p>
        </w:tc>
        <w:tc>
          <w:tcPr>
            <w:tcW w:type="pct" w:w="2500"/>
            <w:tcMar>
              <w:top w:type="dxa" w:w="20"/>
              <w:left w:type="dxa" w:w="80"/>
              <w:bottom w:type="dxa" w:w="20"/>
              <w:right w:type="dxa" w:w="80"/>
            </w:tcMar>
          </w:tcPr>
          <w:p>
            <w:pPr>
              <w:spacing w:before="12" w:after="12"/>
            </w:pPr>
            <w:r>
              <w:rPr>
                <w:b/>
                <w:bCs/>
                <w:color w:val="8186EF"/>
                <w:sz w:val="16"/>
                <w:szCs w:val="16"/>
              </w:rPr>
              <w:t xml:space="preserve">43  </w:t>
            </w:r>
            <w:r>
              <w:rPr>
                <w:sz w:val="16"/>
                <w:szCs w:val="16"/>
              </w:rPr>
              <w:t xml:space="preserve">warehouse</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transactions</w:t>
            </w:r>
          </w:p>
        </w:tc>
        <w:tc>
          <w:tcPr>
            <w:tcW w:type="pct" w:w="2500"/>
            <w:tcMar>
              <w:top w:type="dxa" w:w="20"/>
              <w:left w:type="dxa" w:w="80"/>
              <w:bottom w:type="dxa" w:w="20"/>
              <w:right w:type="dxa" w:w="80"/>
            </w:tcMar>
          </w:tcPr>
          <w:p>
            <w:pPr>
              <w:spacing w:before="12" w:after="12"/>
            </w:pPr>
            <w:r>
              <w:rPr>
                <w:b/>
                <w:bCs/>
                <w:color w:val="8186EF"/>
                <w:sz w:val="16"/>
                <w:szCs w:val="16"/>
              </w:rPr>
              <w:t xml:space="preserve">44  </w:t>
            </w:r>
            <w:r>
              <w:rPr>
                <w:sz w:val="16"/>
                <w:szCs w:val="16"/>
              </w:rPr>
              <w:t xml:space="preserve">pastries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Amounts</w:t>
            </w:r>
          </w:p>
        </w:tc>
        <w:tc>
          <w:tcPr>
            <w:tcW w:type="pct" w:w="2500"/>
            <w:tcMar>
              <w:top w:type="dxa" w:w="20"/>
              <w:left w:type="dxa" w:w="80"/>
              <w:bottom w:type="dxa" w:w="20"/>
              <w:right w:type="dxa" w:w="80"/>
            </w:tcMar>
          </w:tcPr>
          <w:p>
            <w:pPr>
              <w:spacing w:before="12" w:after="12"/>
            </w:pPr>
            <w:r>
              <w:rPr>
                <w:b/>
                <w:bCs/>
                <w:color w:val="8186EF"/>
                <w:sz w:val="16"/>
                <w:szCs w:val="16"/>
              </w:rPr>
              <w:t xml:space="preserve">45  </w:t>
            </w:r>
            <w:r>
              <w:rPr>
                <w:sz w:val="16"/>
                <w:szCs w:val="16"/>
              </w:rPr>
              <w:t xml:space="preserve">dividend</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Jan 5</w:t>
            </w:r>
          </w:p>
        </w:tc>
        <w:tc>
          <w:tcPr>
            <w:tcW w:type="pct" w:w="2500"/>
            <w:tcMar>
              <w:top w:type="dxa" w:w="20"/>
              <w:left w:type="dxa" w:w="80"/>
              <w:bottom w:type="dxa" w:w="20"/>
              <w:right w:type="dxa" w:w="80"/>
            </w:tcMar>
          </w:tcPr>
          <w:p>
            <w:pPr>
              <w:spacing w:before="12" w:after="12"/>
            </w:pPr>
            <w:r>
              <w:rPr>
                <w:b/>
                <w:bCs/>
                <w:color w:val="8186EF"/>
                <w:sz w:val="16"/>
                <w:szCs w:val="16"/>
              </w:rPr>
              <w:t xml:space="preserve">46  </w:t>
            </w:r>
            <w:r>
              <w:rPr>
                <w:sz w:val="16"/>
                <w:szCs w:val="16"/>
              </w:rPr>
              <w:t xml:space="preserve">Recorded</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Borrowed</w:t>
            </w:r>
          </w:p>
        </w:tc>
        <w:tc>
          <w:tcPr>
            <w:tcW w:type="pct" w:w="2500"/>
            <w:tcMar>
              <w:top w:type="dxa" w:w="20"/>
              <w:left w:type="dxa" w:w="80"/>
              <w:bottom w:type="dxa" w:w="20"/>
              <w:right w:type="dxa" w:w="80"/>
            </w:tcMar>
          </w:tcPr>
          <w:p>
            <w:pPr>
              <w:spacing w:before="12" w:after="12"/>
            </w:pPr>
            <w:r>
              <w:rPr>
                <w:b/>
                <w:bCs/>
                <w:color w:val="8186EF"/>
                <w:sz w:val="16"/>
                <w:szCs w:val="16"/>
              </w:rPr>
              <w:t xml:space="preserve">47  </w:t>
            </w:r>
            <w:r>
              <w:rPr>
                <w:sz w:val="16"/>
                <w:szCs w:val="16"/>
              </w:rPr>
              <w:t xml:space="preserve">Complete</w:t>
            </w:r>
          </w:p>
        </w:tc>
      </w:tr>
      <w:tr>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Equipment</w:t>
            </w:r>
          </w:p>
        </w:tc>
        <w:tc>
          <w:tcPr>
            <w:tcW w:type="pct" w:w="2500"/>
            <w:tcMar>
              <w:top w:type="dxa" w:w="20"/>
              <w:left w:type="dxa" w:w="80"/>
              <w:bottom w:type="dxa" w:w="20"/>
              <w:right w:type="dxa" w:w="80"/>
            </w:tcMar>
          </w:tcPr>
          <w:p>
            <w:pPr>
              <w:spacing w:before="12" w:after="12"/>
            </w:pPr>
            <w:r>
              <w:rPr>
                <w:b/>
                <w:bCs/>
                <w:color w:val="8186EF"/>
                <w:sz w:val="16"/>
                <w:szCs w:val="16"/>
              </w:rPr>
              <w:t xml:space="preserve">48  </w:t>
            </w:r>
            <w:r>
              <w:rPr>
                <w:sz w:val="16"/>
                <w:szCs w:val="16"/>
              </w:rPr>
              <w:t xml:space="preserve">journal</w:t>
            </w:r>
          </w:p>
        </w:tc>
      </w:tr>
      <w:tr>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Cash</w:t>
            </w:r>
          </w:p>
        </w:tc>
        <w:tc>
          <w:tcPr>
            <w:tcW w:type="pct" w:w="2500"/>
            <w:tcMar>
              <w:top w:type="dxa" w:w="20"/>
              <w:left w:type="dxa" w:w="80"/>
              <w:bottom w:type="dxa" w:w="20"/>
              <w:right w:type="dxa" w:w="80"/>
            </w:tcMar>
          </w:tcPr>
          <w:p>
            <w:pPr>
              <w:spacing w:before="12" w:after="12"/>
            </w:pPr>
            <w:r>
              <w:rPr>
                <w:b/>
                <w:bCs/>
                <w:color w:val="8186EF"/>
                <w:sz w:val="16"/>
                <w:szCs w:val="16"/>
              </w:rPr>
              <w:t xml:space="preserve">49  </w:t>
            </w:r>
            <w:r>
              <w:rPr>
                <w:sz w:val="16"/>
                <w:szCs w:val="16"/>
              </w:rPr>
              <w:t xml:space="preserve">credited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bottling</w:t>
            </w:r>
          </w:p>
        </w:tc>
        <w:tc>
          <w:tcPr>
            <w:tcW w:type="pct" w:w="2500"/>
            <w:tcMar>
              <w:top w:type="dxa" w:w="20"/>
              <w:left w:type="dxa" w:w="80"/>
              <w:bottom w:type="dxa" w:w="20"/>
              <w:right w:type="dxa" w:w="80"/>
            </w:tcMar>
          </w:tcPr>
          <w:p>
            <w:pPr>
              <w:spacing w:before="12" w:after="12"/>
            </w:pPr>
            <w:r>
              <w:rPr>
                <w:b/>
                <w:bCs/>
                <w:color w:val="8186EF"/>
                <w:sz w:val="16"/>
                <w:szCs w:val="16"/>
              </w:rPr>
              <w:t xml:space="preserve">50  </w:t>
            </w:r>
            <w:r>
              <w:rPr>
                <w:sz w:val="16"/>
                <w:szCs w:val="16"/>
              </w:rPr>
              <w:t xml:space="preserve">transaction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Accounts receivable</w:t>
            </w:r>
          </w:p>
        </w:tc>
        <w:tc>
          <w:tcPr>
            <w:tcW w:type="pct" w:w="2500"/>
            <w:tcMar>
              <w:top w:type="dxa" w:w="20"/>
              <w:left w:type="dxa" w:w="80"/>
              <w:bottom w:type="dxa" w:w="20"/>
              <w:right w:type="dxa" w:w="80"/>
            </w:tcMar>
          </w:tcPr>
          <w:p>
            <w:pPr>
              <w:spacing w:before="12" w:after="12"/>
            </w:pPr>
            <w:r>
              <w:rPr>
                <w:b/>
                <w:bCs/>
                <w:color w:val="8186EF"/>
                <w:sz w:val="16"/>
                <w:szCs w:val="16"/>
              </w:rPr>
              <w:t xml:space="preserve">51  </w:t>
            </w:r>
            <w:r>
              <w:rPr>
                <w:sz w:val="16"/>
                <w:szCs w:val="16"/>
              </w:rPr>
              <w:t xml:space="preserve">depreciation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Sales revenue</w:t>
            </w:r>
          </w:p>
        </w:tc>
        <w:tc>
          <w:tcPr>
            <w:tcW w:type="pct" w:w="2500"/>
            <w:tcMar>
              <w:top w:type="dxa" w:w="20"/>
              <w:left w:type="dxa" w:w="80"/>
              <w:bottom w:type="dxa" w:w="20"/>
              <w:right w:type="dxa" w:w="80"/>
            </w:tcMar>
          </w:tcPr>
          <w:p>
            <w:pPr>
              <w:spacing w:before="12" w:after="12"/>
            </w:pPr>
            <w:r>
              <w:rPr>
                <w:b/>
                <w:bCs/>
                <w:color w:val="8186EF"/>
                <w:sz w:val="16"/>
                <w:szCs w:val="16"/>
              </w:rPr>
              <w:t xml:space="preserve">52  </w:t>
            </w:r>
            <w:r>
              <w:rPr>
                <w:sz w:val="16"/>
                <w:szCs w:val="16"/>
              </w:rPr>
              <w:t xml:space="preserve">asset</w:t>
            </w:r>
          </w:p>
        </w:tc>
      </w:tr>
      <w:tr>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Jan 31</w:t>
            </w:r>
          </w:p>
        </w:tc>
        <w:tc>
          <w:tcPr>
            <w:tcW w:type="pct" w:w="2500"/>
            <w:tcMar>
              <w:top w:type="dxa" w:w="20"/>
              <w:left w:type="dxa" w:w="80"/>
              <w:bottom w:type="dxa" w:w="20"/>
              <w:right w:type="dxa" w:w="80"/>
            </w:tcMar>
          </w:tcPr>
          <w:p>
            <w:pPr>
              <w:spacing w:before="12" w:after="12"/>
            </w:pPr>
            <w:r>
              <w:rPr>
                <w:b/>
                <w:bCs/>
                <w:color w:val="8186EF"/>
                <w:sz w:val="16"/>
                <w:szCs w:val="16"/>
              </w:rPr>
              <w:t xml:space="preserve">53  </w:t>
            </w:r>
            <w:r>
              <w:rPr>
                <w:sz w:val="16"/>
                <w:szCs w:val="16"/>
              </w:rPr>
              <w:t xml:space="preserve">liability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Wages expense</w:t>
            </w:r>
          </w:p>
        </w:tc>
        <w:tc>
          <w:tcPr>
            <w:tcW w:type="pct" w:w="2500"/>
            <w:tcMar>
              <w:top w:type="dxa" w:w="20"/>
              <w:left w:type="dxa" w:w="80"/>
              <w:bottom w:type="dxa" w:w="20"/>
              <w:right w:type="dxa" w:w="80"/>
            </w:tcMar>
          </w:tcPr>
          <w:p>
            <w:pPr>
              <w:spacing w:before="12" w:after="12"/>
            </w:pPr>
            <w:r>
              <w:rPr>
                <w:b/>
                <w:bCs/>
                <w:color w:val="8186EF"/>
                <w:sz w:val="16"/>
                <w:szCs w:val="16"/>
              </w:rPr>
              <w:t xml:space="preserve">54  </w:t>
            </w:r>
            <w:r>
              <w:rPr>
                <w:sz w:val="16"/>
                <w:szCs w:val="16"/>
              </w:rPr>
              <w:t xml:space="preserve">reserve</w:t>
            </w:r>
          </w:p>
        </w:tc>
      </w:tr>
      <w:tr>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Totals</w:t>
            </w:r>
          </w:p>
        </w:tc>
        <w:tc>
          <w:tcPr>
            <w:tcW w:type="pct" w:w="2500"/>
            <w:tcMar>
              <w:top w:type="dxa" w:w="20"/>
              <w:left w:type="dxa" w:w="80"/>
              <w:bottom w:type="dxa" w:w="20"/>
              <w:right w:type="dxa" w:w="80"/>
            </w:tcMar>
          </w:tcPr>
          <w:p>
            <w:pPr>
              <w:spacing w:before="12" w:after="12"/>
            </w:pPr>
            <w:r>
              <w:rPr>
                <w:b/>
                <w:bCs/>
                <w:color w:val="8186EF"/>
                <w:sz w:val="16"/>
                <w:szCs w:val="16"/>
              </w:rPr>
              <w:t xml:space="preserve">55  </w:t>
            </w:r>
            <w:r>
              <w:rPr>
                <w:sz w:val="16"/>
                <w:szCs w:val="16"/>
              </w:rPr>
              <w:t xml:space="preserve">double-entry system</w:t>
            </w:r>
          </w:p>
        </w:tc>
      </w:tr>
      <w:tr>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credits</w:t>
            </w:r>
          </w:p>
        </w:tc>
        <w:tc>
          <w:tcPr>
            <w:tcW w:type="pct" w:w="2500"/>
            <w:tcMar>
              <w:top w:type="dxa" w:w="20"/>
              <w:left w:type="dxa" w:w="80"/>
              <w:bottom w:type="dxa" w:w="20"/>
              <w:right w:type="dxa" w:w="80"/>
            </w:tcMar>
          </w:tcPr>
          <w:p>
            <w:pPr>
              <w:spacing w:before="12" w:after="12"/>
            </w:pPr>
            <w:r>
              <w:rPr>
                <w:b/>
                <w:bCs/>
                <w:color w:val="8186EF"/>
                <w:sz w:val="16"/>
                <w:szCs w:val="16"/>
              </w:rPr>
              <w:t xml:space="preserve">56  </w:t>
            </w:r>
            <w:r>
              <w:rPr>
                <w:sz w:val="16"/>
                <w:szCs w:val="16"/>
              </w:rPr>
              <w:t xml:space="preserve">debit</w:t>
            </w:r>
          </w:p>
        </w:tc>
      </w:tr>
      <w:tr>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points</w:t>
            </w:r>
          </w:p>
        </w:tc>
        <w:tc>
          <w:tcPr>
            <w:tcW w:type="pct" w:w="2500"/>
            <w:tcMar>
              <w:top w:type="dxa" w:w="20"/>
              <w:left w:type="dxa" w:w="80"/>
              <w:bottom w:type="dxa" w:w="20"/>
              <w:right w:type="dxa" w:w="80"/>
            </w:tcMar>
          </w:tcPr>
          <w:p>
            <w:pPr>
              <w:spacing w:before="12" w:after="12"/>
            </w:pPr>
            <w:r>
              <w:rPr>
                <w:b/>
                <w:bCs/>
                <w:color w:val="8186EF"/>
                <w:sz w:val="16"/>
                <w:szCs w:val="16"/>
              </w:rPr>
              <w:t xml:space="preserve">57  </w:t>
            </w:r>
            <w:r>
              <w:rPr>
                <w:sz w:val="16"/>
                <w:szCs w:val="16"/>
              </w:rPr>
              <w:t xml:space="preserve">normal balance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owners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Accountants record every transaction with the double-entry system. Each transaction affects at least two accounts, and total debits always equal total credits. This is why the accounting equation always balances. Debit simply means the left side of an account, and credit means the right side. Neither word means good or bad, and neither word always means increase. Whether a debit increases an account depends on the type of account. Each account has a normal balance: the side that increases it. The expanded equation at the bottom is a useful memory aid. Accounts on the left side of the equation (assets, expenses and dividends) increase with a debit. Accounts on the right side (liabilities, equity and revenues) increase with a credit. A contra account reduces a related account, so it has the opposite normal balance. For example, accumulated depreciation reduces equipment. It has a credit balance, but it belongs with the assets. The allowance for credit losses reduces accounts receivable in the same way.</w:t>
      </w:r>
    </w:p>
    <w:p>
      <w:pPr>
        <w:spacing w:before="20" w:after="20"/>
        <w:ind w:left="240" w:hanging="240"/>
      </w:pPr>
      <w:r>
        <w:rPr>
          <w:b/>
          <w:bCs/>
          <w:color w:val="353A7C"/>
          <w:sz w:val="15"/>
          <w:szCs w:val="15"/>
        </w:rPr>
        <w:t xml:space="preserve">Summary 2   </w:t>
      </w:r>
      <w:r>
        <w:rPr>
          <w:color w:val="6B7280"/>
          <w:sz w:val="15"/>
          <w:szCs w:val="15"/>
        </w:rPr>
        <w:t xml:space="preserve">Orontes Foods, Inc. makes olive oil and tahini in Amman, Jordan, and frozen pastries in Dubai. Its shares are listed on a U.S. stock exchange, and it reports under U.S. GAAP. Here are its journal entries for six transactions in January 2025. Amounts are in USD 000.</w:t>
      </w:r>
    </w:p>
    <w:p>
      <w:pPr>
        <w:spacing w:before="20" w:after="20"/>
        <w:ind w:left="240" w:hanging="240"/>
      </w:pPr>
      <w:r>
        <w:rPr>
          <w:b/>
          <w:bCs/>
          <w:color w:val="353A7C"/>
          <w:sz w:val="15"/>
          <w:szCs w:val="15"/>
        </w:rPr>
        <w:t xml:space="preserve">Summary 3   </w:t>
      </w:r>
      <w:r>
        <w:rPr>
          <w:color w:val="6B7280"/>
          <w:sz w:val="15"/>
          <w:szCs w:val="15"/>
        </w:rPr>
        <w:t xml:space="preserve">Check each entry: the debits equal the credits. Read the grid row by row. Three points matter for the exam. Rows 1 and 2 bring in cash of 2,300 in total, but no revenue. Money from owners and lenders is financing. Row 4 creates revenue of 300 but no cash. Orontes records revenue when it delivers the goods, not when the customer pays. Row 6 reduces retained earnings by 50 and creates a liability. No cash moves until February, and net income does not change. The totals prove the equation. Assets rose by 2,380, liabilities rose by 850 and equity rose by 1,530.</w:t>
      </w:r>
    </w:p>
    <w:p>
      <w:pPr>
        <w:spacing w:before="20" w:after="20"/>
        <w:ind w:left="240" w:hanging="240"/>
      </w:pPr>
      <w:r>
        <w:rPr>
          <w:b/>
          <w:bCs/>
          <w:color w:val="353A7C"/>
          <w:sz w:val="15"/>
          <w:szCs w:val="15"/>
        </w:rPr>
        <w:t xml:space="preserve">Summary 4   </w:t>
      </w:r>
      <w:r>
        <w:rPr>
          <w:color w:val="6B7280"/>
          <w:sz w:val="15"/>
          <w:szCs w:val="15"/>
        </w:rPr>
        <w:t xml:space="preserve">A dividend is not an expense. It reduces retained earnings, not net income. Cash from borrowing or from issuing shares is not revenue. Buying equipment for cash is not an expense today. One asset (cash) becomes another asset (equipment). The cost becomes an expense later, through depreciation.</w:t>
      </w:r>
    </w:p>
    <w:p>
      <w:pPr>
        <w:spacing w:before="20" w:after="20"/>
        <w:ind w:left="240" w:hanging="240"/>
      </w:pPr>
      <w:r>
        <w:rPr>
          <w:b/>
          <w:bCs/>
          <w:color w:val="353A7C"/>
          <w:sz w:val="15"/>
          <w:szCs w:val="15"/>
        </w:rPr>
        <w:t xml:space="preserve">Summary 5   </w:t>
      </w:r>
      <w:r>
        <w:rPr>
          <w:color w:val="6B7280"/>
          <w:sz w:val="15"/>
          <w:szCs w:val="15"/>
        </w:rPr>
        <w:t xml:space="preserve">Here are six transactions from February (USD 000). Feb 3: Paid a supplier for olives bought on credit in January. Feb 8: Collected part of the January receivable from GreenBasket Supermarkets. Feb 10: Paid 12 months of warehouse rent in advance. Feb 12: A Dubai hotel group paid cash in advance for pastries that Orontes will deliver in March. Feb 15: Paid the dividend declared on January 31. Feb 28: Recorded one month of interest on the bank note. Orontes has not paid it yet. Rows 1 to 3 are done for you. Complete rows 4 to 6. Then write the journal entries for rows 4 to 6.</w:t>
      </w:r>
    </w:p>
    <w:p>
      <w:pPr>
        <w:spacing w:before="20" w:after="20"/>
        <w:ind w:left="240" w:hanging="240"/>
      </w:pPr>
      <w:r>
        <w:rPr>
          <w:b/>
          <w:bCs/>
          <w:color w:val="353A7C"/>
          <w:sz w:val="15"/>
          <w:szCs w:val="15"/>
        </w:rPr>
        <w:t xml:space="preserve">Summary 6   </w:t>
      </w:r>
      <w:r>
        <w:rPr>
          <w:color w:val="6B7280"/>
          <w:sz w:val="15"/>
          <w:szCs w:val="15"/>
        </w:rPr>
        <w:t xml:space="preserve">X is debited (or credited) for an amount: Cash is debited for 1,500. Exam stems often say: The effect of this transaction is to increase... In English, always say depreciation. An allowance (for example, the allowance for credit losses) reduces an asset. A provision is a liability. Never say reserve for bad debts in a U.S. GAAP answer. That is the bank's view. Do not use banking habits to guess the accounting side.</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1.4  The accrual basis and the matching principle</w:t>
            </w:r>
          </w:p>
          <w:p>
            <w:pPr>
              <w:spacing w:before="0" w:after="46"/>
            </w:pPr>
            <w:r>
              <w:rPr>
                <w:color w:val="E8EAF6"/>
                <w:sz w:val="16"/>
                <w:szCs w:val="16"/>
              </w:rPr>
              <w:t xml:space="preserve">Chapter 1 · section 1.4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When should a company record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and expenses? U.S. GAAP financial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use the accrual basis. </w:t>
      </w:r>
      <w:r>
        <w:rPr>
          <w:sz w:val="19"/>
          <w:szCs w:val="19"/>
        </w:rPr>
        <w:t xml:space="preserve">Under the accrual basis, a company records revenue when it earns it, that is, when it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the goods or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It records expenses when it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them. </w:t>
      </w:r>
      <w:r>
        <w:rPr>
          <w:sz w:val="19"/>
          <w:szCs w:val="19"/>
        </w:rPr>
        <w:t xml:space="preserve">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of the cash does not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the period. </w:t>
      </w:r>
      <w:r>
        <w:rPr>
          <w:sz w:val="19"/>
          <w:szCs w:val="19"/>
        </w:rPr>
        <w:t xml:space="preserve">The cash basis records items only when cash is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or paid. </w:t>
      </w:r>
      <w:r>
        <w:rPr>
          <w:sz w:val="19"/>
          <w:szCs w:val="19"/>
        </w:rPr>
        <w:t xml:space="preserve">The cash basis is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but it is not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under U.S. GAAP. </w:t>
      </w:r>
      <w:r>
        <w:rPr>
          <w:sz w:val="19"/>
          <w:szCs w:val="19"/>
        </w:rPr>
        <w:t xml:space="preserve">On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20, 2025, Orontes ships olive oil to GreenBasket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and sends an invoice for 90. </w:t>
      </w:r>
      <w:r>
        <w:rPr>
          <w:sz w:val="19"/>
          <w:szCs w:val="19"/>
        </w:rPr>
        <w:t xml:space="preserve">The goods cost Orontes 54. </w:t>
      </w:r>
      <w:r>
        <w:rPr>
          <w:sz w:val="19"/>
          <w:szCs w:val="19"/>
        </w:rPr>
        <w:t xml:space="preserve">GreenBasket pays on January 15, 2026. </w:t>
      </w:r>
      <w:r>
        <w:rPr>
          <w:sz w:val="19"/>
          <w:szCs w:val="19"/>
        </w:rPr>
        <w:t xml:space="preserve">Under the accrual basis, Orontes records the revenue and the cost of goods sold in fiscal 2025, the year it delivered the goods. </w:t>
      </w:r>
      <w:r>
        <w:rPr>
          <w:sz w:val="19"/>
          <w:szCs w:val="19"/>
        </w:rPr>
        <w:t xml:space="preserve">The gross profit of 36 belongs to 2025.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incurs   ·   delivers   ·   simple   ·   services   ·   acceptable   ·   December   ·   decide   ·   belongs   ·   revenues   ·   received   ·   statements   ·   Supermarkets   ·   timing</w:t>
            </w:r>
          </w:p>
        </w:tc>
      </w:tr>
    </w:tbl>
    <w:p/>
    <w:p>
      <w:pPr>
        <w:spacing w:before="44" w:after="14"/>
      </w:pPr>
      <w:r>
        <w:rPr>
          <w:b/>
          <w:bCs/>
          <w:color w:val="353A7C"/>
          <w:sz w:val="18"/>
          <w:szCs w:val="18"/>
        </w:rPr>
        <w:t xml:space="preserve">Summary 2</w:t>
      </w:r>
      <w:r>
        <w:rPr>
          <w:color w:val="6B7280"/>
          <w:sz w:val="16"/>
          <w:szCs w:val="16"/>
        </w:rPr>
        <w:t xml:space="preserve">      gaps 13–24</w:t>
      </w:r>
    </w:p>
    <w:p>
      <w:pPr>
        <w:spacing w:before="20" w:after="20" w:line="360" w:lineRule="auto"/>
        <w:ind w:left="200"/>
      </w:pPr>
      <w:r>
        <w:rPr>
          <w:sz w:val="19"/>
          <w:szCs w:val="19"/>
        </w:rPr>
        <w:t xml:space="preserve">In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the cash receipt only changes one asset (the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into another asset (cash). </w:t>
      </w:r>
      <w:r>
        <w:rPr>
          <w:sz w:val="19"/>
          <w:szCs w:val="19"/>
        </w:rPr>
        <w:t xml:space="preserve">Under the cash basis, the revenue would fall in 2026, which is the wrong period. </w:t>
      </w:r>
      <w:r>
        <w:rPr>
          <w:sz w:val="19"/>
          <w:szCs w:val="19"/>
        </w:rPr>
        <w:t xml:space="preserve">The matching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says: record expenses in the same period as the revenues they help to produce. </w:t>
      </w:r>
      <w:r>
        <w:rPr>
          <w:sz w:val="19"/>
          <w:szCs w:val="19"/>
        </w:rPr>
        <w:t xml:space="preserve">There are three ways to apply it. </w:t>
      </w:r>
      <w:r>
        <w:rPr>
          <w:sz w:val="19"/>
          <w:szCs w:val="19"/>
        </w:rPr>
        <w:t xml:space="preserve">Some costs link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to a sale. </w:t>
      </w:r>
      <w:r>
        <w:rPr>
          <w:sz w:val="19"/>
          <w:szCs w:val="19"/>
        </w:rPr>
        <w:t xml:space="preserve">Cost of goods sold is the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example: Orontes records it at the same time as the sales revenue. </w:t>
      </w:r>
      <w:r>
        <w:rPr>
          <w:sz w:val="19"/>
          <w:szCs w:val="19"/>
        </w:rPr>
        <w:t xml:space="preserve"/>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and rational allocation. </w:t>
      </w:r>
      <w:r>
        <w:rPr>
          <w:sz w:val="19"/>
          <w:szCs w:val="19"/>
        </w:rPr>
        <w:t xml:space="preserve">Some costs help many periods, such as a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line. </w:t>
      </w:r>
      <w:r>
        <w:rPr>
          <w:sz w:val="19"/>
          <w:szCs w:val="19"/>
        </w:rPr>
        <w:t xml:space="preserve"/>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spreads the cost over the years of use. </w:t>
      </w:r>
      <w:r>
        <w:rPr>
          <w:sz w:val="19"/>
          <w:szCs w:val="19"/>
        </w:rPr>
        <w:t xml:space="preserve">Some costs have no clear link to future revenue, such as most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and office salaries. </w:t>
      </w:r>
      <w:r>
        <w:rPr>
          <w:sz w:val="19"/>
          <w:szCs w:val="19"/>
        </w:rPr>
        <w:t xml:space="preserve">They are expenses in the period in which they are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w:t>
      </w:r>
      <w:r>
        <w:rPr>
          <w:sz w:val="19"/>
          <w:szCs w:val="19"/>
        </w:rPr>
        <w:t xml:space="preserve">The accrual basis creates four common types of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w:t>
      </w:r>
      <w:r>
        <w:rPr>
          <w:sz w:val="19"/>
          <w:szCs w:val="19"/>
        </w:rPr>
        <w:t xml:space="preserve">You met three of them in the February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advertising   ·   bottling   ·   transactions   ·   classic   ·   T-account   ·   principle   ·   receivable   ·   Depreciation   ·   incurred   ·   Systematic   ·   directly   ·   January   ·   adjustment</w:t>
            </w:r>
          </w:p>
        </w:tc>
      </w:tr>
    </w:tbl>
    <w:p/>
    <w:p>
      <w:pPr>
        <w:spacing w:before="44" w:after="10"/>
      </w:pPr>
      <w:r>
        <w:rPr>
          <w:b/>
          <w:bCs/>
          <w:color w:val="353A7C"/>
          <w:sz w:val="18"/>
          <w:szCs w:val="18"/>
        </w:rPr>
        <w:t xml:space="preserve">Timeline of a December sale collected in January: accrual basis versus cash basis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6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16146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allowance for credit losses   ·   Contract liability, or unearned revenue (deferral)   ·   Prepaid expense (deferral)</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27–29</w:t>
      </w:r>
    </w:p>
    <w:p>
      <w:pPr>
        <w:spacing w:before="20" w:after="20" w:line="360" w:lineRule="auto"/>
        <w:ind w:left="200"/>
      </w:pPr>
      <w:r>
        <w:rPr>
          <w:sz w:val="19"/>
          <w:szCs w:val="19"/>
        </w:rPr>
        <w:t xml:space="preserve">Two of these names are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for the exam. </w:t>
      </w:r>
      <w:r>
        <w:rPr>
          <w:sz w:val="19"/>
          <w:szCs w:val="19"/>
        </w:rPr>
        <w:t xml:space="preserve">A prepaid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is an asset: the company has paid for a future benefit. </w:t>
      </w:r>
      <w:r>
        <w:rPr>
          <w:sz w:val="19"/>
          <w:szCs w:val="19"/>
        </w:rPr>
        <w:t xml:space="preserve">A contract liability (unearned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is a liability: the company must still deliver the goods or services.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advertising   ·   expense   ·   important   ·   revenue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Cash is not the trigger</w:t>
            </w:r>
          </w:p>
        </w:tc>
      </w:tr>
    </w:tbl>
    <w:p/>
    <w:p>
      <w:pPr>
        <w:spacing w:before="44" w:after="14"/>
      </w:pPr>
      <w:r>
        <w:rPr>
          <w:b/>
          <w:bCs/>
          <w:color w:val="353A7C"/>
          <w:sz w:val="18"/>
          <w:szCs w:val="18"/>
        </w:rPr>
        <w:t xml:space="preserve">Summary 4</w:t>
      </w:r>
      <w:r>
        <w:rPr>
          <w:color w:val="6B7280"/>
          <w:sz w:val="16"/>
          <w:szCs w:val="16"/>
        </w:rPr>
        <w:t xml:space="preserve">      gaps 30–31</w:t>
      </w:r>
    </w:p>
    <w:p>
      <w:pPr>
        <w:spacing w:before="20" w:after="20" w:line="360" w:lineRule="auto"/>
        <w:ind w:left="200"/>
      </w:pPr>
      <w:r>
        <w:rPr>
          <w:sz w:val="19"/>
          <w:szCs w:val="19"/>
        </w:rPr>
        <w:t xml:space="preserve">Cash received in advance is a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not revenue. </w:t>
      </w:r>
      <w:r>
        <w:rPr>
          <w:sz w:val="19"/>
          <w:szCs w:val="19"/>
        </w:rPr>
        <w:t xml:space="preserve">Cash paid in advance is an asset, not an </w:t>
      </w:r>
      <w:r>
        <w:rPr>
          <w:b/>
          <w:bCs/>
          <w:color w:val="8186EF"/>
          <w:sz w:val="15"/>
          <w:szCs w:val="15"/>
        </w:rPr>
        <w:t xml:space="preserve"> (31) </w:t>
      </w:r>
      <w:r>
        <w:rPr>
          <w:u w:val="single"/>
          <w:sz w:val="19"/>
          <w:szCs w:val="19"/>
        </w:rPr>
        <w:t xml:space="preserve">           </w:t>
      </w:r>
      <w:r>
        <w:rPr>
          <w:sz w:val="19"/>
          <w:szCs w:val="19"/>
        </w:rPr>
        <w:t xml:space="preserve"> </w:t>
      </w:r>
      <w:r>
        <w:rPr>
          <w:sz w:val="19"/>
          <w:szCs w:val="19"/>
        </w:rPr>
        <w:t xml:space="preserve">. </w:t>
      </w:r>
      <w:r>
        <w:rPr>
          <w:sz w:val="19"/>
          <w:szCs w:val="19"/>
        </w:rPr>
        <w:t xml:space="preserve">Matching means matching expenses to revenues, not to cash payments.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Depreciation   ·   expense   ·   liability</w:t>
            </w:r>
          </w:p>
        </w:tc>
      </w:tr>
    </w:tbl>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faithful representation   ·   prepaid expense   ·   contract liability (unearned revenue)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24"/>
        <w:gridCol w:w="4676"/>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65"/>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35"/>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65"/>
            <w:tcMar>
              <w:top w:type="dxa" w:w="50"/>
              <w:left w:type="dxa" w:w="110"/>
              <w:bottom w:type="dxa" w:w="50"/>
              <w:right w:type="dxa" w:w="110"/>
            </w:tcMar>
          </w:tcPr>
          <w:p>
            <w:pPr>
              <w:spacing w:before="26" w:after="26"/>
            </w:pPr>
            <w:r>
              <w:rPr>
                <w:color w:val="232733"/>
                <w:sz w:val="16"/>
                <w:szCs w:val="16"/>
              </w:rPr>
              <w:t xml:space="preserve">accrual basis</w:t>
            </w:r>
          </w:p>
        </w:tc>
        <w:tc>
          <w:tcPr>
            <w:tcW w:type="pct" w:w="2435"/>
            <w:tcMar>
              <w:top w:type="dxa" w:w="50"/>
              <w:left w:type="dxa" w:w="110"/>
              <w:bottom w:type="dxa" w:w="50"/>
              <w:right w:type="dxa" w:w="110"/>
            </w:tcMar>
          </w:tcPr>
          <w:p>
            <w:pPr>
              <w:spacing w:before="26" w:after="26"/>
            </w:pPr>
            <w:r>
              <w:rPr>
                <w:color w:val="232733"/>
                <w:sz w:val="16"/>
                <w:szCs w:val="16"/>
              </w:rPr>
              <w:t xml:space="preserve">أساس الاستحقاق</w:t>
            </w:r>
          </w:p>
        </w:tc>
      </w:tr>
      <w:tr>
        <w:tc>
          <w:tcPr>
            <w:tcW w:type="pct" w:w="2565"/>
            <w:shd w:fill="FBFAF6" w:val="clear"/>
            <w:tcMar>
              <w:top w:type="dxa" w:w="50"/>
              <w:left w:type="dxa" w:w="110"/>
              <w:bottom w:type="dxa" w:w="50"/>
              <w:right w:type="dxa" w:w="110"/>
            </w:tcMar>
          </w:tcPr>
          <w:p>
            <w:pPr>
              <w:spacing w:before="26" w:after="26"/>
            </w:pPr>
            <w:r>
              <w:rPr>
                <w:color w:val="232733"/>
                <w:sz w:val="16"/>
                <w:szCs w:val="16"/>
              </w:rPr>
              <w:t xml:space="preserve">cash basis</w:t>
            </w:r>
          </w:p>
        </w:tc>
        <w:tc>
          <w:tcPr>
            <w:tcW w:type="pct" w:w="2435"/>
            <w:shd w:fill="FBFAF6" w:val="clear"/>
            <w:tcMar>
              <w:top w:type="dxa" w:w="50"/>
              <w:left w:type="dxa" w:w="110"/>
              <w:bottom w:type="dxa" w:w="50"/>
              <w:right w:type="dxa" w:w="110"/>
            </w:tcMar>
          </w:tcPr>
          <w:p>
            <w:pPr>
              <w:spacing w:before="26" w:after="26"/>
            </w:pPr>
            <w:r>
              <w:rPr>
                <w:color w:val="232733"/>
                <w:sz w:val="16"/>
                <w:szCs w:val="16"/>
              </w:rPr>
              <w:t xml:space="preserve">الأساس النقدي</w:t>
            </w:r>
          </w:p>
        </w:tc>
      </w:tr>
      <w:tr>
        <w:tc>
          <w:tcPr>
            <w:tcW w:type="pct" w:w="2565"/>
            <w:tcMar>
              <w:top w:type="dxa" w:w="50"/>
              <w:left w:type="dxa" w:w="110"/>
              <w:bottom w:type="dxa" w:w="50"/>
              <w:right w:type="dxa" w:w="110"/>
            </w:tcMar>
          </w:tcPr>
          <w:p>
            <w:pPr>
              <w:spacing w:before="26" w:after="26"/>
            </w:pPr>
            <w:r>
              <w:rPr>
                <w:color w:val="232733"/>
                <w:sz w:val="16"/>
                <w:szCs w:val="16"/>
              </w:rPr>
              <w:t xml:space="preserve">matching principle</w:t>
            </w:r>
          </w:p>
        </w:tc>
        <w:tc>
          <w:tcPr>
            <w:tcW w:type="pct" w:w="2435"/>
            <w:tcMar>
              <w:top w:type="dxa" w:w="50"/>
              <w:left w:type="dxa" w:w="110"/>
              <w:bottom w:type="dxa" w:w="50"/>
              <w:right w:type="dxa" w:w="110"/>
            </w:tcMar>
          </w:tcPr>
          <w:p>
            <w:pPr>
              <w:spacing w:before="26" w:after="26"/>
            </w:pPr>
            <w:r>
              <w:rPr>
                <w:color w:val="232733"/>
                <w:sz w:val="16"/>
                <w:szCs w:val="16"/>
              </w:rPr>
              <w:t xml:space="preserve">مبدأ مقابلة الإيرادات بالمصروفات</w:t>
            </w:r>
          </w:p>
        </w:tc>
      </w:tr>
      <w:tr>
        <w:tc>
          <w:tcPr>
            <w:tcW w:type="pct" w:w="2565"/>
            <w:shd w:fill="FBFAF6" w:val="clear"/>
            <w:tcMar>
              <w:top w:type="dxa" w:w="50"/>
              <w:left w:type="dxa" w:w="110"/>
              <w:bottom w:type="dxa" w:w="50"/>
              <w:right w:type="dxa" w:w="110"/>
            </w:tcMar>
          </w:tcPr>
          <w:p>
            <w:pPr>
              <w:spacing w:before="26" w:after="26"/>
            </w:pPr>
            <w:r>
              <w:rPr>
                <w:color w:val="232733"/>
                <w:sz w:val="16"/>
                <w:szCs w:val="16"/>
              </w:rPr>
              <w:t xml:space="preserve">prepaid expense</w:t>
            </w:r>
          </w:p>
        </w:tc>
        <w:tc>
          <w:tcPr>
            <w:tcW w:type="pct" w:w="2435"/>
            <w:shd w:fill="FBFAF6" w:val="clear"/>
            <w:tcMar>
              <w:top w:type="dxa" w:w="50"/>
              <w:left w:type="dxa" w:w="110"/>
              <w:bottom w:type="dxa" w:w="50"/>
              <w:right w:type="dxa" w:w="110"/>
            </w:tcMar>
          </w:tcPr>
          <w:p>
            <w:pPr>
              <w:spacing w:before="26" w:after="26"/>
            </w:pPr>
            <w:r>
              <w:rPr>
                <w:color w:val="232733"/>
                <w:sz w:val="16"/>
                <w:szCs w:val="16"/>
              </w:rPr>
              <w:t xml:space="preserve">مصروف مدفوع مقدماً</w:t>
            </w:r>
          </w:p>
        </w:tc>
      </w:tr>
      <w:tr>
        <w:tc>
          <w:tcPr>
            <w:tcW w:type="pct" w:w="2565"/>
            <w:tcMar>
              <w:top w:type="dxa" w:w="50"/>
              <w:left w:type="dxa" w:w="110"/>
              <w:bottom w:type="dxa" w:w="50"/>
              <w:right w:type="dxa" w:w="110"/>
            </w:tcMar>
          </w:tcPr>
          <w:p>
            <w:pPr>
              <w:spacing w:before="26" w:after="26"/>
            </w:pPr>
            <w:r>
              <w:rPr>
                <w:color w:val="232733"/>
                <w:sz w:val="16"/>
                <w:szCs w:val="16"/>
              </w:rPr>
              <w:t xml:space="preserve">contract liability (unearned revenue)</w:t>
            </w:r>
          </w:p>
        </w:tc>
        <w:tc>
          <w:tcPr>
            <w:tcW w:type="pct" w:w="2435"/>
            <w:tcMar>
              <w:top w:type="dxa" w:w="50"/>
              <w:left w:type="dxa" w:w="110"/>
              <w:bottom w:type="dxa" w:w="50"/>
              <w:right w:type="dxa" w:w="110"/>
            </w:tcMar>
          </w:tcPr>
          <w:p>
            <w:pPr>
              <w:spacing w:before="26" w:after="26"/>
            </w:pPr>
            <w:r>
              <w:rPr>
                <w:color w:val="232733"/>
                <w:sz w:val="16"/>
                <w:szCs w:val="16"/>
              </w:rPr>
              <w:t xml:space="preserve">التزام العقد (إيراد مقبوض مقدماً)</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1.4  The accrual basis and the matching principle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revenues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Systematic</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statements</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bottling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delivers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Depreciation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services</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advertising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incurs</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incurred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timing</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adjustment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decide</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transactions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received</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Prepaid expense (deferral)</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simple</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Contract liability, or unearned revenue (deferral)</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acceptable</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important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December</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expense</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Supermarkets</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revenue</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January</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liability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receivable</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expense</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principle</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prepaid expense</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directly</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contract liability (unearned revenue)</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classic</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When should a company record revenues and expenses? U.S. GAAP financial statements use the accrual basis. Under the accrual basis, a company records revenue when it earns it, that is, when it delivers the goods or services. It records expenses when it incurs them. The timing of the cash does not decide the period. The cash basis records items only when cash is received or paid. The cash basis is simple, but it is not acceptable under U.S. GAAP. On December 20, 2025, Orontes ships olive oil to GreenBasket Supermarkets and sends an invoice for 90. The goods cost Orontes 54. GreenBasket pays on January 15, 2026. Under the accrual basis, Orontes records the revenue and the cost of goods sold in fiscal 2025, the year it delivered the goods. The gross profit of 36 belongs to 2025.</w:t>
      </w:r>
    </w:p>
    <w:p>
      <w:pPr>
        <w:spacing w:before="20" w:after="20"/>
        <w:ind w:left="240" w:hanging="240"/>
      </w:pPr>
      <w:r>
        <w:rPr>
          <w:b/>
          <w:bCs/>
          <w:color w:val="353A7C"/>
          <w:sz w:val="15"/>
          <w:szCs w:val="15"/>
        </w:rPr>
        <w:t xml:space="preserve">Summary 2   </w:t>
      </w:r>
      <w:r>
        <w:rPr>
          <w:color w:val="6B7280"/>
          <w:sz w:val="15"/>
          <w:szCs w:val="15"/>
        </w:rPr>
        <w:t xml:space="preserve">In January, the cash receipt only changes one asset (the receivable) into another asset (cash). Under the cash basis, the revenue would fall in 2026, which is the wrong period. The matching principle says: record expenses in the same period as the revenues they help to produce. There are three ways to apply it. Some costs link directly to a sale. Cost of goods sold is the classic example: Orontes records it at the same time as the sales revenue. Systematic and rational allocation. Some costs help many periods, such as a bottling line. Depreciation spreads the cost over the years of use. Some costs have no clear link to future revenue, such as most advertising and office salaries. They are expenses in the period in which they are incurred. The accrual basis creates four common types of adjustment. You met three of them in the February transactions.</w:t>
      </w:r>
    </w:p>
    <w:p>
      <w:pPr>
        <w:spacing w:before="20" w:after="20"/>
        <w:ind w:left="240" w:hanging="240"/>
      </w:pPr>
      <w:r>
        <w:rPr>
          <w:b/>
          <w:bCs/>
          <w:color w:val="353A7C"/>
          <w:sz w:val="15"/>
          <w:szCs w:val="15"/>
        </w:rPr>
        <w:t xml:space="preserve">Summary 3   </w:t>
      </w:r>
      <w:r>
        <w:rPr>
          <w:color w:val="6B7280"/>
          <w:sz w:val="15"/>
          <w:szCs w:val="15"/>
        </w:rPr>
        <w:t xml:space="preserve">Two of these names are important for the exam. A prepaid expense is an asset: the company has paid for a future benefit. A contract liability (unearned revenue) is a liability: the company must still deliver the goods or services.</w:t>
      </w:r>
    </w:p>
    <w:p>
      <w:pPr>
        <w:spacing w:before="20" w:after="20"/>
        <w:ind w:left="240" w:hanging="240"/>
      </w:pPr>
      <w:r>
        <w:rPr>
          <w:b/>
          <w:bCs/>
          <w:color w:val="353A7C"/>
          <w:sz w:val="15"/>
          <w:szCs w:val="15"/>
        </w:rPr>
        <w:t xml:space="preserve">Summary 4   </w:t>
      </w:r>
      <w:r>
        <w:rPr>
          <w:color w:val="6B7280"/>
          <w:sz w:val="15"/>
          <w:szCs w:val="15"/>
        </w:rPr>
        <w:t xml:space="preserve">Cash received in advance is a liability, not revenue. Cash paid in advance is an asset, not an expense. Matching means matching expenses to revenues, not to cash payments.</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1.5  Who writes the rules? U.S. GAAP and IFRS</w:t>
            </w:r>
          </w:p>
          <w:p>
            <w:pPr>
              <w:spacing w:before="0" w:after="46"/>
            </w:pPr>
            <w:r>
              <w:rPr>
                <w:color w:val="E8EAF6"/>
                <w:sz w:val="16"/>
                <w:szCs w:val="16"/>
              </w:rPr>
              <w:t xml:space="preserve">Chapter 1 · section 1.5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In the United States, the accounting rules are called U.S. GAAP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accepted accounting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The FASB (Financial Accounting Standards Board)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them. </w:t>
      </w:r>
      <w:r>
        <w:rPr>
          <w:sz w:val="19"/>
          <w:szCs w:val="19"/>
        </w:rPr>
        <w:t xml:space="preserve">The FASB is a private, independent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It keeps all U.S. GAAP in one place: the Accounting Standards Codification (ASC). </w:t>
      </w:r>
      <w:r>
        <w:rPr>
          <w:sz w:val="19"/>
          <w:szCs w:val="19"/>
        </w:rPr>
        <w:t xml:space="preserve">The ASC is the single source of authoritative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U.S. GAAP. </w:t>
      </w:r>
      <w:r>
        <w:rPr>
          <w:sz w:val="19"/>
          <w:szCs w:val="19"/>
        </w:rPr>
        <w:t xml:space="preserve">It is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by topic numbers. </w:t>
      </w:r>
      <w:r>
        <w:rPr>
          <w:sz w:val="19"/>
          <w:szCs w:val="19"/>
        </w:rPr>
        <w:t xml:space="preserve">For example, ASC 606 covers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and ASC 842 covers leases. </w:t>
      </w:r>
      <w:r>
        <w:rPr>
          <w:sz w:val="19"/>
          <w:szCs w:val="19"/>
        </w:rPr>
        <w:t xml:space="preserve">When the FASB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 rule, it issues an Accounting Standards Update (ASU), which amends the Codification. </w:t>
      </w:r>
      <w:r>
        <w:rPr>
          <w:sz w:val="19"/>
          <w:szCs w:val="19"/>
        </w:rPr>
        <w:t xml:space="preserve">The SEC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and Exchange Commission) is a U.S. government agency. </w:t>
      </w:r>
      <w:r>
        <w:rPr>
          <w:sz w:val="19"/>
          <w:szCs w:val="19"/>
        </w:rPr>
        <w:t xml:space="preserve">It has legal authority over the financial reporting of public companies, and it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the FASB as the standard setter. </w:t>
      </w:r>
      <w:r>
        <w:rPr>
          <w:sz w:val="19"/>
          <w:szCs w:val="19"/>
        </w:rPr>
        <w:t xml:space="preserve">For companies that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to the SEC, SEC rules are also part of authoritative GAAP. </w:t>
      </w:r>
      <w:r>
        <w:rPr>
          <w:sz w:val="19"/>
          <w:szCs w:val="19"/>
        </w:rPr>
        <w:t xml:space="preserve">Do not confuse these bodies with the PCAOB, which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the audits of public companies.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generally   ·   recognizes   ·   changes   ·   oversees   ·   nongovernmental   ·   report   ·   principles   ·   Securities   ·   writes   ·   organization   ·   authoritative   ·   revenue   ·   organized</w:t>
            </w:r>
          </w:p>
        </w:tc>
      </w:tr>
    </w:tbl>
    <w:p/>
    <w:p>
      <w:pPr>
        <w:spacing w:before="44" w:after="14"/>
      </w:pPr>
      <w:r>
        <w:rPr>
          <w:b/>
          <w:bCs/>
          <w:color w:val="353A7C"/>
          <w:sz w:val="18"/>
          <w:szCs w:val="18"/>
        </w:rPr>
        <w:t xml:space="preserve">Summary 2</w:t>
      </w:r>
      <w:r>
        <w:rPr>
          <w:color w:val="6B7280"/>
          <w:sz w:val="16"/>
          <w:szCs w:val="16"/>
        </w:rPr>
        <w:t xml:space="preserve">      gaps 13–24</w:t>
      </w:r>
    </w:p>
    <w:p>
      <w:pPr>
        <w:spacing w:before="20" w:after="20" w:line="360" w:lineRule="auto"/>
        <w:ind w:left="200"/>
      </w:pPr>
      <w:r>
        <w:rPr>
          <w:sz w:val="19"/>
          <w:szCs w:val="19"/>
        </w:rPr>
        <w:t xml:space="preserve">The PCAOB sets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standards, not accounting standards. </w:t>
      </w:r>
      <w:r>
        <w:rPr>
          <w:sz w:val="19"/>
          <w:szCs w:val="19"/>
        </w:rPr>
        <w:t xml:space="preserve"/>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the United States, many countries use IFRS (International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Reporting Standards). </w:t>
      </w:r>
      <w:r>
        <w:rPr>
          <w:sz w:val="19"/>
          <w:szCs w:val="19"/>
        </w:rPr>
        <w:t xml:space="preserve">The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(International Accounting Standards Board) issues them, under the IFRS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w:t>
      </w:r>
      <w:r>
        <w:rPr>
          <w:sz w:val="19"/>
          <w:szCs w:val="19"/>
        </w:rPr>
        <w:t xml:space="preserve">Many countries in the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East and North Africa, for example Jordan and the United Arab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require IFRS for listed companies. </w:t>
      </w:r>
      <w:r>
        <w:rPr>
          <w:sz w:val="19"/>
          <w:szCs w:val="19"/>
        </w:rPr>
        <w:t xml:space="preserve">The CMA exam tests U.S. GAAP. </w:t>
      </w:r>
      <w:r>
        <w:rPr>
          <w:sz w:val="19"/>
          <w:szCs w:val="19"/>
        </w:rPr>
        <w:t xml:space="preserve"/>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Section A also asks about the main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between U.S. GAAP and IFRS. </w:t>
      </w:r>
      <w:r>
        <w:rPr>
          <w:sz w:val="19"/>
          <w:szCs w:val="19"/>
        </w:rPr>
        <w:t xml:space="preserve">If you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accounting under IFRS, this is good news: most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are the same. </w:t>
      </w:r>
      <w:r>
        <w:rPr>
          <w:sz w:val="19"/>
          <w:szCs w:val="19"/>
        </w:rPr>
        <w:t xml:space="preserve">Every chapter has an IFRS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box, so. </w:t>
      </w:r>
      <w:r>
        <w:rPr>
          <w:sz w:val="19"/>
          <w:szCs w:val="19"/>
        </w:rPr>
        <w:t xml:space="preserve">Both systems rest on a conceptual framework: the basic ideas behind the standards, such as the users, the elements and the qualities of useful information. </w:t>
      </w:r>
      <w:r>
        <w:rPr>
          <w:sz w:val="19"/>
          <w:szCs w:val="19"/>
        </w:rPr>
        <w:t xml:space="preserve">You studied the U.S. version in Sections 1.1 and 1.2.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expense   ·   Emirates   ·   auditing   ·   Financial   ·   Outside   ·   learned   ·   Middle   ·   However   ·   Foundation   ·   differences   ·   Contrast   ·   concepts   ·   IASB</w:t>
            </w:r>
          </w:p>
        </w:tc>
      </w:tr>
    </w:tbl>
    <w:p/>
    <w:p>
      <w:pPr>
        <w:pageBreakBefore w:val="true"/>
        <w:spacing w:after="0"/>
      </w:pPr>
      <w:r>
        <w:rPr>
          <w:sz w:val="2"/>
        </w:rPr>
        <w:t xml:space="preserve"> </w:t>
      </w:r>
    </w:p>
    <w:p>
      <w:pPr>
        <w:spacing w:before="44" w:after="10"/>
      </w:pPr>
      <w:r>
        <w:rPr>
          <w:b/>
          <w:bCs/>
          <w:color w:val="353A7C"/>
          <w:sz w:val="18"/>
          <w:szCs w:val="18"/>
        </w:rPr>
        <w:t xml:space="preserve">U.S. GAAP (used on the exam) — IFRS</w:t>
      </w:r>
    </w:p>
    <w:p>
      <w:pPr>
        <w:spacing w:before="0" w:after="12"/>
      </w:pPr>
      <w:r>
        <w:rPr>
          <w:color w:val="6B7280"/>
          <w:sz w:val="15"/>
          <w:szCs w:val="15"/>
        </w:rPr>
        <w:t xml:space="preserve">The two sides differ only where the rows say.</w:t>
      </w:r>
    </w:p>
    <w:p>
      <w:pPr>
        <w:spacing w:after="40" w:before="90"/>
        <w:jc w:val="center"/>
      </w:pPr>
      <w:r>
        <w:drawing>
          <wp:inline distT="0" distB="0" distL="0" distR="0">
            <wp:extent cx="5734050" cy="311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31160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balance sheet   ·   income statement   ·   share capital (ordinary shares)   ·   trade receivables   ·   share premium   ·   primary users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Four bodies, four jobs</w:t>
            </w:r>
          </w:p>
        </w:tc>
      </w:tr>
    </w:tbl>
    <w:p/>
    <w:p>
      <w:pPr>
        <w:spacing w:before="44" w:after="14"/>
      </w:pPr>
      <w:r>
        <w:rPr>
          <w:b/>
          <w:bCs/>
          <w:color w:val="353A7C"/>
          <w:sz w:val="18"/>
          <w:szCs w:val="18"/>
        </w:rPr>
        <w:t xml:space="preserve">Summary 3</w:t>
      </w:r>
      <w:r>
        <w:rPr>
          <w:color w:val="6B7280"/>
          <w:sz w:val="16"/>
          <w:szCs w:val="16"/>
        </w:rPr>
        <w:t xml:space="preserve">      gaps 30–31</w:t>
      </w:r>
    </w:p>
    <w:p>
      <w:pPr>
        <w:spacing w:before="20" w:after="20" w:line="360" w:lineRule="auto"/>
        <w:ind w:left="200"/>
      </w:pPr>
      <w:r>
        <w:rPr>
          <w:sz w:val="19"/>
          <w:szCs w:val="19"/>
        </w:rPr>
        <w:t xml:space="preserve">FASB: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U.S. GAAP (the ASC). </w:t>
      </w:r>
      <w:r>
        <w:rPr>
          <w:sz w:val="19"/>
          <w:szCs w:val="19"/>
        </w:rPr>
        <w:t xml:space="preserve">SEC: U.S. </w:t>
      </w:r>
      <w:r>
        <w:rPr>
          <w:b/>
          <w:bCs/>
          <w:color w:val="8186EF"/>
          <w:sz w:val="15"/>
          <w:szCs w:val="15"/>
        </w:rPr>
        <w:t xml:space="preserve"> (31) </w:t>
      </w:r>
      <w:r>
        <w:rPr>
          <w:u w:val="single"/>
          <w:sz w:val="19"/>
          <w:szCs w:val="19"/>
        </w:rPr>
        <w:t xml:space="preserve">            </w:t>
      </w:r>
      <w:r>
        <w:rPr>
          <w:sz w:val="19"/>
          <w:szCs w:val="19"/>
        </w:rPr>
        <w:t xml:space="preserve"> </w:t>
      </w:r>
      <w:r>
        <w:rPr>
          <w:sz w:val="19"/>
          <w:szCs w:val="19"/>
        </w:rPr>
        <w:t xml:space="preserve"> agency with legal authority over public company reporting. </w:t>
      </w:r>
      <w:r>
        <w:rPr>
          <w:sz w:val="19"/>
          <w:szCs w:val="19"/>
        </w:rPr>
        <w:t xml:space="preserve">PCAOB: sets auditing standards for audits of public companies.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between   ·   writes   ·   government</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11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31160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FASB   ·   IFRS   ·   SEC   ·   expense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U.S. GAAP</w:t>
            </w:r>
          </w:p>
        </w:tc>
        <w:tc>
          <w:tcPr>
            <w:tcW w:type="pct" w:w="2600"/>
            <w:tcMar>
              <w:top w:type="dxa" w:w="50"/>
              <w:left w:type="dxa" w:w="110"/>
              <w:bottom w:type="dxa" w:w="50"/>
              <w:right w:type="dxa" w:w="110"/>
            </w:tcMar>
          </w:tcPr>
          <w:p>
            <w:pPr>
              <w:spacing w:before="26" w:after="26"/>
            </w:pPr>
            <w:r>
              <w:rPr>
                <w:color w:val="232733"/>
                <w:sz w:val="16"/>
                <w:szCs w:val="16"/>
              </w:rPr>
              <w:t xml:space="preserve">المبادئ المحاسبية المقبولة عموماً في الولايات المتحدة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IFRS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المعايير الدولية لإعداد التقارير المالية</w:t>
            </w:r>
          </w:p>
        </w:tc>
      </w:tr>
      <w:tr>
        <w:tc>
          <w:tcPr>
            <w:tcW w:type="pct" w:w="2400"/>
            <w:tcMar>
              <w:top w:type="dxa" w:w="50"/>
              <w:left w:type="dxa" w:w="110"/>
              <w:bottom w:type="dxa" w:w="50"/>
              <w:right w:type="dxa" w:w="110"/>
            </w:tcMar>
          </w:tcPr>
          <w:p>
            <w:pPr>
              <w:spacing w:before="26" w:after="26"/>
            </w:pPr>
            <w:r>
              <w:rPr>
                <w:color w:val="232733"/>
                <w:sz w:val="16"/>
                <w:szCs w:val="16"/>
              </w:rPr>
              <w:t xml:space="preserve">FASB</w:t>
            </w:r>
          </w:p>
        </w:tc>
        <w:tc>
          <w:tcPr>
            <w:tcW w:type="pct" w:w="2600"/>
            <w:tcMar>
              <w:top w:type="dxa" w:w="50"/>
              <w:left w:type="dxa" w:w="110"/>
              <w:bottom w:type="dxa" w:w="50"/>
              <w:right w:type="dxa" w:w="110"/>
            </w:tcMar>
          </w:tcPr>
          <w:p>
            <w:pPr>
              <w:spacing w:before="26" w:after="26"/>
            </w:pPr>
            <w:r>
              <w:rPr>
                <w:color w:val="232733"/>
                <w:sz w:val="16"/>
                <w:szCs w:val="16"/>
              </w:rPr>
              <w:t xml:space="preserve">مجلس معايير المحاسبة المالية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Accounting Standards Codification (ASC)</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تقنين معايير المحاسبة</w:t>
            </w:r>
          </w:p>
        </w:tc>
      </w:tr>
      <w:tr>
        <w:tc>
          <w:tcPr>
            <w:tcW w:type="pct" w:w="2400"/>
            <w:tcMar>
              <w:top w:type="dxa" w:w="50"/>
              <w:left w:type="dxa" w:w="110"/>
              <w:bottom w:type="dxa" w:w="50"/>
              <w:right w:type="dxa" w:w="110"/>
            </w:tcMar>
          </w:tcPr>
          <w:p>
            <w:pPr>
              <w:spacing w:before="26" w:after="26"/>
            </w:pPr>
            <w:r>
              <w:rPr>
                <w:color w:val="232733"/>
                <w:sz w:val="16"/>
                <w:szCs w:val="16"/>
              </w:rPr>
              <w:t xml:space="preserve">IASB</w:t>
            </w:r>
          </w:p>
        </w:tc>
        <w:tc>
          <w:tcPr>
            <w:tcW w:type="pct" w:w="2600"/>
            <w:tcMar>
              <w:top w:type="dxa" w:w="50"/>
              <w:left w:type="dxa" w:w="110"/>
              <w:bottom w:type="dxa" w:w="50"/>
              <w:right w:type="dxa" w:w="110"/>
            </w:tcMar>
          </w:tcPr>
          <w:p>
            <w:pPr>
              <w:spacing w:before="26" w:after="26"/>
            </w:pPr>
            <w:r>
              <w:rPr>
                <w:color w:val="232733"/>
                <w:sz w:val="16"/>
                <w:szCs w:val="16"/>
              </w:rPr>
              <w:t xml:space="preserve">مجلس معايير المحاسبة الدولية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SEC</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هيئة الأوراق المالية والبورصات الأمريكية</w:t>
            </w:r>
          </w:p>
        </w:tc>
      </w:tr>
      <w:tr>
        <w:tc>
          <w:tcPr>
            <w:tcW w:type="pct" w:w="2400"/>
            <w:tcMar>
              <w:top w:type="dxa" w:w="50"/>
              <w:left w:type="dxa" w:w="110"/>
              <w:bottom w:type="dxa" w:w="50"/>
              <w:right w:type="dxa" w:w="110"/>
            </w:tcMar>
          </w:tcPr>
          <w:p>
            <w:pPr>
              <w:spacing w:before="26" w:after="26"/>
            </w:pPr>
            <w:r>
              <w:rPr>
                <w:color w:val="232733"/>
                <w:sz w:val="16"/>
                <w:szCs w:val="16"/>
              </w:rPr>
              <w:t xml:space="preserve">conceptual framework</w:t>
            </w:r>
          </w:p>
        </w:tc>
        <w:tc>
          <w:tcPr>
            <w:tcW w:type="pct" w:w="2600"/>
            <w:tcMar>
              <w:top w:type="dxa" w:w="50"/>
              <w:left w:type="dxa" w:w="110"/>
              <w:bottom w:type="dxa" w:w="50"/>
              <w:right w:type="dxa" w:w="110"/>
            </w:tcMar>
          </w:tcPr>
          <w:p>
            <w:pPr>
              <w:spacing w:before="26" w:after="26"/>
            </w:pPr>
            <w:r>
              <w:rPr>
                <w:color w:val="232733"/>
                <w:sz w:val="16"/>
                <w:szCs w:val="16"/>
              </w:rPr>
              <w:t xml:space="preserve">الإطار المفاهيمي</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1.5  Who writes the rules? U.S. GAAP and IFRS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generally</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Middle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principles</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Emirates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writes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However</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organization</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differences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nongovernmental</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learned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organized</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concepts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revenue</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Contrast</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changes</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balance sheet</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Securities</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income statement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recognizes</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share capital (ordinary shares)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report</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share premium</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oversees</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trade receivables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auditing</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writes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Outside</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government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Financial</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IFRS</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IASB</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FASB</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Foundation</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SEC</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In the United States, the accounting rules are called U.S. GAAP (generally accepted accounting principles). The FASB (Financial Accounting Standards Board) writes them. The FASB is a private, independent organization. It keeps all U.S. GAAP in one place: the Accounting Standards Codification (ASC). The ASC is the single source of authoritative nongovernmental U.S. GAAP. It is organized by topic numbers. For example, ASC 606 covers revenue and ASC 842 covers leases. When the FASB changes a rule, it issues an Accounting Standards Update (ASU), which amends the Codification. The SEC (Securities and Exchange Commission) is a U.S. government agency. It has legal authority over the financial reporting of public companies, and it recognizes the FASB as the standard setter. For companies that report to the SEC, SEC rules are also part of authoritative GAAP. Do not confuse these bodies with the PCAOB, which oversees the audits of public companies.</w:t>
      </w:r>
    </w:p>
    <w:p>
      <w:pPr>
        <w:spacing w:before="20" w:after="20"/>
        <w:ind w:left="240" w:hanging="240"/>
      </w:pPr>
      <w:r>
        <w:rPr>
          <w:b/>
          <w:bCs/>
          <w:color w:val="353A7C"/>
          <w:sz w:val="15"/>
          <w:szCs w:val="15"/>
        </w:rPr>
        <w:t xml:space="preserve">Summary 2   </w:t>
      </w:r>
      <w:r>
        <w:rPr>
          <w:color w:val="6B7280"/>
          <w:sz w:val="15"/>
          <w:szCs w:val="15"/>
        </w:rPr>
        <w:t xml:space="preserve">The PCAOB sets auditing standards, not accounting standards. Outside the United States, many countries use IFRS (International Financial Reporting Standards). The IASB (International Accounting Standards Board) issues them, under the IFRS Foundation. Many countries in the Middle East and North Africa, for example Jordan and the United Arab Emirates, require IFRS for listed companies. The CMA exam tests U.S. GAAP. However, Section A also asks about the main differences between U.S. GAAP and IFRS. If you learned accounting under IFRS, this is good news: most concepts are the same. Every chapter has an IFRS Contrast box, so. Both systems rest on a conceptual framework: the basic ideas behind the standards, such as the users, the elements and the qualities of useful information. You studied the U.S. version in Sections 1.1 and 1.2.</w:t>
      </w:r>
    </w:p>
    <w:p>
      <w:pPr>
        <w:spacing w:before="20" w:after="20"/>
        <w:ind w:left="240" w:hanging="240"/>
      </w:pPr>
      <w:r>
        <w:rPr>
          <w:b/>
          <w:bCs/>
          <w:color w:val="353A7C"/>
          <w:sz w:val="15"/>
          <w:szCs w:val="15"/>
        </w:rPr>
        <w:t xml:space="preserve">Summary 3   </w:t>
      </w:r>
      <w:r>
        <w:rPr>
          <w:color w:val="6B7280"/>
          <w:sz w:val="15"/>
          <w:szCs w:val="15"/>
        </w:rPr>
        <w:t xml:space="preserve">FASB: writes U.S. GAAP (the ASC). SEC: U.S. government agency with legal authority over public company reporting. PCAOB: sets auditing standards for audits of public companies.</w:t>
      </w:r>
    </w:p>
    <w:p>
      <w:pPr>
        <w:sectPr>
          <w:headerReference w:type="default" r:id="rIdHdr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1.6  A first look at the four statements</w:t>
            </w:r>
          </w:p>
          <w:p>
            <w:pPr>
              <w:spacing w:before="0" w:after="46"/>
            </w:pPr>
            <w:r>
              <w:rPr>
                <w:color w:val="E8EAF6"/>
                <w:sz w:val="16"/>
                <w:szCs w:val="16"/>
              </w:rPr>
              <w:t xml:space="preserve">Chapter 1 · section 1.6</w:t>
            </w:r>
          </w:p>
        </w:tc>
      </w:tr>
    </w:tbl>
    <w:p/>
    <w:p>
      <w:pPr>
        <w:spacing w:before="10" w:after="40"/>
      </w:pPr>
      <w:r>
        <w:rPr>
          <w:color w:val="6B7280"/>
          <w:sz w:val="17"/>
          <w:szCs w:val="17"/>
        </w:rPr>
        <w:t xml:space="preserve">Fill every gap. Each word list holds one word more than there are gaps.</w:t>
      </w:r>
    </w:p>
    <w:p>
      <w:pPr>
        <w:spacing w:before="20" w:after="20" w:line="360" w:lineRule="auto"/>
        <w:ind w:left="200"/>
      </w:pPr>
      <w:r>
        <w:rPr>
          <w:sz w:val="19"/>
          <w:szCs w:val="19"/>
        </w:rPr>
        <w:t xml:space="preserve">Each statement answers a different question for users. Here is the overview.</w:t>
      </w:r>
    </w:p>
    <w:p>
      <w:pPr>
        <w:spacing w:before="44" w:after="10"/>
      </w:pPr>
      <w:r>
        <w:rPr>
          <w:b/>
          <w:bCs/>
          <w:color w:val="353A7C"/>
          <w:sz w:val="18"/>
          <w:szCs w:val="18"/>
        </w:rPr>
        <w:t xml:space="preserve">Statement — Question it answers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87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734050" cy="18711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Income statement   ·   Statement of changes in equity   ·   double-entry system</w:t>
            </w:r>
          </w:p>
        </w:tc>
      </w:tr>
    </w:tbl>
    <w:p/>
    <w:p>
      <w:pPr>
        <w:spacing w:before="44" w:after="14"/>
      </w:pPr>
      <w:r>
        <w:rPr>
          <w:b/>
          <w:bCs/>
          <w:color w:val="353A7C"/>
          <w:sz w:val="18"/>
          <w:szCs w:val="18"/>
        </w:rPr>
        <w:t xml:space="preserve">Summary 1</w:t>
      </w:r>
      <w:r>
        <w:rPr>
          <w:color w:val="6B7280"/>
          <w:sz w:val="16"/>
          <w:szCs w:val="16"/>
        </w:rPr>
        <w:t xml:space="preserve">      gaps 3–12</w:t>
      </w:r>
    </w:p>
    <w:p>
      <w:pPr>
        <w:spacing w:before="20" w:after="20" w:line="360" w:lineRule="auto"/>
        <w:ind w:left="200"/>
      </w:pPr>
      <w:r>
        <w:rPr>
          <w:sz w:val="19"/>
          <w:szCs w:val="19"/>
        </w:rPr>
        <w:t xml:space="preserve">The four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are linked. </w:t>
      </w:r>
      <w:r>
        <w:rPr>
          <w:sz w:val="19"/>
          <w:szCs w:val="19"/>
        </w:rPr>
        <w:t xml:space="preserve">Net income flows into retained earnings, and the net change in cash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the cash balance on the balance sheet. </w:t>
      </w:r>
      <w:r>
        <w:rPr>
          <w:sz w:val="19"/>
          <w:szCs w:val="19"/>
        </w:rPr>
        <w:t xml:space="preserve">You can see both links in the January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of Orontes. </w:t>
      </w:r>
      <w:r>
        <w:rPr>
          <w:sz w:val="19"/>
          <w:szCs w:val="19"/>
        </w:rPr>
        <w:t xml:space="preserve">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declared was 50, so retained earnings rose by 30. </w:t>
      </w:r>
      <w:r>
        <w:rPr>
          <w:sz w:val="19"/>
          <w:szCs w:val="19"/>
        </w:rPr>
        <w:t xml:space="preserve">Cash rose by 1,060: an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outflow of 40, an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outflow of 1,200 and a financing inflow of 2,300. </w:t>
      </w:r>
      <w:r>
        <w:rPr>
          <w:sz w:val="19"/>
          <w:szCs w:val="19"/>
        </w:rPr>
        <w:t xml:space="preserve"/>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that net income and the change in cash are very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numbers. </w:t>
      </w:r>
      <w:r>
        <w:rPr>
          <w:sz w:val="19"/>
          <w:szCs w:val="19"/>
        </w:rPr>
        <w:t xml:space="preserve">This is 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basis at work. </w:t>
      </w:r>
      <w:r>
        <w:rPr>
          <w:sz w:val="19"/>
          <w:szCs w:val="19"/>
        </w:rPr>
        <w:t xml:space="preserve">A trial balance lists every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balance and checks that total debits equal total credits. </w:t>
      </w:r>
      <w:r>
        <w:rPr>
          <w:sz w:val="19"/>
          <w:szCs w:val="19"/>
        </w:rPr>
        <w:t xml:space="preserve">You will use it in the section check below and in the practice set.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operating   ·   transactions   ·   accrual   ·   account   ·   statements   ·   Notice   ·   dividend   ·   investing   ·   explains   ·   describes   ·   different</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2692"/>
        <w:gridCol w:w="268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Barada Wholesale, Inc. — trial balance, December 31, 2025 (USD 000)</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Account</w:t>
            </w:r>
          </w:p>
        </w:tc>
        <w:tc>
          <w:tcPr>
            <w:tcW w:type="pct" w:w="1402"/>
            <w:shd w:fill="353A7C" w:val="clear"/>
            <w:tcMar>
              <w:top w:type="dxa" w:w="50"/>
              <w:left w:type="dxa" w:w="110"/>
              <w:bottom w:type="dxa" w:w="50"/>
              <w:right w:type="dxa" w:w="110"/>
            </w:tcMar>
          </w:tcPr>
          <w:p>
            <w:pPr>
              <w:spacing w:before="30" w:after="30"/>
            </w:pPr>
            <w:r>
              <w:rPr>
                <w:b/>
                <w:bCs/>
                <w:color w:val="FFFFFF"/>
                <w:sz w:val="15"/>
                <w:szCs w:val="15"/>
              </w:rPr>
              <w:t xml:space="preserve">Debit</w:t>
            </w:r>
          </w:p>
        </w:tc>
        <w:tc>
          <w:tcPr>
            <w:tcW w:type="pct" w:w="1398"/>
            <w:shd w:fill="353A7C" w:val="clear"/>
            <w:tcMar>
              <w:top w:type="dxa" w:w="50"/>
              <w:left w:type="dxa" w:w="110"/>
              <w:bottom w:type="dxa" w:w="50"/>
              <w:right w:type="dxa" w:w="110"/>
            </w:tcMar>
          </w:tcPr>
          <w:p>
            <w:pPr>
              <w:spacing w:before="30" w:after="30"/>
            </w:pPr>
            <w:r>
              <w:rPr>
                <w:b/>
                <w:bCs/>
                <w:color w:val="FFFFFF"/>
                <w:sz w:val="15"/>
                <w:szCs w:val="15"/>
              </w:rPr>
              <w:t xml:space="preserve">Credit</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1402"/>
            <w:tcMar>
              <w:top w:type="dxa" w:w="50"/>
              <w:left w:type="dxa" w:w="110"/>
              <w:bottom w:type="dxa" w:w="50"/>
              <w:right w:type="dxa" w:w="110"/>
            </w:tcMar>
          </w:tcPr>
          <w:p>
            <w:pPr>
              <w:spacing w:before="28" w:after="28"/>
            </w:pPr>
            <w:r>
              <w:rPr>
                <w:sz w:val="15"/>
                <w:szCs w:val="15"/>
              </w:rPr>
              <w:t xml:space="preserve">1,050</w:t>
            </w:r>
          </w:p>
        </w:tc>
        <w:tc>
          <w:tcPr>
            <w:tcW w:type="pct" w:w="1398"/>
            <w:tcMar>
              <w:top w:type="dxa" w:w="50"/>
              <w:left w:type="dxa" w:w="110"/>
              <w:bottom w:type="dxa" w:w="50"/>
              <w:right w:type="dxa" w:w="110"/>
            </w:tcMar>
          </w:tcPr>
          <w:p>
            <w:pPr>
              <w:spacing w:before="28" w:after="28"/>
            </w:pPr>
            <w:r>
              <w:rPr>
                <w:sz w:val="15"/>
                <w:szCs w:val="15"/>
              </w:rPr>
              <w:t xml:space="preserve"> </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Accounts receivable</w:t>
            </w:r>
          </w:p>
        </w:tc>
        <w:tc>
          <w:tcPr>
            <w:tcW w:type="pct" w:w="1402"/>
            <w:shd w:fill="FBFAF6" w:val="clear"/>
            <w:tcMar>
              <w:top w:type="dxa" w:w="50"/>
              <w:left w:type="dxa" w:w="110"/>
              <w:bottom w:type="dxa" w:w="50"/>
              <w:right w:type="dxa" w:w="110"/>
            </w:tcMar>
          </w:tcPr>
          <w:p>
            <w:pPr>
              <w:spacing w:before="28" w:after="28"/>
            </w:pPr>
            <w:r>
              <w:rPr>
                <w:sz w:val="15"/>
                <w:szCs w:val="15"/>
              </w:rPr>
              <w:t xml:space="preserve">300</w:t>
            </w:r>
          </w:p>
        </w:tc>
        <w:tc>
          <w:tcPr>
            <w:tcW w:type="pct" w:w="1398"/>
            <w:shd w:fill="FBFAF6" w:val="clear"/>
            <w:tcMar>
              <w:top w:type="dxa" w:w="50"/>
              <w:left w:type="dxa" w:w="110"/>
              <w:bottom w:type="dxa" w:w="50"/>
              <w:right w:type="dxa" w:w="110"/>
            </w:tcMar>
          </w:tcPr>
          <w:p>
            <w:pPr>
              <w:spacing w:before="28" w:after="28"/>
            </w:pPr>
            <w:r>
              <w:rPr>
                <w:sz w:val="15"/>
                <w:szCs w:val="15"/>
              </w:rPr>
              <w:t xml:space="preserve"> </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(14)</w:t>
            </w:r>
          </w:p>
        </w:tc>
        <w:tc>
          <w:tcPr>
            <w:tcW w:type="pct" w:w="1402"/>
            <w:tcMar>
              <w:top w:type="dxa" w:w="50"/>
              <w:left w:type="dxa" w:w="110"/>
              <w:bottom w:type="dxa" w:w="50"/>
              <w:right w:type="dxa" w:w="110"/>
            </w:tcMar>
          </w:tcPr>
          <w:p>
            <w:pPr>
              <w:spacing w:before="28" w:after="28"/>
            </w:pPr>
            <w:r>
              <w:rPr>
                <w:sz w:val="15"/>
                <w:szCs w:val="15"/>
              </w:rPr>
              <w:t xml:space="preserve"> </w:t>
            </w:r>
          </w:p>
        </w:tc>
        <w:tc>
          <w:tcPr>
            <w:tcW w:type="pct" w:w="1398"/>
            <w:tcMar>
              <w:top w:type="dxa" w:w="50"/>
              <w:left w:type="dxa" w:w="110"/>
              <w:bottom w:type="dxa" w:w="50"/>
              <w:right w:type="dxa" w:w="110"/>
            </w:tcMar>
          </w:tcPr>
          <w:p>
            <w:pPr>
              <w:spacing w:before="28" w:after="28"/>
            </w:pPr>
            <w:r>
              <w:rPr>
                <w:sz w:val="15"/>
                <w:szCs w:val="15"/>
              </w:rPr>
              <w:t xml:space="preserve">20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1402"/>
            <w:shd w:fill="FBFAF6" w:val="clear"/>
            <w:tcMar>
              <w:top w:type="dxa" w:w="50"/>
              <w:left w:type="dxa" w:w="110"/>
              <w:bottom w:type="dxa" w:w="50"/>
              <w:right w:type="dxa" w:w="110"/>
            </w:tcMar>
          </w:tcPr>
          <w:p>
            <w:pPr>
              <w:spacing w:before="28" w:after="28"/>
            </w:pPr>
            <w:r>
              <w:rPr>
                <w:sz w:val="15"/>
                <w:szCs w:val="15"/>
              </w:rPr>
              <w:t xml:space="preserve">420</w:t>
            </w:r>
          </w:p>
        </w:tc>
        <w:tc>
          <w:tcPr>
            <w:tcW w:type="pct" w:w="1398"/>
            <w:shd w:fill="FBFAF6" w:val="clear"/>
            <w:tcMar>
              <w:top w:type="dxa" w:w="50"/>
              <w:left w:type="dxa" w:w="110"/>
              <w:bottom w:type="dxa" w:w="50"/>
              <w:right w:type="dxa" w:w="110"/>
            </w:tcMar>
          </w:tcPr>
          <w:p>
            <w:pPr>
              <w:spacing w:before="28" w:after="28"/>
            </w:pPr>
            <w:r>
              <w:rPr>
                <w:sz w:val="15"/>
                <w:szCs w:val="15"/>
              </w:rPr>
              <w:t xml:space="preserve"> </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(16)</w:t>
            </w:r>
          </w:p>
        </w:tc>
        <w:tc>
          <w:tcPr>
            <w:tcW w:type="pct" w:w="1402"/>
            <w:tcMar>
              <w:top w:type="dxa" w:w="50"/>
              <w:left w:type="dxa" w:w="110"/>
              <w:bottom w:type="dxa" w:w="50"/>
              <w:right w:type="dxa" w:w="110"/>
            </w:tcMar>
          </w:tcPr>
          <w:p>
            <w:pPr>
              <w:spacing w:before="28" w:after="28"/>
            </w:pPr>
            <w:r>
              <w:rPr>
                <w:sz w:val="15"/>
                <w:szCs w:val="15"/>
              </w:rPr>
              <w:t xml:space="preserve">24</w:t>
            </w:r>
          </w:p>
        </w:tc>
        <w:tc>
          <w:tcPr>
            <w:tcW w:type="pct" w:w="1398"/>
            <w:tcMar>
              <w:top w:type="dxa" w:w="50"/>
              <w:left w:type="dxa" w:w="110"/>
              <w:bottom w:type="dxa" w:w="50"/>
              <w:right w:type="dxa" w:w="110"/>
            </w:tcMar>
          </w:tcPr>
          <w:p>
            <w:pPr>
              <w:spacing w:before="28" w:after="28"/>
            </w:pPr>
            <w:r>
              <w:rPr>
                <w:sz w:val="15"/>
                <w:szCs w:val="15"/>
              </w:rPr>
              <w:t xml:space="preserve"> </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(17)</w:t>
            </w:r>
          </w:p>
        </w:tc>
        <w:tc>
          <w:tcPr>
            <w:tcW w:type="pct" w:w="1402"/>
            <w:shd w:fill="FBFAF6" w:val="clear"/>
            <w:tcMar>
              <w:top w:type="dxa" w:w="50"/>
              <w:left w:type="dxa" w:w="110"/>
              <w:bottom w:type="dxa" w:w="50"/>
              <w:right w:type="dxa" w:w="110"/>
            </w:tcMar>
          </w:tcPr>
          <w:p>
            <w:pPr>
              <w:spacing w:before="28" w:after="28"/>
            </w:pPr>
            <w:r>
              <w:rPr>
                <w:sz w:val="15"/>
                <w:szCs w:val="15"/>
              </w:rPr>
              <w:t xml:space="preserve">936</w:t>
            </w:r>
          </w:p>
        </w:tc>
        <w:tc>
          <w:tcPr>
            <w:tcW w:type="pct" w:w="1398"/>
            <w:shd w:fill="FBFAF6" w:val="clear"/>
            <w:tcMar>
              <w:top w:type="dxa" w:w="50"/>
              <w:left w:type="dxa" w:w="110"/>
              <w:bottom w:type="dxa" w:w="50"/>
              <w:right w:type="dxa" w:w="110"/>
            </w:tcMar>
          </w:tcPr>
          <w:p>
            <w:pPr>
              <w:spacing w:before="28" w:after="28"/>
            </w:pPr>
            <w:r>
              <w:rPr>
                <w:sz w:val="15"/>
                <w:szCs w:val="15"/>
              </w:rPr>
              <w:t xml:space="preserve"> </w:t>
            </w:r>
          </w:p>
        </w:tc>
      </w:tr>
      <w:tr>
        <w:tc>
          <w:tcPr>
            <w:tcW w:type="pct" w:w="2200"/>
            <w:tcMar>
              <w:top w:type="dxa" w:w="50"/>
              <w:left w:type="dxa" w:w="110"/>
              <w:bottom w:type="dxa" w:w="50"/>
              <w:right w:type="dxa" w:w="110"/>
            </w:tcMar>
          </w:tcPr>
          <w:p>
            <w:pPr>
              <w:spacing w:before="28" w:after="28"/>
            </w:pPr>
            <w:r>
              <w:rPr>
                <w:sz w:val="15"/>
                <w:szCs w:val="15"/>
              </w:rPr>
              <w:t xml:space="preserve">Equipment</w:t>
            </w:r>
          </w:p>
        </w:tc>
        <w:tc>
          <w:tcPr>
            <w:tcW w:type="pct" w:w="1402"/>
            <w:tcMar>
              <w:top w:type="dxa" w:w="50"/>
              <w:left w:type="dxa" w:w="110"/>
              <w:bottom w:type="dxa" w:w="50"/>
              <w:right w:type="dxa" w:w="110"/>
            </w:tcMar>
          </w:tcPr>
          <w:p>
            <w:pPr>
              <w:spacing w:before="28" w:after="28"/>
            </w:pPr>
            <w:r>
              <w:rPr>
                <w:sz w:val="15"/>
                <w:szCs w:val="15"/>
              </w:rPr>
              <w:t xml:space="preserve">4,200</w:t>
            </w:r>
          </w:p>
        </w:tc>
        <w:tc>
          <w:tcPr>
            <w:tcW w:type="pct" w:w="1398"/>
            <w:tcMar>
              <w:top w:type="dxa" w:w="50"/>
              <w:left w:type="dxa" w:w="110"/>
              <w:bottom w:type="dxa" w:w="50"/>
              <w:right w:type="dxa" w:w="110"/>
            </w:tcMar>
          </w:tcPr>
          <w:p>
            <w:pPr>
              <w:spacing w:before="28" w:after="28"/>
            </w:pPr>
            <w:r>
              <w:rPr>
                <w:sz w:val="15"/>
                <w:szCs w:val="15"/>
              </w:rPr>
              <w:t xml:space="preserve"> </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(18)</w:t>
            </w:r>
          </w:p>
        </w:tc>
        <w:tc>
          <w:tcPr>
            <w:tcW w:type="pct" w:w="1402"/>
            <w:shd w:fill="FBFAF6" w:val="clear"/>
            <w:tcMar>
              <w:top w:type="dxa" w:w="50"/>
              <w:left w:type="dxa" w:w="110"/>
              <w:bottom w:type="dxa" w:w="50"/>
              <w:right w:type="dxa" w:w="110"/>
            </w:tcMar>
          </w:tcPr>
          <w:p>
            <w:pPr>
              <w:spacing w:before="28" w:after="28"/>
            </w:pPr>
            <w:r>
              <w:rPr>
                <w:sz w:val="15"/>
                <w:szCs w:val="15"/>
              </w:rPr>
              <w:t xml:space="preserve"> </w:t>
            </w:r>
          </w:p>
        </w:tc>
        <w:tc>
          <w:tcPr>
            <w:tcW w:type="pct" w:w="1398"/>
            <w:shd w:fill="FBFAF6" w:val="clear"/>
            <w:tcMar>
              <w:top w:type="dxa" w:w="50"/>
              <w:left w:type="dxa" w:w="110"/>
              <w:bottom w:type="dxa" w:w="50"/>
              <w:right w:type="dxa" w:w="110"/>
            </w:tcMar>
          </w:tcPr>
          <w:p>
            <w:pPr>
              <w:spacing w:before="28" w:after="28"/>
            </w:pPr>
            <w:r>
              <w:rPr>
                <w:sz w:val="15"/>
                <w:szCs w:val="15"/>
              </w:rPr>
              <w:t xml:space="preserve">900</w:t>
            </w:r>
          </w:p>
        </w:tc>
      </w:tr>
      <w:tr>
        <w:tc>
          <w:tcPr>
            <w:tcW w:type="pct" w:w="2200"/>
            <w:tcMar>
              <w:top w:type="dxa" w:w="50"/>
              <w:left w:type="dxa" w:w="110"/>
              <w:bottom w:type="dxa" w:w="50"/>
              <w:right w:type="dxa" w:w="110"/>
            </w:tcMar>
          </w:tcPr>
          <w:p>
            <w:pPr>
              <w:spacing w:before="28" w:after="28"/>
            </w:pPr>
            <w:r>
              <w:rPr>
                <w:sz w:val="15"/>
                <w:szCs w:val="15"/>
              </w:rPr>
              <w:t xml:space="preserve">Accounts payable</w:t>
            </w:r>
          </w:p>
        </w:tc>
        <w:tc>
          <w:tcPr>
            <w:tcW w:type="pct" w:w="1402"/>
            <w:tcMar>
              <w:top w:type="dxa" w:w="50"/>
              <w:left w:type="dxa" w:w="110"/>
              <w:bottom w:type="dxa" w:w="50"/>
              <w:right w:type="dxa" w:w="110"/>
            </w:tcMar>
          </w:tcPr>
          <w:p>
            <w:pPr>
              <w:spacing w:before="28" w:after="28"/>
            </w:pPr>
            <w:r>
              <w:rPr>
                <w:sz w:val="15"/>
                <w:szCs w:val="15"/>
              </w:rPr>
              <w:t xml:space="preserve"> </w:t>
            </w:r>
          </w:p>
        </w:tc>
        <w:tc>
          <w:tcPr>
            <w:tcW w:type="pct" w:w="1398"/>
            <w:tcMar>
              <w:top w:type="dxa" w:w="50"/>
              <w:left w:type="dxa" w:w="110"/>
              <w:bottom w:type="dxa" w:w="50"/>
              <w:right w:type="dxa" w:w="110"/>
            </w:tcMar>
          </w:tcPr>
          <w:p>
            <w:pPr>
              <w:spacing w:before="28" w:after="28"/>
            </w:pPr>
            <w:r>
              <w:rPr>
                <w:sz w:val="15"/>
                <w:szCs w:val="15"/>
              </w:rPr>
              <w:t xml:space="preserve">380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Dividends payable</w:t>
            </w:r>
          </w:p>
        </w:tc>
        <w:tc>
          <w:tcPr>
            <w:tcW w:type="pct" w:w="1402"/>
            <w:shd w:fill="FBFAF6" w:val="clear"/>
            <w:tcMar>
              <w:top w:type="dxa" w:w="50"/>
              <w:left w:type="dxa" w:w="110"/>
              <w:bottom w:type="dxa" w:w="50"/>
              <w:right w:type="dxa" w:w="110"/>
            </w:tcMar>
          </w:tcPr>
          <w:p>
            <w:pPr>
              <w:spacing w:before="28" w:after="28"/>
            </w:pPr>
            <w:r>
              <w:rPr>
                <w:sz w:val="15"/>
                <w:szCs w:val="15"/>
              </w:rPr>
              <w:t xml:space="preserve"> </w:t>
            </w:r>
          </w:p>
        </w:tc>
        <w:tc>
          <w:tcPr>
            <w:tcW w:type="pct" w:w="1398"/>
            <w:shd w:fill="FBFAF6" w:val="clear"/>
            <w:tcMar>
              <w:top w:type="dxa" w:w="50"/>
              <w:left w:type="dxa" w:w="110"/>
              <w:bottom w:type="dxa" w:w="50"/>
              <w:right w:type="dxa" w:w="110"/>
            </w:tcMar>
          </w:tcPr>
          <w:p>
            <w:pPr>
              <w:spacing w:before="28" w:after="28"/>
            </w:pPr>
            <w:r>
              <w:rPr>
                <w:sz w:val="15"/>
                <w:szCs w:val="15"/>
              </w:rPr>
              <w:t xml:space="preserve">50</w:t>
            </w:r>
          </w:p>
        </w:tc>
      </w:tr>
      <w:tr>
        <w:tc>
          <w:tcPr>
            <w:tcW w:type="pct" w:w="2200"/>
            <w:tcMar>
              <w:top w:type="dxa" w:w="50"/>
              <w:left w:type="dxa" w:w="110"/>
              <w:bottom w:type="dxa" w:w="50"/>
              <w:right w:type="dxa" w:w="110"/>
            </w:tcMar>
          </w:tcPr>
          <w:p>
            <w:pPr>
              <w:spacing w:before="28" w:after="28"/>
            </w:pPr>
            <w:r>
              <w:rPr>
                <w:sz w:val="15"/>
                <w:szCs w:val="15"/>
              </w:rPr>
              <w:t xml:space="preserve">Notes payable (long-term)</w:t>
            </w:r>
          </w:p>
        </w:tc>
        <w:tc>
          <w:tcPr>
            <w:tcW w:type="pct" w:w="1402"/>
            <w:tcMar>
              <w:top w:type="dxa" w:w="50"/>
              <w:left w:type="dxa" w:w="110"/>
              <w:bottom w:type="dxa" w:w="50"/>
              <w:right w:type="dxa" w:w="110"/>
            </w:tcMar>
          </w:tcPr>
          <w:p>
            <w:pPr>
              <w:spacing w:before="28" w:after="28"/>
            </w:pPr>
            <w:r>
              <w:rPr>
                <w:sz w:val="15"/>
                <w:szCs w:val="15"/>
              </w:rPr>
              <w:t xml:space="preserve"> </w:t>
            </w:r>
          </w:p>
        </w:tc>
        <w:tc>
          <w:tcPr>
            <w:tcW w:type="pct" w:w="1398"/>
            <w:tcMar>
              <w:top w:type="dxa" w:w="50"/>
              <w:left w:type="dxa" w:w="110"/>
              <w:bottom w:type="dxa" w:w="50"/>
              <w:right w:type="dxa" w:w="110"/>
            </w:tcMar>
          </w:tcPr>
          <w:p>
            <w:pPr>
              <w:spacing w:before="28" w:after="28"/>
            </w:pPr>
            <w:r>
              <w:rPr>
                <w:sz w:val="15"/>
                <w:szCs w:val="15"/>
              </w:rPr>
              <w:t xml:space="preserve">1,800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(19)</w:t>
            </w:r>
          </w:p>
        </w:tc>
        <w:tc>
          <w:tcPr>
            <w:tcW w:type="pct" w:w="1402"/>
            <w:shd w:fill="FBFAF6" w:val="clear"/>
            <w:tcMar>
              <w:top w:type="dxa" w:w="50"/>
              <w:left w:type="dxa" w:w="110"/>
              <w:bottom w:type="dxa" w:w="50"/>
              <w:right w:type="dxa" w:w="110"/>
            </w:tcMar>
          </w:tcPr>
          <w:p>
            <w:pPr>
              <w:spacing w:before="28" w:after="28"/>
            </w:pPr>
            <w:r>
              <w:rPr>
                <w:sz w:val="15"/>
                <w:szCs w:val="15"/>
              </w:rPr>
              <w:t xml:space="preserve"> </w:t>
            </w:r>
          </w:p>
        </w:tc>
        <w:tc>
          <w:tcPr>
            <w:tcW w:type="pct" w:w="1398"/>
            <w:shd w:fill="FBFAF6" w:val="clear"/>
            <w:tcMar>
              <w:top w:type="dxa" w:w="50"/>
              <w:left w:type="dxa" w:w="110"/>
              <w:bottom w:type="dxa" w:w="50"/>
              <w:right w:type="dxa" w:w="110"/>
            </w:tcMar>
          </w:tcPr>
          <w:p>
            <w:pPr>
              <w:spacing w:before="28" w:after="28"/>
            </w:pPr>
            <w:r>
              <w:rPr>
                <w:sz w:val="15"/>
                <w:szCs w:val="15"/>
              </w:rPr>
              <w:t xml:space="preserve">600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(20)</w:t>
            </w:r>
          </w:p>
        </w:tc>
        <w:tc>
          <w:tcPr>
            <w:tcW w:type="pct" w:w="1402"/>
            <w:tcMar>
              <w:top w:type="dxa" w:w="50"/>
              <w:left w:type="dxa" w:w="110"/>
              <w:bottom w:type="dxa" w:w="50"/>
              <w:right w:type="dxa" w:w="110"/>
            </w:tcMar>
          </w:tcPr>
          <w:p>
            <w:pPr>
              <w:spacing w:before="28" w:after="28"/>
            </w:pPr>
            <w:r>
              <w:rPr>
                <w:sz w:val="15"/>
                <w:szCs w:val="15"/>
              </w:rPr>
              <w:t xml:space="preserve"> </w:t>
            </w:r>
          </w:p>
        </w:tc>
        <w:tc>
          <w:tcPr>
            <w:tcW w:type="pct" w:w="1398"/>
            <w:tcMar>
              <w:top w:type="dxa" w:w="50"/>
              <w:left w:type="dxa" w:w="110"/>
              <w:bottom w:type="dxa" w:w="50"/>
              <w:right w:type="dxa" w:w="110"/>
            </w:tcMar>
          </w:tcPr>
          <w:p>
            <w:pPr>
              <w:spacing w:before="28" w:after="28"/>
            </w:pPr>
            <w:r>
              <w:rPr>
                <w:sz w:val="15"/>
                <w:szCs w:val="15"/>
              </w:rPr>
              <w:t xml:space="preserve">1,900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(21)</w:t>
            </w:r>
          </w:p>
        </w:tc>
        <w:tc>
          <w:tcPr>
            <w:tcW w:type="pct" w:w="1402"/>
            <w:shd w:fill="FBFAF6" w:val="clear"/>
            <w:tcMar>
              <w:top w:type="dxa" w:w="50"/>
              <w:left w:type="dxa" w:w="110"/>
              <w:bottom w:type="dxa" w:w="50"/>
              <w:right w:type="dxa" w:w="110"/>
            </w:tcMar>
          </w:tcPr>
          <w:p>
            <w:pPr>
              <w:spacing w:before="28" w:after="28"/>
            </w:pPr>
            <w:r>
              <w:rPr>
                <w:sz w:val="15"/>
                <w:szCs w:val="15"/>
              </w:rPr>
              <w:t xml:space="preserve"> </w:t>
            </w:r>
          </w:p>
        </w:tc>
        <w:tc>
          <w:tcPr>
            <w:tcW w:type="pct" w:w="1398"/>
            <w:shd w:fill="FBFAF6" w:val="clear"/>
            <w:tcMar>
              <w:top w:type="dxa" w:w="50"/>
              <w:left w:type="dxa" w:w="110"/>
              <w:bottom w:type="dxa" w:w="50"/>
              <w:right w:type="dxa" w:w="110"/>
            </w:tcMar>
          </w:tcPr>
          <w:p>
            <w:pPr>
              <w:spacing w:before="28" w:after="28"/>
            </w:pPr>
            <w:r>
              <w:rPr>
                <w:sz w:val="15"/>
                <w:szCs w:val="15"/>
              </w:rPr>
              <w:t xml:space="preserve">1,000</w:t>
            </w:r>
          </w:p>
        </w:tc>
      </w:tr>
      <w:tr>
        <w:tc>
          <w:tcPr>
            <w:tcW w:type="pct" w:w="2200"/>
            <w:tcMar>
              <w:top w:type="dxa" w:w="50"/>
              <w:left w:type="dxa" w:w="110"/>
              <w:bottom w:type="dxa" w:w="50"/>
              <w:right w:type="dxa" w:w="110"/>
            </w:tcMar>
          </w:tcPr>
          <w:p>
            <w:pPr>
              <w:spacing w:before="28" w:after="28"/>
            </w:pPr>
            <w:r>
              <w:rPr>
                <w:sz w:val="15"/>
                <w:szCs w:val="15"/>
              </w:rPr>
              <w:t xml:space="preserve">Dividends declared</w:t>
            </w:r>
          </w:p>
        </w:tc>
        <w:tc>
          <w:tcPr>
            <w:tcW w:type="pct" w:w="1402"/>
            <w:tcMar>
              <w:top w:type="dxa" w:w="50"/>
              <w:left w:type="dxa" w:w="110"/>
              <w:bottom w:type="dxa" w:w="50"/>
              <w:right w:type="dxa" w:w="110"/>
            </w:tcMar>
          </w:tcPr>
          <w:p>
            <w:pPr>
              <w:spacing w:before="28" w:after="28"/>
            </w:pPr>
            <w:r>
              <w:rPr>
                <w:sz w:val="15"/>
                <w:szCs w:val="15"/>
              </w:rPr>
              <w:t xml:space="preserve">50</w:t>
            </w:r>
          </w:p>
        </w:tc>
        <w:tc>
          <w:tcPr>
            <w:tcW w:type="pct" w:w="1398"/>
            <w:tcMar>
              <w:top w:type="dxa" w:w="50"/>
              <w:left w:type="dxa" w:w="110"/>
              <w:bottom w:type="dxa" w:w="50"/>
              <w:right w:type="dxa" w:w="110"/>
            </w:tcMar>
          </w:tcPr>
          <w:p>
            <w:pPr>
              <w:spacing w:before="28" w:after="28"/>
            </w:pPr>
            <w:r>
              <w:rPr>
                <w:sz w:val="15"/>
                <w:szCs w:val="15"/>
              </w:rPr>
              <w:t xml:space="preserve"> </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Sales revenue</w:t>
            </w:r>
          </w:p>
        </w:tc>
        <w:tc>
          <w:tcPr>
            <w:tcW w:type="pct" w:w="1402"/>
            <w:shd w:fill="FBFAF6" w:val="clear"/>
            <w:tcMar>
              <w:top w:type="dxa" w:w="50"/>
              <w:left w:type="dxa" w:w="110"/>
              <w:bottom w:type="dxa" w:w="50"/>
              <w:right w:type="dxa" w:w="110"/>
            </w:tcMar>
          </w:tcPr>
          <w:p>
            <w:pPr>
              <w:spacing w:before="28" w:after="28"/>
            </w:pPr>
            <w:r>
              <w:rPr>
                <w:sz w:val="15"/>
                <w:szCs w:val="15"/>
              </w:rPr>
              <w:t xml:space="preserve"> </w:t>
            </w:r>
          </w:p>
        </w:tc>
        <w:tc>
          <w:tcPr>
            <w:tcW w:type="pct" w:w="1398"/>
            <w:shd w:fill="FBFAF6" w:val="clear"/>
            <w:tcMar>
              <w:top w:type="dxa" w:w="50"/>
              <w:left w:type="dxa" w:w="110"/>
              <w:bottom w:type="dxa" w:w="50"/>
              <w:right w:type="dxa" w:w="110"/>
            </w:tcMar>
          </w:tcPr>
          <w:p>
            <w:pPr>
              <w:spacing w:before="28" w:after="28"/>
            </w:pPr>
            <w:r>
              <w:rPr>
                <w:sz w:val="15"/>
                <w:szCs w:val="15"/>
              </w:rPr>
              <w:t xml:space="preserve">3,100</w:t>
            </w:r>
          </w:p>
        </w:tc>
      </w:tr>
      <w:tr>
        <w:tc>
          <w:tcPr>
            <w:tcW w:type="pct" w:w="2200"/>
            <w:tcMar>
              <w:top w:type="dxa" w:w="50"/>
              <w:left w:type="dxa" w:w="110"/>
              <w:bottom w:type="dxa" w:w="50"/>
              <w:right w:type="dxa" w:w="110"/>
            </w:tcMar>
          </w:tcPr>
          <w:p>
            <w:pPr>
              <w:spacing w:before="28" w:after="28"/>
            </w:pPr>
            <w:r>
              <w:rPr>
                <w:sz w:val="15"/>
                <w:szCs w:val="15"/>
              </w:rPr>
              <w:t xml:space="preserve">Cost of goods sold</w:t>
            </w:r>
          </w:p>
        </w:tc>
        <w:tc>
          <w:tcPr>
            <w:tcW w:type="pct" w:w="1402"/>
            <w:tcMar>
              <w:top w:type="dxa" w:w="50"/>
              <w:left w:type="dxa" w:w="110"/>
              <w:bottom w:type="dxa" w:w="50"/>
              <w:right w:type="dxa" w:w="110"/>
            </w:tcMar>
          </w:tcPr>
          <w:p>
            <w:pPr>
              <w:spacing w:before="28" w:after="28"/>
            </w:pPr>
            <w:r>
              <w:rPr>
                <w:sz w:val="15"/>
                <w:szCs w:val="15"/>
              </w:rPr>
              <w:t xml:space="preserve">1,860</w:t>
            </w:r>
          </w:p>
        </w:tc>
        <w:tc>
          <w:tcPr>
            <w:tcW w:type="pct" w:w="1398"/>
            <w:tcMar>
              <w:top w:type="dxa" w:w="50"/>
              <w:left w:type="dxa" w:w="110"/>
              <w:bottom w:type="dxa" w:w="50"/>
              <w:right w:type="dxa" w:w="110"/>
            </w:tcMar>
          </w:tcPr>
          <w:p>
            <w:pPr>
              <w:spacing w:before="28" w:after="28"/>
            </w:pPr>
            <w:r>
              <w:rPr>
                <w:sz w:val="15"/>
                <w:szCs w:val="15"/>
              </w:rPr>
              <w:t xml:space="preserve"> </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Wages expense</w:t>
            </w:r>
          </w:p>
        </w:tc>
        <w:tc>
          <w:tcPr>
            <w:tcW w:type="pct" w:w="1402"/>
            <w:shd w:fill="FBFAF6" w:val="clear"/>
            <w:tcMar>
              <w:top w:type="dxa" w:w="50"/>
              <w:left w:type="dxa" w:w="110"/>
              <w:bottom w:type="dxa" w:w="50"/>
              <w:right w:type="dxa" w:w="110"/>
            </w:tcMar>
          </w:tcPr>
          <w:p>
            <w:pPr>
              <w:spacing w:before="28" w:after="28"/>
            </w:pPr>
            <w:r>
              <w:rPr>
                <w:sz w:val="15"/>
                <w:szCs w:val="15"/>
              </w:rPr>
              <w:t xml:space="preserve">520</w:t>
            </w:r>
          </w:p>
        </w:tc>
        <w:tc>
          <w:tcPr>
            <w:tcW w:type="pct" w:w="1398"/>
            <w:shd w:fill="FBFAF6" w:val="clear"/>
            <w:tcMar>
              <w:top w:type="dxa" w:w="50"/>
              <w:left w:type="dxa" w:w="110"/>
              <w:bottom w:type="dxa" w:w="50"/>
              <w:right w:type="dxa" w:w="110"/>
            </w:tcMar>
          </w:tcPr>
          <w:p>
            <w:pPr>
              <w:spacing w:before="28" w:after="28"/>
            </w:pPr>
            <w:r>
              <w:rPr>
                <w:sz w:val="15"/>
                <w:szCs w:val="15"/>
              </w:rPr>
              <w:t xml:space="preserve"> </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(22)</w:t>
            </w:r>
          </w:p>
        </w:tc>
        <w:tc>
          <w:tcPr>
            <w:tcW w:type="pct" w:w="1402"/>
            <w:tcMar>
              <w:top w:type="dxa" w:w="50"/>
              <w:left w:type="dxa" w:w="110"/>
              <w:bottom w:type="dxa" w:w="50"/>
              <w:right w:type="dxa" w:w="110"/>
            </w:tcMar>
          </w:tcPr>
          <w:p>
            <w:pPr>
              <w:spacing w:before="28" w:after="28"/>
            </w:pPr>
            <w:r>
              <w:rPr>
                <w:sz w:val="15"/>
                <w:szCs w:val="15"/>
              </w:rPr>
              <w:t xml:space="preserve">300</w:t>
            </w:r>
          </w:p>
        </w:tc>
        <w:tc>
          <w:tcPr>
            <w:tcW w:type="pct" w:w="1398"/>
            <w:tcMar>
              <w:top w:type="dxa" w:w="50"/>
              <w:left w:type="dxa" w:w="110"/>
              <w:bottom w:type="dxa" w:w="50"/>
              <w:right w:type="dxa" w:w="110"/>
            </w:tcMar>
          </w:tcPr>
          <w:p>
            <w:pPr>
              <w:spacing w:before="28" w:after="28"/>
            </w:pPr>
            <w:r>
              <w:rPr>
                <w:sz w:val="15"/>
                <w:szCs w:val="15"/>
              </w:rPr>
              <w:t xml:space="preserve"> </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Interest expense</w:t>
            </w:r>
          </w:p>
        </w:tc>
        <w:tc>
          <w:tcPr>
            <w:tcW w:type="pct" w:w="1402"/>
            <w:shd w:fill="FBFAF6" w:val="clear"/>
            <w:tcMar>
              <w:top w:type="dxa" w:w="50"/>
              <w:left w:type="dxa" w:w="110"/>
              <w:bottom w:type="dxa" w:w="50"/>
              <w:right w:type="dxa" w:w="110"/>
            </w:tcMar>
          </w:tcPr>
          <w:p>
            <w:pPr>
              <w:spacing w:before="28" w:after="28"/>
            </w:pPr>
            <w:r>
              <w:rPr>
                <w:sz w:val="15"/>
                <w:szCs w:val="15"/>
              </w:rPr>
              <w:t xml:space="preserve">90</w:t>
            </w:r>
          </w:p>
        </w:tc>
        <w:tc>
          <w:tcPr>
            <w:tcW w:type="pct" w:w="1398"/>
            <w:shd w:fill="FBFAF6" w:val="clear"/>
            <w:tcMar>
              <w:top w:type="dxa" w:w="50"/>
              <w:left w:type="dxa" w:w="110"/>
              <w:bottom w:type="dxa" w:w="50"/>
              <w:right w:type="dxa" w:w="110"/>
            </w:tcMar>
          </w:tcPr>
          <w:p>
            <w:pPr>
              <w:spacing w:before="28" w:after="28"/>
            </w:pPr>
            <w:r>
              <w:rPr>
                <w:sz w:val="15"/>
                <w:szCs w:val="15"/>
              </w:rPr>
              <w:t xml:space="preserve"> </w:t>
            </w:r>
          </w:p>
        </w:tc>
      </w:tr>
      <w:tr>
        <w:tc>
          <w:tcPr>
            <w:tcW w:type="pct" w:w="2200"/>
            <w:tcMar>
              <w:top w:type="dxa" w:w="50"/>
              <w:left w:type="dxa" w:w="110"/>
              <w:bottom w:type="dxa" w:w="50"/>
              <w:right w:type="dxa" w:w="110"/>
            </w:tcMar>
          </w:tcPr>
          <w:p>
            <w:pPr>
              <w:spacing w:before="28" w:after="28"/>
            </w:pPr>
            <w:r>
              <w:rPr>
                <w:sz w:val="15"/>
                <w:szCs w:val="15"/>
              </w:rPr>
              <w:t xml:space="preserve">Totals</w:t>
            </w:r>
          </w:p>
        </w:tc>
        <w:tc>
          <w:tcPr>
            <w:tcW w:type="pct" w:w="1402"/>
            <w:tcMar>
              <w:top w:type="dxa" w:w="50"/>
              <w:left w:type="dxa" w:w="110"/>
              <w:bottom w:type="dxa" w:w="50"/>
              <w:right w:type="dxa" w:w="110"/>
            </w:tcMar>
          </w:tcPr>
          <w:p>
            <w:pPr>
              <w:spacing w:before="28" w:after="28"/>
            </w:pPr>
            <w:r>
              <w:rPr>
                <w:sz w:val="15"/>
                <w:szCs w:val="15"/>
              </w:rPr>
              <w:t xml:space="preserve">9,750</w:t>
            </w:r>
          </w:p>
        </w:tc>
        <w:tc>
          <w:tcPr>
            <w:tcW w:type="pct" w:w="1398"/>
            <w:tcMar>
              <w:top w:type="dxa" w:w="50"/>
              <w:left w:type="dxa" w:w="110"/>
              <w:bottom w:type="dxa" w:w="50"/>
              <w:right w:type="dxa" w:w="110"/>
            </w:tcMar>
          </w:tcPr>
          <w:p>
            <w:pPr>
              <w:spacing w:before="28" w:after="28"/>
            </w:pPr>
            <w:r>
              <w:rPr>
                <w:sz w:val="15"/>
                <w:szCs w:val="15"/>
              </w:rPr>
              <w:t xml:space="preserve">9,750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Cash   ·   Depreciation expense   ·   Additional paid-in capital   ·   Accumulated depreciation   ·   Retained earnings, January 1   ·   statement of financial position   ·   Allowance for credit losses   ·   Prepaid rent   ·   Land   ·   Common stock   ·   Inventory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Reading exam questions</w:t>
            </w:r>
          </w:p>
        </w:tc>
      </w:tr>
    </w:tbl>
    <w:p/>
    <w:p>
      <w:pPr>
        <w:pageBreakBefore w:val="true"/>
        <w:spacing w:after="0"/>
      </w:pPr>
      <w:r>
        <w:rPr>
          <w:sz w:val="2"/>
        </w:rPr>
        <w:t xml:space="preserve"> </w:t>
      </w:r>
    </w:p>
    <w:p>
      <w:pPr>
        <w:spacing w:before="44" w:after="10"/>
      </w:pPr>
      <w:r>
        <w:rPr>
          <w:b/>
          <w:bCs/>
          <w:color w:val="353A7C"/>
          <w:sz w:val="18"/>
          <w:szCs w:val="18"/>
        </w:rPr>
        <w:t xml:space="preserve">Net income, and how it is reached</w:t>
      </w:r>
    </w:p>
    <w:p>
      <w:pPr>
        <w:spacing w:before="0" w:after="12"/>
      </w:pPr>
      <w:r>
        <w:rPr>
          <w:color w:val="6B7280"/>
          <w:sz w:val="15"/>
          <w:szCs w:val="15"/>
        </w:rPr>
        <w:t xml:space="preserve">The parts add up to the total; the bars are to scale.</w:t>
      </w:r>
    </w:p>
    <w:p>
      <w:pPr>
        <w:spacing w:after="40" w:before="90"/>
        <w:jc w:val="center"/>
      </w:pPr>
      <w:r>
        <w:drawing>
          <wp:inline distT="0" distB="0" distL="0" distR="0">
            <wp:extent cx="5734050" cy="181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734050" cy="18107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revenue   ·   disclose</w:t>
            </w:r>
          </w:p>
        </w:tc>
      </w:tr>
    </w:tbl>
    <w:p/>
    <w:p>
      <w:pPr>
        <w:spacing w:before="44" w:after="14"/>
      </w:pPr>
      <w:r>
        <w:rPr>
          <w:b/>
          <w:bCs/>
          <w:color w:val="353A7C"/>
          <w:sz w:val="18"/>
          <w:szCs w:val="18"/>
        </w:rPr>
        <w:t xml:space="preserve">Summary 2</w:t>
      </w:r>
      <w:r>
        <w:rPr>
          <w:color w:val="6B7280"/>
          <w:sz w:val="16"/>
          <w:szCs w:val="16"/>
        </w:rPr>
        <w:t xml:space="preserve">      gaps 24–25</w:t>
      </w:r>
    </w:p>
    <w:p>
      <w:pPr>
        <w:spacing w:before="20" w:after="20" w:line="360" w:lineRule="auto"/>
        <w:ind w:left="200"/>
      </w:pPr>
      <w:r>
        <w:rPr>
          <w:sz w:val="19"/>
          <w:szCs w:val="19"/>
        </w:rPr>
        <w:t xml:space="preserve">MOST likely or BEST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more than one option may be partly true. </w:t>
      </w:r>
      <w:r>
        <w:rPr>
          <w:sz w:val="19"/>
          <w:szCs w:val="19"/>
        </w:rPr>
        <w:t xml:space="preserve"/>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the best one. </w:t>
      </w:r>
      <w:r>
        <w:rPr>
          <w:sz w:val="19"/>
          <w:szCs w:val="19"/>
        </w:rPr>
        <w:t xml:space="preserve">NOT or EXCEPT: three options are true. </w:t>
      </w:r>
      <w:r>
        <w:rPr>
          <w:sz w:val="19"/>
          <w:szCs w:val="19"/>
        </w:rPr>
        <w:t xml:space="preserve">Find the one that is false.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retained   ·   describes   ·   Choose</w:t>
            </w:r>
          </w:p>
        </w:tc>
      </w:tr>
    </w:tbl>
    <w:p/>
    <w:p>
      <w:pPr>
        <w:spacing w:before="44" w:after="10"/>
      </w:pPr>
      <w:r>
        <w:rPr>
          <w:b/>
          <w:bCs/>
          <w:color w:val="353A7C"/>
          <w:sz w:val="18"/>
          <w:szCs w:val="18"/>
        </w:rPr>
        <w:t xml:space="preserve">Reading exam questions</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136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734050" cy="13656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credit   ·   6   ·   dividend   ·   4</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Account — Category</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Account</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600"/>
            <w:tcMar>
              <w:top w:type="dxa" w:w="50"/>
              <w:left w:type="dxa" w:w="110"/>
              <w:bottom w:type="dxa" w:w="50"/>
              <w:right w:type="dxa" w:w="110"/>
            </w:tcMar>
          </w:tcPr>
          <w:p>
            <w:pPr>
              <w:spacing w:before="28" w:after="28"/>
            </w:pPr>
            <w:r>
              <w:rPr>
                <w:sz w:val="15"/>
                <w:szCs w:val="15"/>
              </w:rPr>
              <w:t xml:space="preserve">Prepaid rent</w:t>
            </w:r>
          </w:p>
        </w:tc>
        <w:tc>
          <w:tcPr>
            <w:tcW w:type="pct" w:w="2400"/>
            <w:tcMar>
              <w:top w:type="dxa" w:w="50"/>
              <w:left w:type="dxa" w:w="110"/>
              <w:bottom w:type="dxa" w:w="50"/>
              <w:right w:type="dxa" w:w="110"/>
            </w:tcMar>
          </w:tcPr>
          <w:p>
            <w:pPr>
              <w:spacing w:before="28" w:after="28"/>
            </w:pPr>
            <w:r>
              <w:rPr>
                <w:sz w:val="15"/>
                <w:szCs w:val="15"/>
              </w:rPr>
              <w:t xml:space="preserve">Asset</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Land</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(29)</w:t>
            </w:r>
          </w:p>
        </w:tc>
      </w:tr>
      <w:tr>
        <w:tc>
          <w:tcPr>
            <w:tcW w:type="pct" w:w="2600"/>
            <w:tcMar>
              <w:top w:type="dxa" w:w="50"/>
              <w:left w:type="dxa" w:w="110"/>
              <w:bottom w:type="dxa" w:w="50"/>
              <w:right w:type="dxa" w:w="110"/>
            </w:tcMar>
          </w:tcPr>
          <w:p>
            <w:pPr>
              <w:spacing w:before="28" w:after="28"/>
            </w:pPr>
            <w:r>
              <w:rPr>
                <w:sz w:val="15"/>
                <w:szCs w:val="15"/>
              </w:rPr>
              <w:t xml:space="preserve">Dividends payable</w:t>
            </w:r>
          </w:p>
        </w:tc>
        <w:tc>
          <w:tcPr>
            <w:tcW w:type="pct" w:w="2400"/>
            <w:tcMar>
              <w:top w:type="dxa" w:w="50"/>
              <w:left w:type="dxa" w:w="110"/>
              <w:bottom w:type="dxa" w:w="50"/>
              <w:right w:type="dxa" w:w="110"/>
            </w:tcMar>
          </w:tcPr>
          <w:p>
            <w:pPr>
              <w:spacing w:before="28" w:after="28"/>
            </w:pPr>
            <w:r>
              <w:rPr>
                <w:sz w:val="15"/>
                <w:szCs w:val="15"/>
              </w:rPr>
              <w:t xml:space="preserve">Liability</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Additional paid-in capital</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(30)</w:t>
            </w:r>
          </w:p>
        </w:tc>
      </w:tr>
      <w:tr>
        <w:tc>
          <w:tcPr>
            <w:tcW w:type="pct" w:w="2600"/>
            <w:tcMar>
              <w:top w:type="dxa" w:w="50"/>
              <w:left w:type="dxa" w:w="110"/>
              <w:bottom w:type="dxa" w:w="50"/>
              <w:right w:type="dxa" w:w="110"/>
            </w:tcMar>
          </w:tcPr>
          <w:p>
            <w:pPr>
              <w:spacing w:before="28" w:after="28"/>
            </w:pPr>
            <w:r>
              <w:rPr>
                <w:sz w:val="15"/>
                <w:szCs w:val="15"/>
              </w:rPr>
              <w:t xml:space="preserve">Sales revenue</w:t>
            </w:r>
          </w:p>
        </w:tc>
        <w:tc>
          <w:tcPr>
            <w:tcW w:type="pct" w:w="2400"/>
            <w:tcMar>
              <w:top w:type="dxa" w:w="50"/>
              <w:left w:type="dxa" w:w="110"/>
              <w:bottom w:type="dxa" w:w="50"/>
              <w:right w:type="dxa" w:w="110"/>
            </w:tcMar>
          </w:tcPr>
          <w:p>
            <w:pPr>
              <w:spacing w:before="28" w:after="28"/>
            </w:pPr>
            <w:r>
              <w:rPr>
                <w:sz w:val="15"/>
                <w:szCs w:val="15"/>
              </w:rPr>
              <w:t xml:space="preserve">Revenue</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Interest expense</w:t>
            </w:r>
          </w:p>
        </w:tc>
        <w:tc>
          <w:tcPr>
            <w:tcW w:type="pct" w:w="2400"/>
            <w:shd w:fill="FBFAF6" w:val="clear"/>
            <w:tcMar>
              <w:top w:type="dxa" w:w="50"/>
              <w:left w:type="dxa" w:w="110"/>
              <w:bottom w:type="dxa" w:w="50"/>
              <w:right w:type="dxa" w:w="110"/>
            </w:tcMar>
          </w:tcPr>
          <w:p>
            <w:pPr>
              <w:spacing w:before="28" w:after="28"/>
            </w:pPr>
            <w:r>
              <w:rPr>
                <w:sz w:val="15"/>
                <w:szCs w:val="15"/>
              </w:rPr>
              <w:t xml:space="preserve">Expense</w:t>
            </w:r>
          </w:p>
        </w:tc>
      </w:tr>
      <w:tr>
        <w:tc>
          <w:tcPr>
            <w:tcW w:type="pct" w:w="2600"/>
            <w:tcMar>
              <w:top w:type="dxa" w:w="50"/>
              <w:left w:type="dxa" w:w="110"/>
              <w:bottom w:type="dxa" w:w="50"/>
              <w:right w:type="dxa" w:w="110"/>
            </w:tcMar>
          </w:tcPr>
          <w:p>
            <w:pPr>
              <w:spacing w:before="28" w:after="28"/>
            </w:pPr>
            <w:r>
              <w:rPr>
                <w:sz w:val="15"/>
                <w:szCs w:val="15"/>
              </w:rPr>
              <w:t xml:space="preserve">Allowance for credit losses</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(31)</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Accumulated depreciation</w:t>
            </w:r>
          </w:p>
        </w:tc>
        <w:tc>
          <w:tcPr>
            <w:tcW w:type="pct" w:w="2400"/>
            <w:shd w:fill="FBFAF6" w:val="clear"/>
            <w:tcMar>
              <w:top w:type="dxa" w:w="50"/>
              <w:left w:type="dxa" w:w="110"/>
              <w:bottom w:type="dxa" w:w="50"/>
              <w:right w:type="dxa" w:w="110"/>
            </w:tcMar>
          </w:tcPr>
          <w:p>
            <w:pPr>
              <w:spacing w:before="28" w:after="28"/>
            </w:pPr>
            <w:r>
              <w:rPr>
                <w:sz w:val="15"/>
                <w:szCs w:val="15"/>
              </w:rPr>
              <w:t xml:space="preserve">Contra-asset</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Contra-asset   ·   Asset   ·   Equity   ·   Transaction</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06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734050" cy="30632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statement of changes in equity   ·   balance sheet   ·   matching principle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1"/>
        <w:gridCol w:w="4609"/>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balance sheet</w:t>
            </w:r>
          </w:p>
        </w:tc>
        <w:tc>
          <w:tcPr>
            <w:tcW w:type="pct" w:w="2400"/>
            <w:tcMar>
              <w:top w:type="dxa" w:w="50"/>
              <w:left w:type="dxa" w:w="110"/>
              <w:bottom w:type="dxa" w:w="50"/>
              <w:right w:type="dxa" w:w="110"/>
            </w:tcMar>
          </w:tcPr>
          <w:p>
            <w:pPr>
              <w:spacing w:before="26" w:after="26"/>
            </w:pPr>
            <w:r>
              <w:rPr>
                <w:color w:val="232733"/>
                <w:sz w:val="16"/>
                <w:szCs w:val="16"/>
              </w:rPr>
              <w:t xml:space="preserve">الميزانية العمومية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statement of financial position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قائمة المركز المالي</w:t>
            </w:r>
          </w:p>
        </w:tc>
      </w:tr>
      <w:tr>
        <w:tc>
          <w:tcPr>
            <w:tcW w:type="pct" w:w="2600"/>
            <w:tcMar>
              <w:top w:type="dxa" w:w="50"/>
              <w:left w:type="dxa" w:w="110"/>
              <w:bottom w:type="dxa" w:w="50"/>
              <w:right w:type="dxa" w:w="110"/>
            </w:tcMar>
          </w:tcPr>
          <w:p>
            <w:pPr>
              <w:spacing w:before="26" w:after="26"/>
            </w:pPr>
            <w:r>
              <w:rPr>
                <w:color w:val="232733"/>
                <w:sz w:val="16"/>
                <w:szCs w:val="16"/>
              </w:rPr>
              <w:t xml:space="preserve">income statement</w:t>
            </w:r>
          </w:p>
        </w:tc>
        <w:tc>
          <w:tcPr>
            <w:tcW w:type="pct" w:w="2400"/>
            <w:tcMar>
              <w:top w:type="dxa" w:w="50"/>
              <w:left w:type="dxa" w:w="110"/>
              <w:bottom w:type="dxa" w:w="50"/>
              <w:right w:type="dxa" w:w="110"/>
            </w:tcMar>
          </w:tcPr>
          <w:p>
            <w:pPr>
              <w:spacing w:before="26" w:after="26"/>
            </w:pPr>
            <w:r>
              <w:rPr>
                <w:color w:val="232733"/>
                <w:sz w:val="16"/>
                <w:szCs w:val="16"/>
              </w:rPr>
              <w:t xml:space="preserve">قائمة الدخل</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statement of changes in equity</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قائمة التغيرات في حقوق الملكية</w:t>
            </w:r>
          </w:p>
        </w:tc>
      </w:tr>
      <w:tr>
        <w:tc>
          <w:tcPr>
            <w:tcW w:type="pct" w:w="2600"/>
            <w:tcMar>
              <w:top w:type="dxa" w:w="50"/>
              <w:left w:type="dxa" w:w="110"/>
              <w:bottom w:type="dxa" w:w="50"/>
              <w:right w:type="dxa" w:w="110"/>
            </w:tcMar>
          </w:tcPr>
          <w:p>
            <w:pPr>
              <w:spacing w:before="26" w:after="26"/>
            </w:pPr>
            <w:r>
              <w:rPr>
                <w:color w:val="232733"/>
                <w:sz w:val="16"/>
                <w:szCs w:val="16"/>
              </w:rPr>
              <w:t xml:space="preserve">statement of cash flows</w:t>
            </w:r>
          </w:p>
        </w:tc>
        <w:tc>
          <w:tcPr>
            <w:tcW w:type="pct" w:w="2400"/>
            <w:tcMar>
              <w:top w:type="dxa" w:w="50"/>
              <w:left w:type="dxa" w:w="110"/>
              <w:bottom w:type="dxa" w:w="50"/>
              <w:right w:type="dxa" w:w="110"/>
            </w:tcMar>
          </w:tcPr>
          <w:p>
            <w:pPr>
              <w:spacing w:before="26" w:after="26"/>
            </w:pPr>
            <w:r>
              <w:rPr>
                <w:color w:val="232733"/>
                <w:sz w:val="16"/>
                <w:szCs w:val="16"/>
              </w:rPr>
              <w:t xml:space="preserve">قائمة التدفقات النقدية</w:t>
            </w:r>
          </w:p>
        </w:tc>
      </w:tr>
    </w:tbl>
    <w:p/>
    <w:p>
      <w:pPr>
        <w:sectPr>
          <w:headerReference w:type="default" r:id="rIdHdr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1.6  A first look at the four statements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Income statement</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Accumulated depreciation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Statement of changes in equity</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Common stock</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statements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Additional paid-in capital</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explains</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Retained earnings, January 1</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transactions</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Depreciation expense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dividend</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revenue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operating</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describes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investing</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Choose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Notice</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4</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different</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dividend</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accrual</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6</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account</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Asset</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Cash</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Equity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Allowance for credit losses</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Contra-asset</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Inventory</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balance sheet</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Prepaid rent</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statement of changes in equity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Land</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four statements are linked. Net income flows into retained earnings, and the net change in cash explains the cash balance on the balance sheet. You can see both links in the January transactions of Orontes. The dividend declared was 50, so retained earnings rose by 30. Cash rose by 1,060: an operating outflow of 40, an investing outflow of 1,200 and a financing inflow of 2,300. Notice that net income and the change in cash are very different numbers. This is the accrual basis at work. A trial balance lists every account balance and checks that total debits equal total credits. You will use it in the section check below and in the practice set.</w:t>
      </w:r>
    </w:p>
    <w:p>
      <w:pPr>
        <w:spacing w:before="20" w:after="20"/>
        <w:ind w:left="240" w:hanging="240"/>
      </w:pPr>
      <w:r>
        <w:rPr>
          <w:b/>
          <w:bCs/>
          <w:color w:val="353A7C"/>
          <w:sz w:val="15"/>
          <w:szCs w:val="15"/>
        </w:rPr>
        <w:t xml:space="preserve">Summary 2   </w:t>
      </w:r>
      <w:r>
        <w:rPr>
          <w:color w:val="6B7280"/>
          <w:sz w:val="15"/>
          <w:szCs w:val="15"/>
        </w:rPr>
        <w:t xml:space="preserve">MOST likely or BEST describes: more than one option may be partly true. Choose the best one. NOT or EXCEPT: three options are true. Find the one that is false.</w:t>
      </w:r>
    </w:p>
    <w:p>
      <w:pPr>
        <w:sectPr>
          <w:headerReference w:type="default" r:id="rIdHdr12"/>
          <w:pgSz w:w="11906" w:h="16838" w:orient="portrait"/>
          <w:pgMar w:top="1180" w:right="1000" w:bottom="900" w:left="1000" w:header="708" w:footer="708" w:gutter="0"/>
          <w:docGrid w:linePitch="360"/>
          <w:pgNumType w:start="1"/>
        </w:sectPr>
      </w:pPr>
    </w:p>
    <w:sectPr>
      <w:headerReference w:type="default" r:id="rIdHdr12"/>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 · Who uses financial statements, and why?</w:t>
          </w:r>
        </w:p>
      </w:tc>
      <w:tc>
        <w:tcPr>
          <w:tcW w:type="pct" w:w="1400"/>
          <w:tcMar>
            <w:top w:type="dxa" w:w="-30"/>
            <w:left w:type="dxa" w:w="30"/>
            <w:bottom w:type="dxa" w:w="-30"/>
            <w:right w:type="dxa" w:w="30"/>
          </w:tcMar>
        </w:tcPr>
        <w:p>
          <w:pPr>
            <w:jc w:val="right"/>
          </w:pPr>
          <w:r>
            <w:rPr>
              <w:color w:val="6B7280"/>
              <w:sz w:val="16"/>
              <w:szCs w:val="16"/>
            </w:rPr>
            <w:t xml:space="preserve">Handout 1.1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1.2 · The building blocks: elements and the accounting equation</w:t>
          </w:r>
        </w:p>
      </w:tc>
      <w:tc>
        <w:tcPr>
          <w:tcW w:type="pct" w:w="1400"/>
          <w:tcMar>
            <w:top w:type="dxa" w:w="-30"/>
            <w:left w:type="dxa" w:w="30"/>
            <w:bottom w:type="dxa" w:w="-30"/>
            <w:right w:type="dxa" w:w="30"/>
          </w:tcMar>
        </w:tcPr>
        <w:p>
          <w:pPr>
            <w:jc w:val="right"/>
          </w:pPr>
          <w:r>
            <w:rPr>
              <w:color w:val="6B7280"/>
              <w:sz w:val="16"/>
              <w:szCs w:val="16"/>
            </w:rPr>
            <w:t xml:space="preserve">Handout 1.2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1.3 · Double entry: debits and credits</w:t>
          </w:r>
        </w:p>
      </w:tc>
      <w:tc>
        <w:tcPr>
          <w:tcW w:type="pct" w:w="1400"/>
          <w:tcMar>
            <w:top w:type="dxa" w:w="-30"/>
            <w:left w:type="dxa" w:w="30"/>
            <w:bottom w:type="dxa" w:w="-30"/>
            <w:right w:type="dxa" w:w="30"/>
          </w:tcMar>
        </w:tcPr>
        <w:p>
          <w:pPr>
            <w:jc w:val="right"/>
          </w:pPr>
          <w:r>
            <w:rPr>
              <w:color w:val="6B7280"/>
              <w:sz w:val="16"/>
              <w:szCs w:val="16"/>
            </w:rPr>
            <w:t xml:space="preserve">Handout 1.3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1.4 · The accrual basis and the matching principle</w:t>
          </w:r>
        </w:p>
      </w:tc>
      <w:tc>
        <w:tcPr>
          <w:tcW w:type="pct" w:w="1400"/>
          <w:tcMar>
            <w:top w:type="dxa" w:w="-30"/>
            <w:left w:type="dxa" w:w="30"/>
            <w:bottom w:type="dxa" w:w="-30"/>
            <w:right w:type="dxa" w:w="30"/>
          </w:tcMar>
        </w:tcPr>
        <w:p>
          <w:pPr>
            <w:jc w:val="right"/>
          </w:pPr>
          <w:r>
            <w:rPr>
              <w:color w:val="6B7280"/>
              <w:sz w:val="16"/>
              <w:szCs w:val="16"/>
            </w:rPr>
            <w:t xml:space="preserve">Handout 1.4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1.5 · Who writes the rules? U.S. GAAP and IFRS</w:t>
          </w:r>
        </w:p>
      </w:tc>
      <w:tc>
        <w:tcPr>
          <w:tcW w:type="pct" w:w="1400"/>
          <w:tcMar>
            <w:top w:type="dxa" w:w="-30"/>
            <w:left w:type="dxa" w:w="30"/>
            <w:bottom w:type="dxa" w:w="-30"/>
            <w:right w:type="dxa" w:w="30"/>
          </w:tcMar>
        </w:tcPr>
        <w:p>
          <w:pPr>
            <w:jc w:val="right"/>
          </w:pPr>
          <w:r>
            <w:rPr>
              <w:color w:val="6B7280"/>
              <w:sz w:val="16"/>
              <w:szCs w:val="16"/>
            </w:rPr>
            <w:t xml:space="preserve">Handout 1.5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1.6 · A first look at the four statements</w:t>
          </w:r>
        </w:p>
      </w:tc>
      <w:tc>
        <w:tcPr>
          <w:tcW w:type="pct" w:w="1400"/>
          <w:tcMar>
            <w:top w:type="dxa" w:w="-30"/>
            <w:left w:type="dxa" w:w="30"/>
            <w:bottom w:type="dxa" w:w="-30"/>
            <w:right w:type="dxa" w:w="30"/>
          </w:tcMar>
        </w:tcPr>
        <w:p>
          <w:pPr>
            <w:jc w:val="right"/>
          </w:pPr>
          <w:r>
            <w:rPr>
              <w:color w:val="6B7280"/>
              <w:sz w:val="16"/>
              <w:szCs w:val="16"/>
            </w:rPr>
            <w:t xml:space="preserve">Handout 1.6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bfb3409c59d5ba967155659445d60da5da01136b.png" Type="http://schemas.openxmlformats.org/officeDocument/2006/relationships/image"/><Relationship Id="rId102" Target="media/e6cd6c3f15face523ac58431cbe41acddf35ae08.png" Type="http://schemas.openxmlformats.org/officeDocument/2006/relationships/image"/><Relationship Id="rId103" Target="media/21f6a451e2701825b997f01d8e7ac7d40d3a3ac5.png" Type="http://schemas.openxmlformats.org/officeDocument/2006/relationships/image"/><Relationship Id="rId104" Target="media/e394543c29ca0c7e7e02f4ee2e2ffca62c555660.png" Type="http://schemas.openxmlformats.org/officeDocument/2006/relationships/image"/><Relationship Id="rId105" Target="media/a5ba304055d8dc8bf74baa59f834ffa0d8b6b2b1.png" Type="http://schemas.openxmlformats.org/officeDocument/2006/relationships/image"/><Relationship Id="rId106" Target="media/9274e320d00cc1f15fc5d976bc9a92aad3a8d9a9.png" Type="http://schemas.openxmlformats.org/officeDocument/2006/relationships/image"/><Relationship Id="rId107" Target="media/a21839203d8366da0bdb003e8f133c171c18bfcf.png" Type="http://schemas.openxmlformats.org/officeDocument/2006/relationships/image"/><Relationship Id="rId108" Target="media/606b29f8e606b81a649bb3ab3cb2a9fdad59a237.png" Type="http://schemas.openxmlformats.org/officeDocument/2006/relationships/image"/><Relationship Id="rId109" Target="media/efef428e16f6bcd528bc2d7543a0c9f34eefe1aa.png" Type="http://schemas.openxmlformats.org/officeDocument/2006/relationships/image"/><Relationship Id="rId110" Target="media/c8f9bc9301c519fa51cdcd7d57e36a7dc172e6d2.png" Type="http://schemas.openxmlformats.org/officeDocument/2006/relationships/image"/><Relationship Id="rId111" Target="media/2d433156bdc1333ff5fc44a2d81a87bd0a3d3e8f.png" Type="http://schemas.openxmlformats.org/officeDocument/2006/relationships/image"/><Relationship Id="rId112" Target="media/0dece7206b1150af26055271d0da2e81b778f13e.png" Type="http://schemas.openxmlformats.org/officeDocument/2006/relationships/image"/><Relationship Id="rId113" Target="media/bc498578c61b76cbb87adfe3bbe9e1d2d1297a70.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1 · Chapter 1</dc:title>
  <dc:subject>Summary handouts</dc:subject>
  <cp:category>Student Book</cp:category>
</cp:coreProperties>
</file>