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right of setoff   ·   Other presentation matters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one point in time. </w:t>
      </w:r>
      <w:r>
        <w:rPr>
          <w:sz w:val="19"/>
          <w:szCs w:val="19"/>
        </w:rPr>
        <w:t xml:space="preserve">It answers 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current from noncurrent assets and current from noncurrent liabilities, so users can see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All the amounts come from the same records as the earlier chapters on receivables, inventory, investments and long-lived assets. </w:t>
      </w:r>
      <w:r>
        <w:rPr>
          <w:sz w:val="19"/>
          <w:szCs w:val="19"/>
        </w:rPr>
        <w:t xml:space="preserve">For example, the equity-method investments include Jordan Glass Co. from, and goodwill fell after the impairments.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unexpected   ·   questions   ·   company's   ·   solvency   ·   lenders   ·   equity   ·   current   ·   classified   ·   subtotal   ·   separates   ·   coming   ·   flexibility   ·   short-term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00"/>
            <w:tcMar>
              <w:top w:type="dxa" w:w="50"/>
              <w:left w:type="dxa" w:w="110"/>
              <w:bottom w:type="dxa" w:w="50"/>
              <w:right w:type="dxa" w:w="110"/>
            </w:tcMar>
          </w:tcPr>
          <w:p>
            <w:pPr>
              <w:spacing w:before="28" w:after="28"/>
            </w:pPr>
            <w:r>
              <w:rPr>
                <w:sz w:val="15"/>
                <w:szCs w:val="15"/>
              </w:rPr>
              <w:t xml:space="preserve">ASSETS</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w:t>
            </w:r>
          </w:p>
        </w:tc>
        <w:tc>
          <w:tcPr>
            <w:tcW w:type="pct" w:w="1400"/>
            <w:tcMar>
              <w:top w:type="dxa" w:w="50"/>
              <w:left w:type="dxa" w:w="110"/>
              <w:bottom w:type="dxa" w:w="50"/>
              <w:right w:type="dxa" w:w="110"/>
            </w:tcMar>
          </w:tcPr>
          <w:p>
            <w:pPr>
              <w:spacing w:before="28" w:after="28"/>
            </w:pPr>
            <w:r>
              <w:rPr>
                <w:sz w:val="15"/>
                <w:szCs w:val="15"/>
              </w:rPr>
              <w:t xml:space="preserve">7,302,100</w:t>
            </w:r>
          </w:p>
        </w:tc>
        <w:tc>
          <w:tcPr>
            <w:tcW w:type="pct" w:w="1400"/>
            <w:tcMar>
              <w:top w:type="dxa" w:w="50"/>
              <w:left w:type="dxa" w:w="110"/>
              <w:bottom w:type="dxa" w:w="50"/>
              <w:right w:type="dxa" w:w="110"/>
            </w:tcMar>
          </w:tcPr>
          <w:p>
            <w:pPr>
              <w:spacing w:before="28" w:after="28"/>
            </w:pPr>
            <w:r>
              <w:rPr>
                <w:sz w:val="15"/>
                <w:szCs w:val="15"/>
              </w:rPr>
              <w:t xml:space="preserve">2,100,000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42,000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00"/>
            <w:tcMar>
              <w:top w:type="dxa" w:w="50"/>
              <w:left w:type="dxa" w:w="110"/>
              <w:bottom w:type="dxa" w:w="50"/>
              <w:right w:type="dxa" w:w="110"/>
            </w:tcMar>
          </w:tcPr>
          <w:p>
            <w:pPr>
              <w:spacing w:before="28" w:after="28"/>
            </w:pPr>
            <w:r>
              <w:rPr>
                <w:sz w:val="15"/>
                <w:szCs w:val="15"/>
              </w:rPr>
              <w:t xml:space="preserve">Accounts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net of allowance (2025: 156,000; 2024: 140,000)</w:t>
            </w:r>
          </w:p>
        </w:tc>
        <w:tc>
          <w:tcPr>
            <w:tcW w:type="pct" w:w="1400"/>
            <w:tcMar>
              <w:top w:type="dxa" w:w="50"/>
              <w:left w:type="dxa" w:w="110"/>
              <w:bottom w:type="dxa" w:w="50"/>
              <w:right w:type="dxa" w:w="110"/>
            </w:tcMar>
          </w:tcPr>
          <w:p>
            <w:pPr>
              <w:spacing w:before="28" w:after="28"/>
            </w:pPr>
            <w:r>
              <w:rPr>
                <w:sz w:val="15"/>
                <w:szCs w:val="15"/>
              </w:rPr>
              <w:t xml:space="preserve">4,144,000</w:t>
            </w:r>
          </w:p>
        </w:tc>
        <w:tc>
          <w:tcPr>
            <w:tcW w:type="pct" w:w="1400"/>
            <w:tcMar>
              <w:top w:type="dxa" w:w="50"/>
              <w:left w:type="dxa" w:w="110"/>
              <w:bottom w:type="dxa" w:w="50"/>
              <w:right w:type="dxa" w:w="110"/>
            </w:tcMar>
          </w:tcPr>
          <w:p>
            <w:pPr>
              <w:spacing w:before="28" w:after="28"/>
            </w:pPr>
            <w:r>
              <w:rPr>
                <w:sz w:val="15"/>
                <w:szCs w:val="15"/>
              </w:rPr>
              <w:t xml:space="preserve">3,760,000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1400"/>
            <w:shd w:fill="FBFAF6" w:val="clear"/>
            <w:tcMar>
              <w:top w:type="dxa" w:w="50"/>
              <w:left w:type="dxa" w:w="110"/>
              <w:bottom w:type="dxa" w:w="50"/>
              <w:right w:type="dxa" w:w="110"/>
            </w:tcMar>
          </w:tcPr>
          <w:p>
            <w:pPr>
              <w:spacing w:before="28" w:after="28"/>
            </w:pPr>
            <w:r>
              <w:rPr>
                <w:sz w:val="15"/>
                <w:szCs w:val="15"/>
              </w:rPr>
              <w:t xml:space="preserve">2,450,000</w:t>
            </w:r>
          </w:p>
        </w:tc>
        <w:tc>
          <w:tcPr>
            <w:tcW w:type="pct" w:w="1400"/>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204,000</w:t>
            </w:r>
          </w:p>
        </w:tc>
        <w:tc>
          <w:tcPr>
            <w:tcW w:type="pct" w:w="1400"/>
            <w:tcMar>
              <w:top w:type="dxa" w:w="50"/>
              <w:left w:type="dxa" w:w="110"/>
              <w:bottom w:type="dxa" w:w="50"/>
              <w:right w:type="dxa" w:w="110"/>
            </w:tcMar>
          </w:tcPr>
          <w:p>
            <w:pPr>
              <w:spacing w:before="28" w:after="28"/>
            </w:pPr>
            <w:r>
              <w:rPr>
                <w:sz w:val="15"/>
                <w:szCs w:val="15"/>
              </w:rPr>
              <w:t xml:space="preserve">180,000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Assets held for sale</w:t>
            </w:r>
          </w:p>
        </w:tc>
        <w:tc>
          <w:tcPr>
            <w:tcW w:type="pct" w:w="1400"/>
            <w:shd w:fill="FBFAF6" w:val="clear"/>
            <w:tcMar>
              <w:top w:type="dxa" w:w="50"/>
              <w:left w:type="dxa" w:w="110"/>
              <w:bottom w:type="dxa" w:w="50"/>
              <w:right w:type="dxa" w:w="110"/>
            </w:tcMar>
          </w:tcPr>
          <w:p>
            <w:pPr>
              <w:spacing w:before="28" w:after="28"/>
            </w:pPr>
            <w:r>
              <w:rPr>
                <w:sz w:val="15"/>
                <w:szCs w:val="15"/>
              </w:rPr>
              <w:t xml:space="preserve">46,000</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current assets</w:t>
            </w:r>
          </w:p>
        </w:tc>
        <w:tc>
          <w:tcPr>
            <w:tcW w:type="pct" w:w="1400"/>
            <w:tcMar>
              <w:top w:type="dxa" w:w="50"/>
              <w:left w:type="dxa" w:w="110"/>
              <w:bottom w:type="dxa" w:w="50"/>
              <w:right w:type="dxa" w:w="110"/>
            </w:tcMar>
          </w:tcPr>
          <w:p>
            <w:pPr>
              <w:spacing w:before="28" w:after="28"/>
            </w:pPr>
            <w:r>
              <w:rPr>
                <w:sz w:val="15"/>
                <w:szCs w:val="15"/>
              </w:rPr>
              <w:t xml:space="preserve">14,188,100</w:t>
            </w:r>
          </w:p>
        </w:tc>
        <w:tc>
          <w:tcPr>
            <w:tcW w:type="pct" w:w="1400"/>
            <w:tcMar>
              <w:top w:type="dxa" w:w="50"/>
              <w:left w:type="dxa" w:w="110"/>
              <w:bottom w:type="dxa" w:w="50"/>
              <w:right w:type="dxa" w:w="110"/>
            </w:tcMar>
          </w:tcPr>
          <w:p>
            <w:pPr>
              <w:spacing w:before="28" w:after="28"/>
            </w:pPr>
            <w:r>
              <w:rPr>
                <w:sz w:val="15"/>
                <w:szCs w:val="15"/>
              </w:rPr>
              <w:t xml:space="preserve">8,380,000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400"/>
            <w:tcMar>
              <w:top w:type="dxa" w:w="50"/>
              <w:left w:type="dxa" w:w="110"/>
              <w:bottom w:type="dxa" w:w="50"/>
              <w:right w:type="dxa" w:w="110"/>
            </w:tcMar>
          </w:tcPr>
          <w:p>
            <w:pPr>
              <w:spacing w:before="28" w:after="28"/>
            </w:pPr>
            <w:r>
              <w:rPr>
                <w:sz w:val="15"/>
                <w:szCs w:val="15"/>
              </w:rPr>
              <w:t xml:space="preserve">88,500</w:t>
            </w:r>
          </w:p>
        </w:tc>
        <w:tc>
          <w:tcPr>
            <w:tcW w:type="pct" w:w="1400"/>
            <w:tcMar>
              <w:top w:type="dxa" w:w="50"/>
              <w:left w:type="dxa" w:w="110"/>
              <w:bottom w:type="dxa" w:w="50"/>
              <w:right w:type="dxa" w:w="110"/>
            </w:tcMar>
          </w:tcPr>
          <w:p>
            <w:pPr>
              <w:spacing w:before="28" w:after="28"/>
            </w:pPr>
            <w:r>
              <w:rPr>
                <w:sz w:val="15"/>
                <w:szCs w:val="15"/>
              </w:rPr>
              <w:t xml:space="preserve">90,000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27,000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00"/>
            <w:tcMar>
              <w:top w:type="dxa" w:w="50"/>
              <w:left w:type="dxa" w:w="110"/>
              <w:bottom w:type="dxa" w:w="50"/>
              <w:right w:type="dxa" w:w="110"/>
            </w:tcMar>
          </w:tcPr>
          <w:p>
            <w:pPr>
              <w:spacing w:before="28" w:after="28"/>
            </w:pPr>
            <w:r>
              <w:rPr>
                <w:sz w:val="15"/>
                <w:szCs w:val="15"/>
              </w:rPr>
              <w:t xml:space="preserve">Equity-method investments</w:t>
            </w:r>
          </w:p>
        </w:tc>
        <w:tc>
          <w:tcPr>
            <w:tcW w:type="pct" w:w="1400"/>
            <w:tcMar>
              <w:top w:type="dxa" w:w="50"/>
              <w:left w:type="dxa" w:w="110"/>
              <w:bottom w:type="dxa" w:w="50"/>
              <w:right w:type="dxa" w:w="110"/>
            </w:tcMar>
          </w:tcPr>
          <w:p>
            <w:pPr>
              <w:spacing w:before="28" w:after="28"/>
            </w:pPr>
            <w:r>
              <w:rPr>
                <w:sz w:val="15"/>
                <w:szCs w:val="15"/>
              </w:rPr>
              <w:t xml:space="preserve">1,807,000</w:t>
            </w:r>
          </w:p>
        </w:tc>
        <w:tc>
          <w:tcPr>
            <w:tcW w:type="pct" w:w="1400"/>
            <w:tcMar>
              <w:top w:type="dxa" w:w="50"/>
              <w:left w:type="dxa" w:w="110"/>
              <w:bottom w:type="dxa" w:w="50"/>
              <w:right w:type="dxa" w:w="110"/>
            </w:tcMar>
          </w:tcPr>
          <w:p>
            <w:pPr>
              <w:spacing w:before="28" w:after="28"/>
            </w:pPr>
            <w:r>
              <w:rPr>
                <w:sz w:val="15"/>
                <w:szCs w:val="15"/>
              </w:rPr>
              <w:t xml:space="preserve">500,000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Property, plant and equipment, net of accumulated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(2025: 11,988,000; 2024: 8,000,000)</w:t>
            </w:r>
          </w:p>
        </w:tc>
        <w:tc>
          <w:tcPr>
            <w:tcW w:type="pct" w:w="1400"/>
            <w:shd w:fill="FBFAF6" w:val="clear"/>
            <w:tcMar>
              <w:top w:type="dxa" w:w="50"/>
              <w:left w:type="dxa" w:w="110"/>
              <w:bottom w:type="dxa" w:w="50"/>
              <w:right w:type="dxa" w:w="110"/>
            </w:tcMar>
          </w:tcPr>
          <w:p>
            <w:pPr>
              <w:spacing w:before="28" w:after="28"/>
            </w:pPr>
            <w:r>
              <w:rPr>
                <w:sz w:val="15"/>
                <w:szCs w:val="15"/>
              </w:rPr>
              <w:t xml:space="preserve">14,802,000</w:t>
            </w:r>
          </w:p>
        </w:tc>
        <w:tc>
          <w:tcPr>
            <w:tcW w:type="pct" w:w="1400"/>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tcMar>
              <w:top w:type="dxa" w:w="50"/>
              <w:left w:type="dxa" w:w="110"/>
              <w:bottom w:type="dxa" w:w="50"/>
              <w:right w:type="dxa" w:w="110"/>
            </w:tcMar>
          </w:tcPr>
          <w:p>
            <w:pPr>
              <w:spacing w:before="28" w:after="28"/>
            </w:pPr>
            <w:r>
              <w:rPr>
                <w:sz w:val="15"/>
                <w:szCs w:val="15"/>
              </w:rPr>
              <w:t xml:space="preserve">260,000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Goodwill</w:t>
            </w:r>
          </w:p>
        </w:tc>
        <w:tc>
          <w:tcPr>
            <w:tcW w:type="pct" w:w="1400"/>
            <w:shd w:fill="FBFAF6" w:val="clear"/>
            <w:tcMar>
              <w:top w:type="dxa" w:w="50"/>
              <w:left w:type="dxa" w:w="110"/>
              <w:bottom w:type="dxa" w:w="50"/>
              <w:right w:type="dxa" w:w="110"/>
            </w:tcMar>
          </w:tcPr>
          <w:p>
            <w:pPr>
              <w:spacing w:before="28" w:after="28"/>
            </w:pPr>
            <w:r>
              <w:rPr>
                <w:sz w:val="15"/>
                <w:szCs w:val="15"/>
              </w:rPr>
              <w:t xml:space="preserve">300,000</w:t>
            </w:r>
          </w:p>
        </w:tc>
        <w:tc>
          <w:tcPr>
            <w:tcW w:type="pct" w:w="1400"/>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00"/>
            <w:tcMar>
              <w:top w:type="dxa" w:w="50"/>
              <w:left w:type="dxa" w:w="110"/>
              <w:bottom w:type="dxa" w:w="50"/>
              <w:right w:type="dxa" w:w="110"/>
            </w:tcMar>
          </w:tcPr>
          <w:p>
            <w:pPr>
              <w:spacing w:before="28" w:after="28"/>
            </w:pPr>
            <w:r>
              <w:rPr>
                <w:sz w:val="15"/>
                <w:szCs w:val="15"/>
              </w:rPr>
              <w:t xml:space="preserve">Other noncurrent assets</w:t>
            </w:r>
          </w:p>
        </w:tc>
        <w:tc>
          <w:tcPr>
            <w:tcW w:type="pct" w:w="1400"/>
            <w:tcMar>
              <w:top w:type="dxa" w:w="50"/>
              <w:left w:type="dxa" w:w="110"/>
              <w:bottom w:type="dxa" w:w="50"/>
              <w:right w:type="dxa" w:w="110"/>
            </w:tcMar>
          </w:tcPr>
          <w:p>
            <w:pPr>
              <w:spacing w:before="28" w:after="28"/>
            </w:pPr>
            <w:r>
              <w:rPr>
                <w:sz w:val="15"/>
                <w:szCs w:val="15"/>
              </w:rPr>
              <w:t xml:space="preserve">200,000</w:t>
            </w:r>
          </w:p>
        </w:tc>
        <w:tc>
          <w:tcPr>
            <w:tcW w:type="pct" w:w="1400"/>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00"/>
            <w:tcMar>
              <w:top w:type="dxa" w:w="50"/>
              <w:left w:type="dxa" w:w="110"/>
              <w:bottom w:type="dxa" w:w="50"/>
              <w:right w:type="dxa" w:w="110"/>
            </w:tcMar>
          </w:tcPr>
          <w:p>
            <w:pPr>
              <w:spacing w:before="28" w:after="28"/>
            </w:pPr>
            <w:r>
              <w:rPr>
                <w:sz w:val="15"/>
                <w:szCs w:val="15"/>
              </w:rPr>
              <w:t xml:space="preserve">LIABILITIES AND STOCKHOLDERS' EQUITY</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0"/>
            <w:tcMar>
              <w:top w:type="dxa" w:w="50"/>
              <w:left w:type="dxa" w:w="110"/>
              <w:bottom w:type="dxa" w:w="50"/>
              <w:right w:type="dxa" w:w="110"/>
            </w:tcMar>
          </w:tcPr>
          <w:p>
            <w:pPr>
              <w:spacing w:before="28" w:after="28"/>
            </w:pPr>
            <w:r>
              <w:rPr>
                <w:sz w:val="15"/>
                <w:szCs w:val="15"/>
              </w:rPr>
              <w:t xml:space="preserve">2,050,000</w:t>
            </w:r>
          </w:p>
        </w:tc>
        <w:tc>
          <w:tcPr>
            <w:tcW w:type="pct" w:w="1400"/>
            <w:tcMar>
              <w:top w:type="dxa" w:w="50"/>
              <w:left w:type="dxa" w:w="110"/>
              <w:bottom w:type="dxa" w:w="50"/>
              <w:right w:type="dxa" w:w="110"/>
            </w:tcMar>
          </w:tcPr>
          <w:p>
            <w:pPr>
              <w:spacing w:before="28" w:after="28"/>
            </w:pPr>
            <w:r>
              <w:rPr>
                <w:sz w:val="15"/>
                <w:szCs w:val="15"/>
              </w:rPr>
              <w:t xml:space="preserve">1,900,000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900,000</w:t>
            </w:r>
          </w:p>
        </w:tc>
        <w:tc>
          <w:tcPr>
            <w:tcW w:type="pct" w:w="1400"/>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00"/>
            <w:tcMar>
              <w:top w:type="dxa" w:w="50"/>
              <w:left w:type="dxa" w:w="110"/>
              <w:bottom w:type="dxa" w:w="50"/>
              <w:right w:type="dxa" w:w="110"/>
            </w:tcMar>
          </w:tcPr>
          <w:p>
            <w:pPr>
              <w:spacing w:before="28" w:after="28"/>
            </w:pPr>
            <w:r>
              <w:rPr>
                <w:sz w:val="15"/>
                <w:szCs w:val="15"/>
              </w:rPr>
              <w:t xml:space="preserve">Income taxes payable</w:t>
            </w:r>
          </w:p>
        </w:tc>
        <w:tc>
          <w:tcPr>
            <w:tcW w:type="pct" w:w="1400"/>
            <w:tcMar>
              <w:top w:type="dxa" w:w="50"/>
              <w:left w:type="dxa" w:w="110"/>
              <w:bottom w:type="dxa" w:w="50"/>
              <w:right w:type="dxa" w:w="110"/>
            </w:tcMar>
          </w:tcPr>
          <w:p>
            <w:pPr>
              <w:spacing w:before="28" w:after="28"/>
            </w:pPr>
            <w:r>
              <w:rPr>
                <w:sz w:val="15"/>
                <w:szCs w:val="15"/>
              </w:rPr>
              <w:t xml:space="preserve">350,000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Contract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180,000</w:t>
            </w:r>
          </w:p>
        </w:tc>
        <w:tc>
          <w:tcPr>
            <w:tcW w:type="pct" w:w="1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00"/>
            <w:tcMar>
              <w:top w:type="dxa" w:w="50"/>
              <w:left w:type="dxa" w:w="110"/>
              <w:bottom w:type="dxa" w:w="50"/>
              <w:right w:type="dxa" w:w="110"/>
            </w:tcMar>
          </w:tcPr>
          <w:p>
            <w:pPr>
              <w:spacing w:before="28" w:after="28"/>
            </w:pPr>
            <w:r>
              <w:rPr>
                <w:sz w:val="15"/>
                <w:szCs w:val="15"/>
              </w:rPr>
              <w:t xml:space="preserve">Dividends payable</w:t>
            </w:r>
          </w:p>
        </w:tc>
        <w:tc>
          <w:tcPr>
            <w:tcW w:type="pct" w:w="1400"/>
            <w:tcMar>
              <w:top w:type="dxa" w:w="50"/>
              <w:left w:type="dxa" w:w="110"/>
              <w:bottom w:type="dxa" w:w="50"/>
              <w:right w:type="dxa" w:w="110"/>
            </w:tcMar>
          </w:tcPr>
          <w:p>
            <w:pPr>
              <w:spacing w:before="28" w:after="28"/>
            </w:pPr>
            <w:r>
              <w:rPr>
                <w:sz w:val="15"/>
                <w:szCs w:val="15"/>
              </w:rPr>
              <w:t xml:space="preserve">400,000</w:t>
            </w:r>
          </w:p>
        </w:tc>
        <w:tc>
          <w:tcPr>
            <w:tcW w:type="pct" w:w="1400"/>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00"/>
            <w:tcMar>
              <w:top w:type="dxa" w:w="50"/>
              <w:left w:type="dxa" w:w="110"/>
              <w:bottom w:type="dxa" w:w="50"/>
              <w:right w:type="dxa" w:w="110"/>
            </w:tcMar>
          </w:tcPr>
          <w:p>
            <w:pPr>
              <w:spacing w:before="28" w:after="28"/>
            </w:pPr>
            <w:r>
              <w:rPr>
                <w:sz w:val="15"/>
                <w:szCs w:val="15"/>
              </w:rPr>
              <w:t xml:space="preserve">Total current liabilities</w:t>
            </w:r>
          </w:p>
        </w:tc>
        <w:tc>
          <w:tcPr>
            <w:tcW w:type="pct" w:w="1400"/>
            <w:tcMar>
              <w:top w:type="dxa" w:w="50"/>
              <w:left w:type="dxa" w:w="110"/>
              <w:bottom w:type="dxa" w:w="50"/>
              <w:right w:type="dxa" w:w="110"/>
            </w:tcMar>
          </w:tcPr>
          <w:p>
            <w:pPr>
              <w:spacing w:before="28" w:after="28"/>
            </w:pPr>
            <w:r>
              <w:rPr>
                <w:sz w:val="15"/>
                <w:szCs w:val="15"/>
              </w:rPr>
              <w:t xml:space="preserve">4,280,000</w:t>
            </w:r>
          </w:p>
        </w:tc>
        <w:tc>
          <w:tcPr>
            <w:tcW w:type="pct" w:w="1400"/>
            <w:tcMar>
              <w:top w:type="dxa" w:w="50"/>
              <w:left w:type="dxa" w:w="110"/>
              <w:bottom w:type="dxa" w:w="50"/>
              <w:right w:type="dxa" w:w="110"/>
            </w:tcMar>
          </w:tcPr>
          <w:p>
            <w:pPr>
              <w:spacing w:before="28" w:after="28"/>
            </w:pPr>
            <w:r>
              <w:rPr>
                <w:sz w:val="15"/>
                <w:szCs w:val="15"/>
              </w:rPr>
              <w:t xml:space="preserve">3,570,000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0"/>
            <w:shd w:fill="FBFAF6" w:val="clear"/>
            <w:tcMar>
              <w:top w:type="dxa" w:w="50"/>
              <w:left w:type="dxa" w:w="110"/>
              <w:bottom w:type="dxa" w:w="50"/>
              <w:right w:type="dxa" w:w="110"/>
            </w:tcMar>
          </w:tcPr>
          <w:p>
            <w:pPr>
              <w:spacing w:before="28" w:after="28"/>
            </w:pPr>
            <w:r>
              <w:rPr>
                <w:sz w:val="15"/>
                <w:szCs w:val="15"/>
              </w:rPr>
              <w:t xml:space="preserve">6,000,000</w:t>
            </w:r>
          </w:p>
        </w:tc>
        <w:tc>
          <w:tcPr>
            <w:tcW w:type="pct" w:w="1400"/>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00"/>
            <w:tcMar>
              <w:top w:type="dxa" w:w="50"/>
              <w:left w:type="dxa" w:w="110"/>
              <w:bottom w:type="dxa" w:w="50"/>
              <w:right w:type="dxa" w:w="110"/>
            </w:tcMar>
          </w:tcPr>
          <w:p>
            <w:pPr>
              <w:spacing w:before="28" w:after="28"/>
            </w:pPr>
            <w:r>
              <w:rPr>
                <w:sz w:val="15"/>
                <w:szCs w:val="15"/>
              </w:rPr>
              <w:t xml:space="preserve">Deferred tax liability</w:t>
            </w:r>
          </w:p>
        </w:tc>
        <w:tc>
          <w:tcPr>
            <w:tcW w:type="pct" w:w="1400"/>
            <w:tcMar>
              <w:top w:type="dxa" w:w="50"/>
              <w:left w:type="dxa" w:w="110"/>
              <w:bottom w:type="dxa" w:w="50"/>
              <w:right w:type="dxa" w:w="110"/>
            </w:tcMar>
          </w:tcPr>
          <w:p>
            <w:pPr>
              <w:spacing w:before="28" w:after="28"/>
            </w:pPr>
            <w:r>
              <w:rPr>
                <w:sz w:val="15"/>
                <w:szCs w:val="15"/>
              </w:rPr>
              <w:t xml:space="preserve">999,625</w:t>
            </w:r>
          </w:p>
        </w:tc>
        <w:tc>
          <w:tcPr>
            <w:tcW w:type="pct" w:w="1400"/>
            <w:tcMar>
              <w:top w:type="dxa" w:w="50"/>
              <w:left w:type="dxa" w:w="110"/>
              <w:bottom w:type="dxa" w:w="50"/>
              <w:right w:type="dxa" w:w="110"/>
            </w:tcMar>
          </w:tcPr>
          <w:p>
            <w:pPr>
              <w:spacing w:before="28" w:after="28"/>
            </w:pPr>
            <w:r>
              <w:rPr>
                <w:sz w:val="15"/>
                <w:szCs w:val="15"/>
              </w:rPr>
              <w:t xml:space="preserve">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11,279,625</w:t>
            </w:r>
          </w:p>
        </w:tc>
        <w:tc>
          <w:tcPr>
            <w:tcW w:type="pct" w:w="1400"/>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Common stock, $1 par; shares issued and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2025 8,100,000, 2024 8,000,000</w:t>
            </w:r>
          </w:p>
        </w:tc>
        <w:tc>
          <w:tcPr>
            <w:tcW w:type="pct" w:w="1400"/>
            <w:tcMar>
              <w:top w:type="dxa" w:w="50"/>
              <w:left w:type="dxa" w:w="110"/>
              <w:bottom w:type="dxa" w:w="50"/>
              <w:right w:type="dxa" w:w="110"/>
            </w:tcMar>
          </w:tcPr>
          <w:p>
            <w:pPr>
              <w:spacing w:before="28" w:after="28"/>
            </w:pPr>
            <w:r>
              <w:rPr>
                <w:sz w:val="15"/>
                <w:szCs w:val="15"/>
              </w:rPr>
              <w:t xml:space="preserve">8,100,000</w:t>
            </w:r>
          </w:p>
        </w:tc>
        <w:tc>
          <w:tcPr>
            <w:tcW w:type="pct" w:w="1400"/>
            <w:tcMar>
              <w:top w:type="dxa" w:w="50"/>
              <w:left w:type="dxa" w:w="110"/>
              <w:bottom w:type="dxa" w:w="50"/>
              <w:right w:type="dxa" w:w="110"/>
            </w:tcMar>
          </w:tcPr>
          <w:p>
            <w:pPr>
              <w:spacing w:before="28" w:after="28"/>
            </w:pPr>
            <w:r>
              <w:rPr>
                <w:sz w:val="15"/>
                <w:szCs w:val="15"/>
              </w:rPr>
              <w:t xml:space="preserve">8,000,000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400"/>
            <w:shd w:fill="FBFAF6" w:val="clear"/>
            <w:tcMar>
              <w:top w:type="dxa" w:w="50"/>
              <w:left w:type="dxa" w:w="110"/>
              <w:bottom w:type="dxa" w:w="50"/>
              <w:right w:type="dxa" w:w="110"/>
            </w:tcMar>
          </w:tcPr>
          <w:p>
            <w:pPr>
              <w:spacing w:before="28" w:after="28"/>
            </w:pPr>
            <w:r>
              <w:rPr>
                <w:sz w:val="15"/>
                <w:szCs w:val="15"/>
              </w:rPr>
              <w:t xml:space="preserve">5,400,000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00"/>
            <w:tcMar>
              <w:top w:type="dxa" w:w="50"/>
              <w:left w:type="dxa" w:w="110"/>
              <w:bottom w:type="dxa" w:w="50"/>
              <w:right w:type="dxa" w:w="110"/>
            </w:tcMar>
          </w:tcPr>
          <w:p>
            <w:pPr>
              <w:spacing w:before="28" w:after="28"/>
            </w:pPr>
            <w:r>
              <w:rPr>
                <w:sz w:val="15"/>
                <w:szCs w:val="15"/>
              </w:rPr>
              <w:t xml:space="preserve">Retained earnings</w:t>
            </w:r>
          </w:p>
        </w:tc>
        <w:tc>
          <w:tcPr>
            <w:tcW w:type="pct" w:w="1400"/>
            <w:tcMar>
              <w:top w:type="dxa" w:w="50"/>
              <w:left w:type="dxa" w:w="110"/>
              <w:bottom w:type="dxa" w:w="50"/>
              <w:right w:type="dxa" w:w="110"/>
            </w:tcMar>
          </w:tcPr>
          <w:p>
            <w:pPr>
              <w:spacing w:before="28" w:after="28"/>
            </w:pPr>
            <w:r>
              <w:rPr>
                <w:sz w:val="15"/>
                <w:szCs w:val="15"/>
              </w:rPr>
              <w:t xml:space="preserve">6,894,100</w:t>
            </w:r>
          </w:p>
        </w:tc>
        <w:tc>
          <w:tcPr>
            <w:tcW w:type="pct" w:w="1400"/>
            <w:tcMar>
              <w:top w:type="dxa" w:w="50"/>
              <w:left w:type="dxa" w:w="110"/>
              <w:bottom w:type="dxa" w:w="50"/>
              <w:right w:type="dxa" w:w="110"/>
            </w:tcMar>
          </w:tcPr>
          <w:p>
            <w:pPr>
              <w:spacing w:before="28" w:after="28"/>
            </w:pPr>
            <w:r>
              <w:rPr>
                <w:sz w:val="15"/>
                <w:szCs w:val="15"/>
              </w:rPr>
              <w:t xml:space="preserve">4,375,000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Accumulated other comprehensive income (loss)</w:t>
            </w:r>
          </w:p>
        </w:tc>
        <w:tc>
          <w:tcPr>
            <w:tcW w:type="pct" w:w="1400"/>
            <w:shd w:fill="FBFAF6" w:val="clear"/>
            <w:tcMar>
              <w:top w:type="dxa" w:w="50"/>
              <w:left w:type="dxa" w:w="110"/>
              <w:bottom w:type="dxa" w:w="50"/>
              <w:right w:type="dxa" w:w="110"/>
            </w:tcMar>
          </w:tcPr>
          <w:p>
            <w:pPr>
              <w:spacing w:before="28" w:after="28"/>
            </w:pPr>
            <w:r>
              <w:rPr>
                <w:sz w:val="15"/>
                <w:szCs w:val="15"/>
              </w:rPr>
              <w:t xml:space="preserve">(1,125)</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stockholders' equity</w:t>
            </w:r>
          </w:p>
        </w:tc>
        <w:tc>
          <w:tcPr>
            <w:tcW w:type="pct" w:w="1400"/>
            <w:tcMar>
              <w:top w:type="dxa" w:w="50"/>
              <w:left w:type="dxa" w:w="110"/>
              <w:bottom w:type="dxa" w:w="50"/>
              <w:right w:type="dxa" w:w="110"/>
            </w:tcMar>
          </w:tcPr>
          <w:p>
            <w:pPr>
              <w:spacing w:before="28" w:after="28"/>
            </w:pPr>
            <w:r>
              <w:rPr>
                <w:sz w:val="15"/>
                <w:szCs w:val="15"/>
              </w:rPr>
              <w:t xml:space="preserve">20,392,975</w:t>
            </w:r>
          </w:p>
        </w:tc>
        <w:tc>
          <w:tcPr>
            <w:tcW w:type="pct" w:w="1400"/>
            <w:tcMar>
              <w:top w:type="dxa" w:w="50"/>
              <w:left w:type="dxa" w:w="110"/>
              <w:bottom w:type="dxa" w:w="50"/>
              <w:right w:type="dxa" w:w="110"/>
            </w:tcMar>
          </w:tcPr>
          <w:p>
            <w:pPr>
              <w:spacing w:before="28" w:after="28"/>
            </w:pPr>
            <w:r>
              <w:rPr>
                <w:sz w:val="15"/>
                <w:szCs w:val="15"/>
              </w:rPr>
              <w:t xml:space="preserve">16,375,000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expenses   ·   Current portion of long-term debt   ·   Equity-method investments   ·   Brand (indefinite-lived)   ·   Long-term debt, less current portion   ·   outstanding   ·   Additional paid-in capital   ·   depreciation   ·   receivable   ·   Accounts payable   ·   Commitments and contingencies (Note 12)</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25–30</w:t>
      </w:r>
    </w:p>
    <w:p>
      <w:pPr>
        <w:spacing w:before="20" w:after="20" w:line="360" w:lineRule="auto"/>
        <w:ind w:left="200"/>
      </w:pPr>
      <w:r>
        <w:rPr>
          <w:sz w:val="19"/>
          <w:szCs w:val="19"/>
        </w:rPr>
        <w:t xml:space="preserve">Read the figure from the top.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assets come first, from cash down to assets held for sale. </w:t>
      </w:r>
      <w:r>
        <w:rPr>
          <w:sz w:val="19"/>
          <w:szCs w:val="19"/>
        </w:rPr>
        <w:t xml:space="preserve">Then come the noncurrent assets: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property, plant and equipment,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assets. </w:t>
      </w:r>
      <w:r>
        <w:rPr>
          <w:sz w:val="19"/>
          <w:szCs w:val="19"/>
        </w:rPr>
        <w:t xml:space="preserve"/>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liquidity   ·   intangible   ·   depreciation   ·   Liabilities   ·   Current   ·   investments   ·   contingencies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السيولة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Brand (indefinite-lived)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Commitments and contingencies (Note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subtotal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expenses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 All the amounts come from the same records as the earlier chapters on receivables, inventory, investments and long-lived assets. For example, the equity-method investments include Jordan Glass Co. from, and goodwill fell after the impairments.</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It takes about 32 days to sell 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34 days to collect from customers: 66 days in total.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cycle is shorter than a year, Orontes uses one year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its items. </w:t>
      </w:r>
      <w:r>
        <w:rPr>
          <w:sz w:val="19"/>
          <w:szCs w:val="19"/>
        </w:rPr>
        <w:t xml:space="preserve">Some assets that look current are not.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noncurrent   ·   investments   ·   classify   ·   obligations   ·   collecting   ·   creating   ·   Working   ·   whichever   ·   Restricted   ·   prepayments   ·   inventory   ·   Because</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On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side, current portion of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is current, because that part of the principal is due within a year. </w:t>
      </w:r>
      <w:r>
        <w:rPr>
          <w:sz w:val="19"/>
          <w:szCs w:val="19"/>
        </w:rPr>
        <w:t xml:space="preserve">Two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come directly from these totals. </w:t>
      </w: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long-term   ·   analyzes   ·   liability   ·   solvency   ·   divided   ·   measures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20–23</w:t>
      </w:r>
    </w:p>
    <w:p>
      <w:pPr>
        <w:spacing w:before="20" w:after="20" w:line="360" w:lineRule="auto"/>
        <w:ind w:left="200"/>
      </w:pPr>
      <w:r>
        <w:rPr>
          <w:sz w:val="19"/>
          <w:szCs w:val="19"/>
        </w:rPr>
        <w:t xml:space="preserve">Paying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 cash reduces current assets and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debt from current to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increases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liabilities   ·   measures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24–29</w:t>
      </w:r>
    </w:p>
    <w:p>
      <w:pPr>
        <w:spacing w:before="20" w:after="20" w:line="360" w:lineRule="auto"/>
        <w:ind w:left="200"/>
      </w:pPr>
      <w:r>
        <w:rPr>
          <w:sz w:val="19"/>
          <w:szCs w:val="19"/>
        </w:rPr>
        <w:t xml:space="preserve">Next year's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assets   ·   liability   ·   operating   ·   installment   ·   expects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p>
      <w:pPr>
        <w:spacing w:before="20" w:after="20" w:line="360" w:lineRule="auto"/>
        <w:ind w:left="200"/>
      </w:pPr>
      <w:r>
        <w:rPr>
          <w:sz w:val="19"/>
          <w:szCs w:val="19"/>
        </w:rPr>
        <w:t xml:space="preserve">The first two are done. Classify the other four and give a reason.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Classification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Reason</w:t>
            </w:r>
          </w:p>
        </w:tc>
      </w:tr>
      <w:tr>
        <w:tc>
          <w:tcPr>
            <w:tcW w:type="pct" w:w="2200"/>
            <w:tcMar>
              <w:top w:type="dxa" w:w="50"/>
              <w:left w:type="dxa" w:w="110"/>
              <w:bottom w:type="dxa" w:w="50"/>
              <w:right w:type="dxa" w:w="110"/>
            </w:tcMar>
          </w:tcPr>
          <w:p>
            <w:pPr>
              <w:spacing w:before="28" w:after="28"/>
            </w:pPr>
            <w:r>
              <w:rPr>
                <w:sz w:val="15"/>
                <w:szCs w:val="15"/>
              </w:rPr>
              <w:t xml:space="preserve">Cash set aside in a sinking fund to repay bonds in 2029</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042"/>
            <w:tcMar>
              <w:top w:type="dxa" w:w="50"/>
              <w:left w:type="dxa" w:w="110"/>
              <w:bottom w:type="dxa" w:w="50"/>
              <w:right w:type="dxa" w:w="110"/>
            </w:tcMar>
          </w:tcPr>
          <w:p>
            <w:pPr>
              <w:spacing w:before="28" w:after="28"/>
            </w:pPr>
            <w:r>
              <w:rPr>
                <w:sz w:val="15"/>
                <w:szCs w:val="15"/>
              </w:rPr>
              <w:t xml:space="preserve">Restricted for a noncurrent purpose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8" w:after="28"/>
            </w:pPr>
            <w:r>
              <w:rPr>
                <w:sz w:val="15"/>
                <w:szCs w:val="15"/>
              </w:rPr>
              <w:t xml:space="preserve">Current asset</w:t>
            </w:r>
          </w:p>
        </w:tc>
        <w:tc>
          <w:tcPr>
            <w:tcW w:type="pct" w:w="2042"/>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is longer than one year, so the cycle applies</w:t>
            </w:r>
          </w:p>
        </w:tc>
      </w:tr>
      <w:tr>
        <w:tc>
          <w:tcPr>
            <w:tcW w:type="pct" w:w="2200"/>
            <w:tcMar>
              <w:top w:type="dxa" w:w="50"/>
              <w:left w:type="dxa" w:w="110"/>
              <w:bottom w:type="dxa" w:w="50"/>
              <w:right w:type="dxa" w:w="110"/>
            </w:tcMar>
          </w:tcPr>
          <w:p>
            <w:pPr>
              <w:spacing w:before="28" w:after="28"/>
            </w:pPr>
            <w:r>
              <w:rPr>
                <w:sz w:val="15"/>
                <w:szCs w:val="15"/>
              </w:rPr>
              <w:t xml:space="preserve">Cash surrender value of an executive life insurance policy</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Deferred tax asset from warranty costs expected to reverse next year</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Customer deposits for orders to be delivered next month</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operating cycle   ·   current assets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operating cycle   ·   current liabilities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Orontes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It takes about 32 days to sell its inventory and 34 days to collect from customers: 66 days in total. Because the cycle is shorter than a year, Orontes uses one year to classify its items. Some assets that look current are not. Restricted cash set aside to repay long-term debt or to build a plant is noncurrent. So are long-term investments, receivables that will not be collected within the period, the cash surrender value of life insurance, and long-term prepayments.</w:t>
      </w:r>
    </w:p>
    <w:p>
      <w:pPr>
        <w:spacing w:before="20" w:after="20"/>
        <w:ind w:left="240" w:hanging="240"/>
      </w:pPr>
      <w:r>
        <w:rPr>
          <w:b/>
          <w:bCs/>
          <w:color w:val="353A7C"/>
          <w:sz w:val="15"/>
          <w:szCs w:val="15"/>
        </w:rPr>
        <w:t xml:space="preserve">Summary 2   </w:t>
      </w:r>
      <w:r>
        <w:rPr>
          <w:color w:val="6B7280"/>
          <w:sz w:val="15"/>
          <w:szCs w:val="15"/>
        </w:rPr>
        <w:t xml:space="preserve">On the liability side, current portion of long-term debt is current, because that part of the principal is due within a year. Two measures come directly from these totals. 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signing   ·   Orontes   ·   classification   ·   statements   ·   expect   ·   installments   ·   agreements   ·   callable   ·   repayment   ·   waiver</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Debt that is due on demand is always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can be shown as noncurrent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refinancing, but only if the company intends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long-term debt or shares after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date but before the statements are issued, or by signing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question: at the reporting date, does the company have a right to defer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for at least twelve months?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or refinancing obtained after the reporting date does not count. </w:t>
      </w:r>
      <w:r>
        <w:rPr>
          <w:sz w:val="19"/>
          <w:szCs w:val="19"/>
        </w:rPr>
        <w:t xml:space="preserve">U.S. GAAP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counts   ·   Short-term   ·   refinance   ·   current   ·   through   ·   waiver   ·   issuing   ·   balance   ·   intends   ·   settlement   ·   qualifying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2"/>
        <w:gridCol w:w="29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287"/>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513"/>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287"/>
            <w:tcMar>
              <w:top w:type="dxa" w:w="50"/>
              <w:left w:type="dxa" w:w="110"/>
              <w:bottom w:type="dxa" w:w="50"/>
              <w:right w:type="dxa" w:w="110"/>
            </w:tcMar>
          </w:tcPr>
          <w:p>
            <w:pPr>
              <w:spacing w:before="28" w:after="28"/>
            </w:pPr>
            <w:r>
              <w:rPr>
                <w:sz w:val="15"/>
                <w:szCs w:val="15"/>
              </w:rPr>
              <w:t xml:space="preserve">Noncurrent (intent and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ability)</w:t>
            </w:r>
          </w:p>
        </w:tc>
        <w:tc>
          <w:tcPr>
            <w:tcW w:type="pct" w:w="1513"/>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w:t>
            </w:r>
          </w:p>
        </w:tc>
        <w:tc>
          <w:tcPr>
            <w:tcW w:type="pct" w:w="1513"/>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287"/>
            <w:tcMar>
              <w:top w:type="dxa" w:w="50"/>
              <w:left w:type="dxa" w:w="110"/>
              <w:bottom w:type="dxa" w:w="50"/>
              <w:right w:type="dxa" w:w="110"/>
            </w:tcMar>
          </w:tcPr>
          <w:p>
            <w:pPr>
              <w:spacing w:before="28" w:after="28"/>
            </w:pPr>
            <w:r>
              <w:rPr>
                <w:sz w:val="15"/>
                <w:szCs w:val="15"/>
              </w:rPr>
              <w:t xml:space="preserve">Noncurrent</w:t>
            </w:r>
          </w:p>
        </w:tc>
        <w:tc>
          <w:tcPr>
            <w:tcW w:type="pct" w:w="1513"/>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513"/>
            <w:shd w:fill="FBFAF6" w:val="clear"/>
            <w:tcMar>
              <w:top w:type="dxa" w:w="50"/>
              <w:left w:type="dxa" w:w="110"/>
              <w:bottom w:type="dxa" w:w="50"/>
              <w:right w:type="dxa" w:w="110"/>
            </w:tcMar>
          </w:tcPr>
          <w:p>
            <w:pPr>
              <w:spacing w:before="28" w:after="28"/>
            </w:pPr>
            <w:r>
              <w:rPr>
                <w:sz w:val="15"/>
                <w:szCs w:val="15"/>
              </w:rPr>
              <w:t xml:space="preserve">Noncurrent; disclose the risk</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1287"/>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513"/>
            <w:tcMar>
              <w:top w:type="dxa" w:w="50"/>
              <w:left w:type="dxa" w:w="110"/>
              <w:bottom w:type="dxa" w:w="50"/>
              <w:right w:type="dxa" w:w="110"/>
            </w:tcMar>
          </w:tcPr>
          <w:p>
            <w:pPr>
              <w:spacing w:before="28" w:after="28"/>
            </w:pPr>
            <w:r>
              <w:rPr>
                <w:sz w:val="15"/>
                <w:szCs w:val="15"/>
              </w:rPr>
              <w:t xml:space="preserve">Ignored unless it removes the right to defer</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287"/>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1513"/>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demonstrated   ·   All non-current   ·   working capital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The FASB proposed a simpler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agreements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27–28</w:t>
      </w:r>
    </w:p>
    <w:p>
      <w:pPr>
        <w:spacing w:before="20" w:after="20" w:line="360" w:lineRule="auto"/>
        <w:ind w:left="200"/>
      </w:pPr>
      <w:r>
        <w:rPr>
          <w:sz w:val="19"/>
          <w:szCs w:val="19"/>
        </w:rPr>
        <w:t xml:space="preserve">Refinanced after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flexibility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demonstrated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subjective acceleration clause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refinance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an existing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may cause a loss, such as a lawsuit.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contingency   ·   enforceable   ·   appears   ·   liquidity   ·   noncurrent   ·   situation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and a loss (best estimate; if no best estimate, the minimum of the range)</w:t>
            </w:r>
          </w:p>
        </w:tc>
        <w:tc>
          <w:tcPr>
            <w:tcW w:type="pct" w:w="2042"/>
            <w:tcMar>
              <w:top w:type="dxa" w:w="50"/>
              <w:left w:type="dxa" w:w="110"/>
              <w:bottom w:type="dxa" w:w="50"/>
              <w:right w:type="dxa" w:w="110"/>
            </w:tcMar>
          </w:tcPr>
          <w:p>
            <w:pPr>
              <w:spacing w:before="28" w:after="28"/>
            </w:pPr>
            <w:r>
              <w:rPr>
                <w:sz w:val="15"/>
                <w:szCs w:val="15"/>
              </w:rPr>
              <w:t xml:space="preserve">Accrue and disclose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No accrual</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BFAF6" w:val="clear"/>
            <w:tcMar>
              <w:top w:type="dxa" w:w="50"/>
              <w:left w:type="dxa" w:w="110"/>
              <w:bottom w:type="dxa" w:w="50"/>
              <w:right w:type="dxa" w:w="110"/>
            </w:tcMar>
          </w:tcPr>
          <w:p>
            <w:pPr>
              <w:spacing w:before="28" w:after="28"/>
            </w:pPr>
            <w:r>
              <w:rPr>
                <w:sz w:val="15"/>
                <w:szCs w:val="15"/>
              </w:rPr>
              <w:t xml:space="preserve">Never recognized before it is realized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contingency   ·   liability   ·   estimated   ·   No disclosure (except guarantees)   ·   Disclose carefully, without misleading</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it is only reasonably possible   ·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16–25</w:t>
      </w:r>
    </w:p>
    <w:p>
      <w:pPr>
        <w:spacing w:before="20" w:after="20" w:line="360" w:lineRule="auto"/>
        <w:ind w:left="200"/>
      </w:pPr>
      <w:r>
        <w:rPr>
          <w:sz w:val="19"/>
          <w:szCs w:val="19"/>
        </w:rPr>
        <w:t xml:space="preserve">Subsequent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happen after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date but before the statements are issued. </w:t>
      </w:r>
      <w:r>
        <w:rPr>
          <w:sz w:val="19"/>
          <w:szCs w:val="19"/>
        </w:rPr>
        <w:t xml:space="preserve">If an event gives more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existed at year-end, the company adjusts the statements. </w:t>
      </w:r>
      <w:r>
        <w:rPr>
          <w:sz w:val="19"/>
          <w:szCs w:val="19"/>
        </w:rPr>
        <w:t xml:space="preserve">If the condition arose after year-end, the company only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w:t>
      </w:r>
      <w:r>
        <w:rPr>
          <w:sz w:val="19"/>
          <w:szCs w:val="19"/>
        </w:rPr>
        <w:t xml:space="preserve">Finally, the notes begin with a summary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reasonably   ·   depreciation   ·   already   ·   midpoint   ·   events   ·   information   ·   balance   ·   provision   ·   discloses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In U.S. GAAP answers, use allowance for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accrued liability or loss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contingency   ·   contra-assets   ·   reserve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cycle   ·   subsequent events   ·   right of setoff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 carefully, without misleading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right of setoff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subsequent 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company does nothing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In U.S. GAAP answers, use allowance for contra-assets, accrued liability or loss contingency for liabilities, and never call either a reserve.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land and buildings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credit losses and useful lives.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missing   ·   Finally   ·   Orontes's   ·   obligations   ·   allowance   ·   workforce   ·   Important   ·   Internally   ·   improve   ·   estimates   ·   valuation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The net change in cash in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cash flows explains the change in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OCI of $(1,125) does not go into retained earnings. </w:t>
      </w:r>
      <w:r>
        <w:rPr>
          <w:sz w:val="19"/>
          <w:szCs w:val="19"/>
        </w:rPr>
        <w:t xml:space="preserve">It goes into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missing   ·   Orontes's   ·   balance-sheet   ·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Total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market   ·   compare</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rent   ·   Allowance for credit losses   ·   Accounts payable   ·   Additional paid-in capital   ·   Accounts receivable   ·   Notes payable (long-term)   ·   Cash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Cash surrender value</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it is not expected to be turned into cash in the operating cycle.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Loan due on demand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(27) </w:t>
            </w:r>
            <w:r>
              <w:rPr>
                <w:u w:val="single"/>
                <w:sz w:val="15"/>
                <w:szCs w:val="15"/>
              </w:rPr>
              <w:t xml:space="preserve">              </w:t>
            </w:r>
            <w:r>
              <w:rPr>
                <w:sz w:val="15"/>
                <w:szCs w:val="15"/>
              </w:rPr>
              <w:t xml:space="preserve"> </w:t>
            </w:r>
            <w:r>
              <w:rPr>
                <w:sz w:val="15"/>
                <w:szCs w:val="15"/>
              </w:rPr>
              <w:t xml:space="preserve">: debt due on demand is current, whatever the bank's expected behaviour.</w:t>
            </w:r>
          </w:p>
        </w:tc>
      </w:tr>
      <w:tr>
        <w:tc>
          <w:tcPr>
            <w:tcW w:type="pct" w:w="2400"/>
            <w:tcMar>
              <w:top w:type="dxa" w:w="50"/>
              <w:left w:type="dxa" w:w="110"/>
              <w:bottom w:type="dxa" w:w="50"/>
              <w:right w:type="dxa" w:w="110"/>
            </w:tcMar>
          </w:tcPr>
          <w:p>
            <w:pPr>
              <w:spacing w:before="28" w:after="28"/>
            </w:pPr>
            <w:r>
              <w:rPr>
                <w:sz w:val="15"/>
                <w:szCs w:val="15"/>
              </w:rPr>
              <w:t xml:space="preserve">Deferred tax asset</w:t>
            </w:r>
          </w:p>
        </w:tc>
        <w:tc>
          <w:tcPr>
            <w:tcW w:type="pct" w:w="2600"/>
            <w:tcMar>
              <w:top w:type="dxa" w:w="50"/>
              <w:left w:type="dxa" w:w="110"/>
              <w:bottom w:type="dxa" w:w="50"/>
              <w:right w:type="dxa" w:w="110"/>
            </w:tcMar>
          </w:tcPr>
          <w:p>
            <w:pPr>
              <w:spacing w:before="28" w:after="28"/>
            </w:pPr>
            <w:r>
              <w:rPr>
                <w:sz w:val="15"/>
                <w:szCs w:val="15"/>
              </w:rPr>
              <w:t xml:space="preserve">Noncurrent asset: all deferred taxes are noncurrent.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deposits</w:t>
            </w:r>
          </w:p>
        </w:tc>
        <w:tc>
          <w:tcPr>
            <w:tcW w:type="pct" w:w="2600"/>
            <w:shd w:fill="FBFAF6" w:val="clear"/>
            <w:tcMar>
              <w:top w:type="dxa" w:w="50"/>
              <w:left w:type="dxa" w:w="110"/>
              <w:bottom w:type="dxa" w:w="50"/>
              <w:right w:type="dxa" w:w="110"/>
            </w:tcMar>
          </w:tcPr>
          <w:p>
            <w:pPr>
              <w:spacing w:before="28" w:after="28"/>
            </w:pPr>
            <w:r>
              <w:rPr>
                <w:sz w:val="15"/>
                <w:szCs w:val="15"/>
              </w:rPr>
              <w:t xml:space="preserve">Current liability (contract liability): it will be settled by delivering goods within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callable debt   ·   Noncurrent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Current asset   ·   M1   ·   Equity</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Notes payable (long-term)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787336fc654f523ad74989a47cc8d612fe08f0b.png" Type="http://schemas.openxmlformats.org/officeDocument/2006/relationships/image"/><Relationship Id="rId102" Target="media/78dcd6ce27314b3f0e7c5df1f8068fbef49a14dc.png" Type="http://schemas.openxmlformats.org/officeDocument/2006/relationships/image"/><Relationship Id="rId103" Target="media/bf13b71f98c2bca22e4508d5f201092365d56134.png" Type="http://schemas.openxmlformats.org/officeDocument/2006/relationships/image"/><Relationship Id="rId104" Target="media/b3c13ee14d573e9c11a446fa760a79c792d27b12.png" Type="http://schemas.openxmlformats.org/officeDocument/2006/relationships/image"/><Relationship Id="rId105" Target="media/62696186d75f7aba50e3a5457b5ee77057337ef6.png" Type="http://schemas.openxmlformats.org/officeDocument/2006/relationships/image"/><Relationship Id="rId106" Target="media/e532e14566190bb0ca65a7bc990028384b543be3.png" Type="http://schemas.openxmlformats.org/officeDocument/2006/relationships/image"/><Relationship Id="rId107" Target="media/2ec8f26fe1363498b17b14836aa057388e3b2797.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2</dc:title>
  <dc:subject>Summary handouts</dc:subject>
  <cp:category>Student Book</cp:category>
</cp:coreProperties>
</file>