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earnings   ·   profitable   ·   usually   ·   Managers   ·   competitors   ·   result   ·   Investors   ·   Lenders   ·   photograph</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All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from the same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the balance sheet. </w:t>
      </w:r>
      <w:r>
        <w:rPr>
          <w:sz w:val="19"/>
          <w:szCs w:val="19"/>
        </w:rPr>
        <w:t xml:space="preserve">For example,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losses are the ones you calculated in,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comes. </w:t>
      </w:r>
      <w:r>
        <w:rPr>
          <w:sz w:val="19"/>
          <w:szCs w:val="19"/>
        </w:rPr>
        <w:t xml:space="preserve">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form is simpler to read, but it hides useful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multi-step form tells a reader that Orontes's main business earned $4,176,000 before interest and tax, and that other items reduced this by a net $217,200.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information   ·   single-step   ·   usually   ·   equity-method   ·   impairment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tcMar>
              <w:top w:type="dxa" w:w="50"/>
              <w:left w:type="dxa" w:w="110"/>
              <w:bottom w:type="dxa" w:w="50"/>
              <w:right w:type="dxa" w:w="110"/>
            </w:tcMar>
          </w:tcPr>
          <w:p>
            <w:pPr>
              <w:spacing w:before="28" w:after="28"/>
            </w:pPr>
            <w:r>
              <w:rPr>
                <w:sz w:val="15"/>
                <w:szCs w:val="15"/>
              </w:rPr>
              <w:t xml:space="preserve">Research and development</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Interest and dividend income</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Unrealized gains on securities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other income and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Other 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Credit loss expense   ·   Income tax expense   ·   Loss on sale of receivables   ·   Net sales   ·   Gain on sale of equipment   ·   Total operating expenses   ·   Selling, general and administrative   ·   Operating income   ·   Equity-method income   ·   Income before income taxes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single-step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Net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Selling, general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Credit loss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pacing w:before="20" w:after="20"/>
        <w:ind w:left="240" w:hanging="240"/>
      </w:pPr>
      <w:r>
        <w:rPr>
          <w:b/>
          <w:bCs/>
          <w:color w:val="353A7C"/>
          <w:sz w:val="15"/>
          <w:szCs w:val="15"/>
        </w:rPr>
        <w:t xml:space="preserve">Summary 2   </w:t>
      </w:r>
      <w:r>
        <w:rPr>
          <w:color w:val="6B7280"/>
          <w:sz w:val="15"/>
          <w:szCs w:val="15"/>
        </w:rPr>
        <w:t xml:space="preserve">All the amounts come from the same records as the balance sheet. For example, the impairment losses are the ones you calculated in, and the equity-method income comes. The single-step form is simpler to read, but it hides useful information. The multi-step form tells a reader that Orontes's main business earned $4,176,000 before interest and tax, and that other items reduced this by a net $217,200.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general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follows   ·   administrative   ·   reported   ·   transaction   ·   deducted   ·   impairments   ·   selling   ·   peripheral   ·   proceeds   ·   carrying   ·   development</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EPS in depth.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step is the cost of goods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biggest   ·   analyzes   ·   statement   ·   weighted-average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Gross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investment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p>
      <w:pPr>
        <w:spacing w:before="20" w:after="20" w:line="360" w:lineRule="auto"/>
        <w:ind w:left="200"/>
      </w:pPr>
      <w:r>
        <w:rPr>
          <w:sz w:val="19"/>
          <w:szCs w:val="19"/>
        </w:rPr>
        <w:t xml:space="preserve">Barada's 2025 statements ignore income tax. Fill in the three blanks.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19–21</w:t>
      </w:r>
    </w:p>
    <w:p>
      <w:pPr>
        <w:spacing w:before="20" w:after="20" w:line="360" w:lineRule="auto"/>
        <w:ind w:left="200"/>
      </w:pPr>
      <w:r>
        <w:rPr>
          <w:sz w:val="19"/>
          <w:szCs w:val="19"/>
        </w:rPr>
        <w:t xml:space="preserve">Interest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equipment   ·   depreciation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tcMar>
              <w:top w:type="dxa" w:w="50"/>
              <w:left w:type="dxa" w:w="110"/>
              <w:bottom w:type="dxa" w:w="50"/>
              <w:right w:type="dxa" w:w="110"/>
            </w:tcMar>
          </w:tcPr>
          <w:p>
            <w:pPr>
              <w:spacing w:before="28" w:after="28"/>
            </w:pPr>
            <w:r>
              <w:rPr>
                <w:sz w:val="15"/>
                <w:szCs w:val="15"/>
              </w:rPr>
              <w:t xml:space="preserve">Depreciation expense</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Gross profit as a percentage of sales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Sales revenue   ·   Interest expense   ·   Wages expense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biggest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Interest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earnings per share (EPS)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 The biggest step is the cost of goods sold.</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Examples   ·   strategic   ·   removed   ·   component   ·   infrequent   ·   including   ·   attention   ·   classified   ·   geographic   ·   effect   ·   happen   ·   extraordinary</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Ask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order: OCI first, then discontinued operations, then unusual items, and finally main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other income and expense. </w:t>
      </w:r>
      <w:r>
        <w:rPr>
          <w:sz w:val="19"/>
          <w:szCs w:val="19"/>
        </w:rPr>
        <w:t xml:space="preserve">Suppose that in 2026 Orontes sells its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business to focus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dry foods. </w:t>
      </w:r>
      <w:r>
        <w:rPr>
          <w:sz w:val="19"/>
          <w:szCs w:val="19"/>
        </w:rPr>
        <w:t xml:space="preserve">This is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shift. </w:t>
      </w:r>
      <w:r>
        <w:rPr>
          <w:sz w:val="19"/>
          <w:szCs w:val="19"/>
        </w:rPr>
        <w:t xml:space="preserve">The business lost $420,000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during the year, and the sale caused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loss of $180,000. </w:t>
      </w:r>
      <w:r>
        <w:rPr>
          <w:sz w:val="19"/>
          <w:szCs w:val="19"/>
        </w:rPr>
        <w:t xml:space="preserve">Each loss reduces tax, so Orontes reports a loss from discontinued operations of $450,000, net of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activities   ·   before   ·   strategic   ·   further   ·   questions   ·   unusual   ·   frozen-foods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tcMar>
              <w:top w:type="dxa" w:w="50"/>
              <w:left w:type="dxa" w:w="110"/>
              <w:bottom w:type="dxa" w:w="50"/>
              <w:right w:type="dxa" w:w="110"/>
            </w:tcMar>
          </w:tcPr>
          <w:p>
            <w:pPr>
              <w:spacing w:before="28" w:after="28"/>
            </w:pPr>
            <w:r>
              <w:rPr>
                <w:sz w:val="15"/>
                <w:szCs w:val="15"/>
              </w:rPr>
              <w:t xml:space="preserve">Loss from operations of the frozen-foods business</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on disposal of the business   ·   Loss from discontinued operations   ·   earnings per share (EPS)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22–27</w:t>
      </w:r>
    </w:p>
    <w:p>
      <w:pPr>
        <w:spacing w:before="20" w:after="20" w:line="360" w:lineRule="auto"/>
        <w:ind w:left="200"/>
      </w:pPr>
      <w:r>
        <w:rPr>
          <w:sz w:val="19"/>
          <w:szCs w:val="19"/>
        </w:rPr>
        <w:t xml:space="preserve">Older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classified   ·   today's   ·   expropriations   ·   discontinued   ·   geographic   ·   textbooks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 on disposal of the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frozen-foods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unusual or infrequent item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Ask the questions in order: OCI first, then discontinued operations, then unusual items, and finally main activities or other income and expense. Suppose that in 2026 Orontes sells its frozen-foods business to focus on beverages and dry foods. This is a strategic shift. The business lost $420,000 before tax during the year, and the sale caused a further loss of $180,000. Each loss reduces tax, so Orontes reports a loss from discontinued operations of $450,000, net of tax.</w:t>
      </w:r>
    </w:p>
    <w:p>
      <w:pPr>
        <w:spacing w:before="20" w:after="20"/>
        <w:ind w:left="240" w:hanging="240"/>
      </w:pPr>
      <w:r>
        <w:rPr>
          <w:b/>
          <w:bCs/>
          <w:color w:val="353A7C"/>
          <w:sz w:val="15"/>
          <w:szCs w:val="15"/>
        </w:rPr>
        <w:t xml:space="preserve">Summary 3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results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earnings   ·   depreciation   ·   subtotals   ·   testable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 on sale of equipment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d893ed39d62d80f594cff6c158c76e2880c991.png" Type="http://schemas.openxmlformats.org/officeDocument/2006/relationships/image"/><Relationship Id="rId102" Target="media/8a9a066b6ba2c25ffb0078ca394599696be7ea7c.png" Type="http://schemas.openxmlformats.org/officeDocument/2006/relationships/image"/><Relationship Id="rId103" Target="media/446ca8459f293474586bbb97d37c5b938a90f156.png" Type="http://schemas.openxmlformats.org/officeDocument/2006/relationships/image"/><Relationship Id="rId104" Target="media/c3d5b35f9ef794f37aff0bc428d9b6fa04f6b4aa.png" Type="http://schemas.openxmlformats.org/officeDocument/2006/relationships/image"/><Relationship Id="rId105" Target="media/74c3341ead4c1174cdd6be8e2f7f4166ec0e3a72.png" Type="http://schemas.openxmlformats.org/officeDocument/2006/relationships/image"/><Relationship Id="rId106" Target="media/82030786494837d1e00a382193d3fee737a62007.png" Type="http://schemas.openxmlformats.org/officeDocument/2006/relationships/image"/><Relationship Id="rId107" Target="media/d2c11b7280b5766959a8bd1c339735fa5c38bf8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dc:title>
  <dc:subject>Summary handouts</dc:subject>
  <cp:category>Student Book</cp:category>
</cp:coreProperties>
</file>