
<file path=[Content_Types].xml><?xml version="1.0" encoding="utf-8"?>
<Types xmlns="http://schemas.openxmlformats.org/package/2006/content-types">
  <Default ContentType="image/png" Extension="png"/>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officedocument.wordprocessingml.numbering+xml" PartName="/word/numbering.xml"/>
  <Override ContentType="application/vnd.openxmlformats-officedocument.wordprocessingml.fontTable+xml" PartName="/word/fontTable.xml"/>
  <Override ContentType="application/vnd.openxmlformats-officedocument.wordprocessingml.settings+xml" PartName="/word/settings.xml"/>
  <Override ContentType="application/vnd.openxmlformats-package.core-properties+xml" PartName="/docProps/core.xml"/>
  <Override ContentType="application/vnd.openxmlformats-officedocument.wordprocessingml.header+xml" PartName="/word/header1.xml"/>
  <Override ContentType="application/vnd.openxmlformats-officedocument.wordprocessingml.header+xml" PartName="/word/header2.xml"/>
  <Override ContentType="application/vnd.openxmlformats-officedocument.wordprocessingml.header+xml" PartName="/word/header3.xml"/>
  <Override ContentType="application/vnd.openxmlformats-officedocument.wordprocessingml.header+xml" PartName="/word/header4.xml"/>
  <Override ContentType="application/vnd.openxmlformats-officedocument.wordprocessingml.header+xml" PartName="/word/header5.xml"/>
  <Override ContentType="application/vnd.openxmlformats-officedocument.wordprocessingml.header+xml" PartName="/word/header6.xml"/>
  <Override ContentType="application/vnd.openxmlformats-officedocument.wordprocessingml.header+xml" PartName="/word/header7.xml"/>
  <Override ContentType="application/vnd.openxmlformats-officedocument.wordprocessingml.header+xml" PartName="/word/header8.xml"/>
  <Override ContentType="application/vnd.openxmlformats-officedocument.wordprocessingml.header+xml" PartName="/word/header9.xml"/>
  <Override ContentType="application/vnd.openxmlformats-officedocument.wordprocessingml.header+xml" PartName="/word/header10.xml"/>
</Types>
</file>

<file path=_rels/.rels><?xml version="1.0" encoding="UTF-8" standalone="yes"?><Relationships xmlns="http://schemas.openxmlformats.org/package/2006/relationships"><Relationship Id="rId1" Target="word/document.xml" Type="http://schemas.openxmlformats.org/officeDocument/2006/relationships/officeDocument"/><Relationship Id="rId2" Target="docProps/core.xml" Type="http://schemas.openxmlformats.org/package/2006/relationships/metadata/core-properties"/></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openxmlformats.org/wordprocessingml/2006/main" xmlns:w15="http://schemas.openxmlformats.org/wordprocessingml/2006/main" xmlns:wpg="http://schemas.microsoft.com/office/word/2010/wordprocessingGroup" xmlns:wpi="http://schemas.microsoft.com/office/word/2010/wordprocessingInk" xmlns:wne="http://schemas.microsoft.com/office/word/2006/wordml" xmlns:wps="http://schemas.microsoft.com/office/word/2010/wordprocessingShape">
  <w:body>
    <w:tbl>
      <w:tblPr>
        <w:tblW w:type="pct" w:w="100%"/>
        <w:tblLayout w:type="fixed"/>
        <w:tblBorders>
          <w:top w:val="single" w:color="353A7C" w:sz="8"/>
          <w:left w:val="single" w:color="353A7C" w:sz="8"/>
          <w:bottom w:val="single" w:color="353A7C" w:sz="8"/>
          <w:right w:val="single" w:color="353A7C" w:sz="8"/>
          <w:insideH w:val="single" w:color="353A7C" w:sz="8"/>
          <w:insideV w:val="single" w:color="353A7C" w:sz="8"/>
        </w:tblBorders>
      </w:tblPr>
      <w:tblGrid>
        <w:gridCol w:w="9600"/>
      </w:tblGrid>
      <w:tr>
        <w:tc>
          <w:tcPr>
            <w:tcW w:type="pct" w:w="5000"/>
            <w:shd w:fill="353A7C" w:val="clear"/>
            <w:tcMar>
              <w:top w:type="dxa" w:w="80"/>
              <w:left w:type="dxa" w:w="140"/>
              <w:bottom w:type="dxa" w:w="80"/>
              <w:right w:type="dxa" w:w="140"/>
            </w:tcMar>
          </w:tcPr>
          <w:p>
            <w:pPr>
              <w:spacing w:before="50" w:after="14"/>
            </w:pPr>
            <w:r>
              <w:rPr>
                <w:b/>
                <w:bCs/>
                <w:color w:val="FFFFFF"/>
                <w:sz w:val="22"/>
                <w:szCs w:val="22"/>
              </w:rPr>
              <w:t xml:space="preserve">5.1  Purpose and structure of the statement of cash flows</w:t>
            </w:r>
          </w:p>
          <w:p>
            <w:pPr>
              <w:spacing w:before="0" w:after="46"/>
            </w:pPr>
            <w:r>
              <w:rPr>
                <w:color w:val="E8EAF6"/>
                <w:sz w:val="16"/>
                <w:szCs w:val="16"/>
              </w:rPr>
              <w:t xml:space="preserve">Chapter 5 · section 5.1</w:t>
            </w:r>
          </w:p>
        </w:tc>
      </w:tr>
    </w:tbl>
    <w:p/>
    <w:p>
      <w:pPr>
        <w:spacing w:before="10" w:after="40"/>
      </w:pPr>
      <w:r>
        <w:rPr>
          <w:color w:val="6B7280"/>
          <w:sz w:val="17"/>
          <w:szCs w:val="17"/>
        </w:rPr>
        <w:t xml:space="preserve">Fill every gap. Each word list holds one word more than there are gaps.</w:t>
      </w:r>
    </w:p>
    <w:p>
      <w:pPr>
        <w:spacing w:before="44" w:after="10"/>
      </w:pPr>
      <w:r>
        <w:rPr>
          <w:b/>
          <w:bCs/>
          <w:color w:val="353A7C"/>
          <w:sz w:val="18"/>
          <w:szCs w:val="18"/>
        </w:rPr>
        <w:t xml:space="preserve">Chapter 5, section by section</w:t>
      </w:r>
    </w:p>
    <w:p>
      <w:pPr>
        <w:spacing w:before="0" w:after="12"/>
      </w:pPr>
      <w:r>
        <w:rPr>
          <w:color w:val="6B7280"/>
          <w:sz w:val="15"/>
          <w:szCs w:val="15"/>
        </w:rPr>
        <w:t xml:space="preserve">Each stage leads to the next.</w:t>
      </w:r>
    </w:p>
    <w:p>
      <w:pPr>
        <w:spacing w:after="40" w:before="90"/>
        <w:jc w:val="center"/>
      </w:pPr>
      <w:r>
        <w:drawing>
          <wp:inline distT="0" distB="0" distL="0" distR="0">
            <wp:extent cx="5734050" cy="21125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1" cstate="none"/>
                    <a:srcRect/>
                    <a:stretch>
                      <a:fillRect/>
                    </a:stretch>
                  </pic:blipFill>
                  <pic:spPr bwMode="auto">
                    <a:xfrm>
                      <a:off x="0" y="0"/>
                      <a:ext cx="5734050" cy="2112550"/>
                    </a:xfrm>
                    <a:prstGeom prst="rect">
                      <a:avLst/>
                    </a:prstGeom>
                  </pic:spPr>
                </pic:pic>
              </a:graphicData>
            </a:graphic>
          </wp:inline>
        </w:drawing>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statement of cash flows   ·   Classifying cash flows   ·   Limitations and links between the four stateme</w:t>
            </w:r>
          </w:p>
        </w:tc>
      </w:tr>
    </w:tbl>
    <w:p/>
    <w:p>
      <w:pPr>
        <w:spacing w:before="44" w:after="14"/>
      </w:pPr>
      <w:r>
        <w:rPr>
          <w:b/>
          <w:bCs/>
          <w:color w:val="353A7C"/>
          <w:sz w:val="18"/>
          <w:szCs w:val="18"/>
        </w:rPr>
        <w:t xml:space="preserve">Summary 1</w:t>
      </w:r>
      <w:r>
        <w:rPr>
          <w:color w:val="6B7280"/>
          <w:sz w:val="16"/>
          <w:szCs w:val="16"/>
        </w:rPr>
        <w:t xml:space="preserve">      gaps 3–14</w:t>
      </w:r>
    </w:p>
    <w:p>
      <w:pPr>
        <w:spacing w:before="20" w:after="20" w:line="360" w:lineRule="auto"/>
        <w:ind w:left="200"/>
      </w:pPr>
      <w:r>
        <w:rPr>
          <w:sz w:val="19"/>
          <w:szCs w:val="19"/>
        </w:rPr>
        <w:t xml:space="preserve">The statement of cash flows reports a </w:t>
      </w:r>
      <w:r>
        <w:rPr>
          <w:b/>
          <w:bCs/>
          <w:color w:val="8186EF"/>
          <w:sz w:val="15"/>
          <w:szCs w:val="15"/>
        </w:rPr>
        <w:t xml:space="preserve"> (3) </w:t>
      </w:r>
      <w:r>
        <w:rPr>
          <w:u w:val="single"/>
          <w:sz w:val="19"/>
          <w:szCs w:val="19"/>
        </w:rPr>
        <w:t xml:space="preserve">           </w:t>
      </w:r>
      <w:r>
        <w:rPr>
          <w:sz w:val="19"/>
          <w:szCs w:val="19"/>
        </w:rPr>
        <w:t xml:space="preserve"> </w:t>
      </w:r>
      <w:r>
        <w:rPr>
          <w:sz w:val="19"/>
          <w:szCs w:val="19"/>
        </w:rPr>
        <w:t xml:space="preserve"> cash receipts and cash </w:t>
      </w:r>
      <w:r>
        <w:rPr>
          <w:b/>
          <w:bCs/>
          <w:color w:val="8186EF"/>
          <w:sz w:val="15"/>
          <w:szCs w:val="15"/>
        </w:rPr>
        <w:t xml:space="preserve"> (4) </w:t>
      </w:r>
      <w:r>
        <w:rPr>
          <w:u w:val="single"/>
          <w:sz w:val="19"/>
          <w:szCs w:val="19"/>
        </w:rPr>
        <w:t xml:space="preserve">           </w:t>
      </w:r>
      <w:r>
        <w:rPr>
          <w:sz w:val="19"/>
          <w:szCs w:val="19"/>
        </w:rPr>
        <w:t xml:space="preserve"> </w:t>
      </w:r>
      <w:r>
        <w:rPr>
          <w:sz w:val="19"/>
          <w:szCs w:val="19"/>
        </w:rPr>
        <w:t xml:space="preserve"> for a period. </w:t>
      </w:r>
      <w:r>
        <w:rPr>
          <w:sz w:val="19"/>
          <w:szCs w:val="19"/>
        </w:rPr>
        <w:t xml:space="preserve">Users need it </w:t>
      </w:r>
      <w:r>
        <w:rPr>
          <w:b/>
          <w:bCs/>
          <w:color w:val="8186EF"/>
          <w:sz w:val="15"/>
          <w:szCs w:val="15"/>
        </w:rPr>
        <w:t xml:space="preserve"> (5) </w:t>
      </w:r>
      <w:r>
        <w:rPr>
          <w:u w:val="single"/>
          <w:sz w:val="19"/>
          <w:szCs w:val="19"/>
        </w:rPr>
        <w:t xml:space="preserve">           </w:t>
      </w:r>
      <w:r>
        <w:rPr>
          <w:sz w:val="19"/>
          <w:szCs w:val="19"/>
        </w:rPr>
        <w:t xml:space="preserve"> </w:t>
      </w:r>
      <w:r>
        <w:rPr>
          <w:sz w:val="19"/>
          <w:szCs w:val="19"/>
        </w:rPr>
        <w:t xml:space="preserve"> profit is not cash. </w:t>
      </w:r>
      <w:r>
        <w:rPr>
          <w:sz w:val="19"/>
          <w:szCs w:val="19"/>
        </w:rPr>
        <w:t xml:space="preserve">It helps them judge </w:t>
      </w:r>
      <w:r>
        <w:rPr>
          <w:b/>
          <w:bCs/>
          <w:color w:val="8186EF"/>
          <w:sz w:val="15"/>
          <w:szCs w:val="15"/>
        </w:rPr>
        <w:t xml:space="preserve"> (6) </w:t>
      </w:r>
      <w:r>
        <w:rPr>
          <w:u w:val="single"/>
          <w:sz w:val="19"/>
          <w:szCs w:val="19"/>
        </w:rPr>
        <w:t xml:space="preserve">           </w:t>
      </w:r>
      <w:r>
        <w:rPr>
          <w:sz w:val="19"/>
          <w:szCs w:val="19"/>
        </w:rPr>
        <w:t xml:space="preserve"> </w:t>
      </w:r>
      <w:r>
        <w:rPr>
          <w:sz w:val="19"/>
          <w:szCs w:val="19"/>
        </w:rPr>
        <w:t xml:space="preserve"> the company can produce cash, pay its debts and </w:t>
      </w:r>
      <w:r>
        <w:rPr>
          <w:b/>
          <w:bCs/>
          <w:color w:val="8186EF"/>
          <w:sz w:val="15"/>
          <w:szCs w:val="15"/>
        </w:rPr>
        <w:t xml:space="preserve"> (7) </w:t>
      </w:r>
      <w:r>
        <w:rPr>
          <w:u w:val="single"/>
          <w:sz w:val="19"/>
          <w:szCs w:val="19"/>
        </w:rPr>
        <w:t xml:space="preserve">           </w:t>
      </w:r>
      <w:r>
        <w:rPr>
          <w:sz w:val="19"/>
          <w:szCs w:val="19"/>
        </w:rPr>
        <w:t xml:space="preserve"> </w:t>
      </w:r>
      <w:r>
        <w:rPr>
          <w:sz w:val="19"/>
          <w:szCs w:val="19"/>
        </w:rPr>
        <w:t xml:space="preserve">, and fund its growth without new financing. </w:t>
      </w:r>
      <w:r>
        <w:rPr>
          <w:sz w:val="19"/>
          <w:szCs w:val="19"/>
        </w:rPr>
        <w:t xml:space="preserve">The statement </w:t>
      </w:r>
      <w:r>
        <w:rPr>
          <w:b/>
          <w:bCs/>
          <w:color w:val="8186EF"/>
          <w:sz w:val="15"/>
          <w:szCs w:val="15"/>
        </w:rPr>
        <w:t xml:space="preserve"> (8) </w:t>
      </w:r>
      <w:r>
        <w:rPr>
          <w:u w:val="single"/>
          <w:sz w:val="19"/>
          <w:szCs w:val="19"/>
        </w:rPr>
        <w:t xml:space="preserve">           </w:t>
      </w:r>
      <w:r>
        <w:rPr>
          <w:sz w:val="19"/>
          <w:szCs w:val="19"/>
        </w:rPr>
        <w:t xml:space="preserve"> </w:t>
      </w:r>
      <w:r>
        <w:rPr>
          <w:sz w:val="19"/>
          <w:szCs w:val="19"/>
        </w:rPr>
        <w:t xml:space="preserve"> the change in cash, cash equivalents and </w:t>
      </w:r>
      <w:r>
        <w:rPr>
          <w:b/>
          <w:bCs/>
          <w:color w:val="8186EF"/>
          <w:sz w:val="15"/>
          <w:szCs w:val="15"/>
        </w:rPr>
        <w:t xml:space="preserve"> (9) </w:t>
      </w:r>
      <w:r>
        <w:rPr>
          <w:u w:val="single"/>
          <w:sz w:val="19"/>
          <w:szCs w:val="19"/>
        </w:rPr>
        <w:t xml:space="preserve">            </w:t>
      </w:r>
      <w:r>
        <w:rPr>
          <w:sz w:val="19"/>
          <w:szCs w:val="19"/>
        </w:rPr>
        <w:t xml:space="preserve"> </w:t>
      </w:r>
      <w:r>
        <w:rPr>
          <w:sz w:val="19"/>
          <w:szCs w:val="19"/>
        </w:rPr>
        <w:t xml:space="preserve"> cash together. </w:t>
      </w:r>
      <w:r>
        <w:rPr>
          <w:sz w:val="19"/>
          <w:szCs w:val="19"/>
        </w:rPr>
        <w:t xml:space="preserve">Cash equivalents are </w:t>
      </w:r>
      <w:r>
        <w:rPr>
          <w:b/>
          <w:bCs/>
          <w:color w:val="8186EF"/>
          <w:sz w:val="15"/>
          <w:szCs w:val="15"/>
        </w:rPr>
        <w:t xml:space="preserve"> (10) </w:t>
      </w:r>
      <w:r>
        <w:rPr>
          <w:u w:val="single"/>
          <w:sz w:val="19"/>
          <w:szCs w:val="19"/>
        </w:rPr>
        <w:t xml:space="preserve">            </w:t>
      </w:r>
      <w:r>
        <w:rPr>
          <w:sz w:val="19"/>
          <w:szCs w:val="19"/>
        </w:rPr>
        <w:t xml:space="preserve"> </w:t>
      </w:r>
      <w:r>
        <w:rPr>
          <w:sz w:val="19"/>
          <w:szCs w:val="19"/>
        </w:rPr>
        <w:t xml:space="preserve">, highly liquid </w:t>
      </w:r>
      <w:r>
        <w:rPr>
          <w:b/>
          <w:bCs/>
          <w:color w:val="8186EF"/>
          <w:sz w:val="15"/>
          <w:szCs w:val="15"/>
        </w:rPr>
        <w:t xml:space="preserve"> (11) </w:t>
      </w:r>
      <w:r>
        <w:rPr>
          <w:u w:val="single"/>
          <w:sz w:val="19"/>
          <w:szCs w:val="19"/>
        </w:rPr>
        <w:t xml:space="preserve">             </w:t>
      </w:r>
      <w:r>
        <w:rPr>
          <w:sz w:val="19"/>
          <w:szCs w:val="19"/>
        </w:rPr>
        <w:t xml:space="preserve"> </w:t>
      </w:r>
      <w:r>
        <w:rPr>
          <w:sz w:val="19"/>
          <w:szCs w:val="19"/>
        </w:rPr>
        <w:t xml:space="preserve"> with an original maturity to the holder of three months or less. </w:t>
      </w:r>
      <w:r>
        <w:rPr>
          <w:sz w:val="19"/>
          <w:szCs w:val="19"/>
        </w:rPr>
        <w:t xml:space="preserve"/>
      </w:r>
      <w:r>
        <w:rPr>
          <w:b/>
          <w:bCs/>
          <w:color w:val="8186EF"/>
          <w:sz w:val="15"/>
          <w:szCs w:val="15"/>
        </w:rPr>
        <w:t xml:space="preserve"> (12) </w:t>
      </w:r>
      <w:r>
        <w:rPr>
          <w:u w:val="single"/>
          <w:sz w:val="19"/>
          <w:szCs w:val="19"/>
        </w:rPr>
        <w:t xml:space="preserve">           </w:t>
      </w:r>
      <w:r>
        <w:rPr>
          <w:sz w:val="19"/>
          <w:szCs w:val="19"/>
        </w:rPr>
        <w:t xml:space="preserve"> </w:t>
      </w:r>
      <w:r>
        <w:rPr>
          <w:sz w:val="19"/>
          <w:szCs w:val="19"/>
        </w:rPr>
        <w:t xml:space="preserve"> money between these </w:t>
      </w:r>
      <w:r>
        <w:rPr>
          <w:b/>
          <w:bCs/>
          <w:color w:val="8186EF"/>
          <w:sz w:val="15"/>
          <w:szCs w:val="15"/>
        </w:rPr>
        <w:t xml:space="preserve"> (13) </w:t>
      </w:r>
      <w:r>
        <w:rPr>
          <w:u w:val="single"/>
          <w:sz w:val="19"/>
          <w:szCs w:val="19"/>
        </w:rPr>
        <w:t xml:space="preserve">            </w:t>
      </w:r>
      <w:r>
        <w:rPr>
          <w:sz w:val="19"/>
          <w:szCs w:val="19"/>
        </w:rPr>
        <w:t xml:space="preserve"> </w:t>
      </w:r>
      <w:r>
        <w:rPr>
          <w:sz w:val="19"/>
          <w:szCs w:val="19"/>
        </w:rPr>
        <w:t xml:space="preserve"> is not a cash flow. </w:t>
      </w:r>
      <w:r>
        <w:rPr>
          <w:sz w:val="19"/>
          <w:szCs w:val="19"/>
        </w:rPr>
        <w:t xml:space="preserve">Cash flows are </w:t>
      </w:r>
      <w:r>
        <w:rPr>
          <w:b/>
          <w:bCs/>
          <w:color w:val="8186EF"/>
          <w:sz w:val="15"/>
          <w:szCs w:val="15"/>
        </w:rPr>
        <w:t xml:space="preserve"> (14) </w:t>
      </w:r>
      <w:r>
        <w:rPr>
          <w:u w:val="single"/>
          <w:sz w:val="19"/>
          <w:szCs w:val="19"/>
        </w:rPr>
        <w:t xml:space="preserve">           </w:t>
      </w:r>
      <w:r>
        <w:rPr>
          <w:sz w:val="19"/>
          <w:szCs w:val="19"/>
        </w:rPr>
        <w:t xml:space="preserve"> </w:t>
      </w:r>
      <w:r>
        <w:rPr>
          <w:sz w:val="19"/>
          <w:szCs w:val="19"/>
        </w:rPr>
        <w:t xml:space="preserve"> into operating activities, investing activities and financing activities. </w:t>
      </w:r>
      <w:r>
        <w:rPr>
          <w:sz w:val="19"/>
          <w:szCs w:val="19"/>
        </w:rPr>
        <w:t xml:space="preserve">Operating activities provided $7,531,100, investing used $4,179,000, and financing provided $1,850,000. </w:t>
      </w:r>
      <w:r>
        <w:rPr>
          <w:sz w:val="19"/>
          <w:szCs w:val="19"/>
        </w:rPr>
        <w:t xml:space="preserve">Cash rose by $5,202,100, to the $7,302,100 shown on the balance sheet. </w:t>
      </w:r>
      <w:r>
        <w:rPr>
          <w:sz w:val="19"/>
          <w:szCs w:val="19"/>
        </w:rPr>
        <w:t xml:space="preserve">Strong operating cash is a good sign, but a reader should also ask where the cash went. </w:t>
      </w:r>
      <w:r>
        <w:rPr>
          <w:sz w:val="19"/>
          <w:szCs w:val="19"/>
        </w:rPr>
        <w:t xml:space="preserve">Orontes spent heavily on equipment and on its investment in Jordan Glass, and it also raised new shares and a bank loan. </w:t>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dividends   ·   restricted   ·   payments   ·   reports   ·   grouped   ·   company's   ·   short-term   ·   because   ·   investments   ·   Moving   ·   explains   ·   categories   ·   whether</w:t>
            </w:r>
          </w:p>
        </w:tc>
      </w:tr>
    </w:tbl>
    <w:p/>
    <w:tbl>
      <w:tblPr>
        <w:tblW w:type="pct" w:w="100%"/>
        <w:tblLayout w:type="fixed"/>
        <w:tblBorders>
          <w:top w:val="single" w:color="353A7C" w:sz="6"/>
          <w:left w:val="single" w:color="353A7C" w:sz="6"/>
          <w:bottom w:val="single" w:color="353A7C" w:sz="6"/>
          <w:right w:val="single" w:color="353A7C" w:sz="6"/>
          <w:insideH w:val="single" w:color="353A7C" w:sz="6"/>
          <w:insideV w:val="single" w:color="353A7C" w:sz="6"/>
        </w:tblBorders>
      </w:tblPr>
      <w:tblGrid>
        <w:gridCol w:w="4992"/>
        <w:gridCol w:w="4608"/>
      </w:tblGrid>
      <w:tr>
        <w:tc>
          <w:tcPr>
            <w:tcW w:type="pct" w:w="5000"/>
            <w:gridSpan w:val="2"/>
            <w:shd w:fill="353A7C" w:val="clear"/>
            <w:tcMar>
              <w:top w:type="dxa" w:w="60"/>
              <w:left w:type="dxa" w:w="120"/>
              <w:bottom w:type="dxa" w:w="60"/>
              <w:right w:type="dxa" w:w="120"/>
            </w:tcMar>
          </w:tcPr>
          <w:p>
            <w:pPr>
              <w:spacing w:before="40" w:after="40"/>
            </w:pPr>
            <w:r>
              <w:rPr>
                <w:b/>
                <w:bCs/>
                <w:color w:val="FFFFFF"/>
                <w:sz w:val="17"/>
                <w:szCs w:val="17"/>
              </w:rPr>
              <w:t xml:space="preserve">Orontes Foods Inc. — statement of cash flows (indirect method), 2025</w:t>
            </w:r>
          </w:p>
        </w:tc>
      </w:tr>
      <w:tr>
        <w:tc>
          <w:tcPr>
            <w:tcW w:type="pct" w:w="2600"/>
            <w:shd w:fill="353A7C" w:val="clear"/>
            <w:tcMar>
              <w:top w:type="dxa" w:w="50"/>
              <w:left w:type="dxa" w:w="110"/>
              <w:bottom w:type="dxa" w:w="50"/>
              <w:right w:type="dxa" w:w="110"/>
            </w:tcMar>
          </w:tcPr>
          <w:p>
            <w:pPr>
              <w:spacing w:before="30" w:after="30"/>
            </w:pPr>
            <w:r>
              <w:rPr>
                <w:b/>
                <w:bCs/>
                <w:color w:val="FFFFFF"/>
                <w:sz w:val="15"/>
                <w:szCs w:val="15"/>
              </w:rPr>
              <w:t xml:space="preserve">Orontes Foods Inc., year ended December 31, 2025</w:t>
            </w:r>
          </w:p>
        </w:tc>
        <w:tc>
          <w:tcPr>
            <w:tcW w:type="pct" w:w="2400"/>
            <w:shd w:fill="353A7C" w:val="clear"/>
            <w:tcMar>
              <w:top w:type="dxa" w:w="50"/>
              <w:left w:type="dxa" w:w="110"/>
              <w:bottom w:type="dxa" w:w="50"/>
              <w:right w:type="dxa" w:w="110"/>
            </w:tcMar>
          </w:tcPr>
          <w:p>
            <w:pPr>
              <w:spacing w:before="30" w:after="30"/>
            </w:pPr>
            <w:r>
              <w:rPr>
                <w:b/>
                <w:bCs/>
                <w:color w:val="FFFFFF"/>
                <w:sz w:val="15"/>
                <w:szCs w:val="15"/>
              </w:rPr>
              <w:t xml:space="preserve">2025</w:t>
            </w:r>
          </w:p>
        </w:tc>
      </w:tr>
      <w:tr>
        <w:tc>
          <w:tcPr>
            <w:tcW w:type="pct" w:w="2600"/>
            <w:tcMar>
              <w:top w:type="dxa" w:w="50"/>
              <w:left w:type="dxa" w:w="110"/>
              <w:bottom w:type="dxa" w:w="50"/>
              <w:right w:type="dxa" w:w="110"/>
            </w:tcMar>
          </w:tcPr>
          <w:p>
            <w:pPr>
              <w:spacing w:before="28" w:after="28"/>
            </w:pPr>
            <w:r>
              <w:rPr>
                <w:sz w:val="15"/>
                <w:szCs w:val="15"/>
              </w:rPr>
              <w:t xml:space="preserve">Cash flows from operating activities</w:t>
            </w:r>
          </w:p>
        </w:tc>
        <w:tc>
          <w:tcPr>
            <w:tcW w:type="pct" w:w="2400"/>
            <w:tcMar>
              <w:top w:type="dxa" w:w="50"/>
              <w:left w:type="dxa" w:w="110"/>
              <w:bottom w:type="dxa" w:w="50"/>
              <w:right w:type="dxa" w:w="110"/>
            </w:tcMar>
          </w:tcPr>
          <w:p>
            <w:pPr>
              <w:spacing w:before="28" w:after="28"/>
            </w:pPr>
            <w:r>
              <w:rPr>
                <w:sz w:val="15"/>
                <w:szCs w:val="15"/>
              </w:rPr>
              <w:t xml:space="preserve"> </w:t>
            </w:r>
          </w:p>
        </w:tc>
      </w:tr>
      <w:tr>
        <w:tc>
          <w:tcPr>
            <w:tcW w:type="pct" w:w="2600"/>
            <w:shd w:fill="FBFAF6" w:val="clear"/>
            <w:tcMar>
              <w:top w:type="dxa" w:w="50"/>
              <w:left w:type="dxa" w:w="110"/>
              <w:bottom w:type="dxa" w:w="50"/>
              <w:right w:type="dxa" w:w="110"/>
            </w:tcMar>
          </w:tcPr>
          <w:p>
            <w:pPr>
              <w:spacing w:before="28" w:after="28"/>
            </w:pPr>
            <w:r>
              <w:rPr>
                <w:sz w:val="15"/>
                <w:szCs w:val="15"/>
              </w:rPr>
              <w:t xml:space="preserve">Net income</w:t>
            </w:r>
          </w:p>
        </w:tc>
        <w:tc>
          <w:tcPr>
            <w:tcW w:type="pct" w:w="2400"/>
            <w:shd w:fill="FBFAF6" w:val="clear"/>
            <w:tcMar>
              <w:top w:type="dxa" w:w="50"/>
              <w:left w:type="dxa" w:w="110"/>
              <w:bottom w:type="dxa" w:w="50"/>
              <w:right w:type="dxa" w:w="110"/>
            </w:tcMar>
          </w:tcPr>
          <w:p>
            <w:pPr>
              <w:spacing w:before="28" w:after="28"/>
            </w:pPr>
            <w:r>
              <w:rPr>
                <w:sz w:val="15"/>
                <w:szCs w:val="15"/>
              </w:rPr>
              <w:t xml:space="preserve">2,969,100</w:t>
            </w:r>
          </w:p>
        </w:tc>
      </w:tr>
      <w:tr>
        <w:tc>
          <w:tcPr>
            <w:tcW w:type="pct" w:w="2600"/>
            <w:tcMar>
              <w:top w:type="dxa" w:w="50"/>
              <w:left w:type="dxa" w:w="110"/>
              <w:bottom w:type="dxa" w:w="50"/>
              <w:right w:type="dxa" w:w="110"/>
            </w:tcMar>
          </w:tcPr>
          <w:p>
            <w:pPr>
              <w:spacing w:before="28" w:after="28"/>
            </w:pPr>
            <w:r>
              <w:rPr>
                <w:sz w:val="15"/>
                <w:szCs w:val="15"/>
              </w:rPr>
              <w:t xml:space="preserve">Adjustments to reconcile net income to net cash from operating activities:</w:t>
            </w:r>
          </w:p>
        </w:tc>
        <w:tc>
          <w:tcPr>
            <w:tcW w:type="pct" w:w="2400"/>
            <w:tcMar>
              <w:top w:type="dxa" w:w="50"/>
              <w:left w:type="dxa" w:w="110"/>
              <w:bottom w:type="dxa" w:w="50"/>
              <w:right w:type="dxa" w:w="110"/>
            </w:tcMar>
          </w:tcPr>
          <w:p>
            <w:pPr>
              <w:spacing w:before="28" w:after="28"/>
            </w:pPr>
            <w:r>
              <w:rPr>
                <w:sz w:val="15"/>
                <w:szCs w:val="15"/>
              </w:rPr>
              <w:t xml:space="preserve"> </w:t>
            </w:r>
          </w:p>
        </w:tc>
      </w:tr>
      <w:tr>
        <w:tc>
          <w:tcPr>
            <w:tcW w:type="pct" w:w="2600"/>
            <w:shd w:fill="FFFFFF" w:val="clear"/>
            <w:tcMar>
              <w:top w:type="dxa" w:w="50"/>
              <w:left w:type="dxa" w:w="110"/>
              <w:bottom w:type="dxa" w:w="50"/>
              <w:right w:type="dxa" w:w="110"/>
            </w:tcMar>
          </w:tcPr>
          <w:p>
            <w:pPr>
              <w:spacing w:before="46" w:after="46"/>
            </w:pPr>
            <w:r>
              <w:rPr>
                <w:b/>
                <w:bCs/>
                <w:color w:val="8186EF"/>
                <w:sz w:val="14"/>
                <w:szCs w:val="14"/>
              </w:rPr>
              <w:t xml:space="preserve">(15)</w:t>
            </w:r>
          </w:p>
        </w:tc>
        <w:tc>
          <w:tcPr>
            <w:tcW w:type="pct" w:w="2400"/>
            <w:shd w:fill="FBFAF6" w:val="clear"/>
            <w:tcMar>
              <w:top w:type="dxa" w:w="50"/>
              <w:left w:type="dxa" w:w="110"/>
              <w:bottom w:type="dxa" w:w="50"/>
              <w:right w:type="dxa" w:w="110"/>
            </w:tcMar>
          </w:tcPr>
          <w:p>
            <w:pPr>
              <w:spacing w:before="28" w:after="28"/>
            </w:pPr>
            <w:r>
              <w:rPr>
                <w:sz w:val="15"/>
                <w:szCs w:val="15"/>
              </w:rPr>
              <w:t xml:space="preserve">2,100,000</w:t>
            </w:r>
          </w:p>
        </w:tc>
      </w:tr>
      <w:tr>
        <w:tc>
          <w:tcPr>
            <w:tcW w:type="pct" w:w="2600"/>
            <w:tcMar>
              <w:top w:type="dxa" w:w="50"/>
              <w:left w:type="dxa" w:w="110"/>
              <w:bottom w:type="dxa" w:w="50"/>
              <w:right w:type="dxa" w:w="110"/>
            </w:tcMar>
          </w:tcPr>
          <w:p>
            <w:pPr>
              <w:spacing w:before="28" w:after="28"/>
            </w:pPr>
            <w:r>
              <w:rPr>
                <w:sz w:val="15"/>
                <w:szCs w:val="15"/>
              </w:rPr>
              <w:t xml:space="preserve">Impairment losses</w:t>
            </w:r>
          </w:p>
        </w:tc>
        <w:tc>
          <w:tcPr>
            <w:tcW w:type="pct" w:w="2400"/>
            <w:tcMar>
              <w:top w:type="dxa" w:w="50"/>
              <w:left w:type="dxa" w:w="110"/>
              <w:bottom w:type="dxa" w:w="50"/>
              <w:right w:type="dxa" w:w="110"/>
            </w:tcMar>
          </w:tcPr>
          <w:p>
            <w:pPr>
              <w:spacing w:before="28" w:after="28"/>
            </w:pPr>
            <w:r>
              <w:rPr>
                <w:sz w:val="15"/>
                <w:szCs w:val="15"/>
              </w:rPr>
              <w:t xml:space="preserve">2,724,000</w:t>
            </w:r>
          </w:p>
        </w:tc>
      </w:tr>
      <w:tr>
        <w:tc>
          <w:tcPr>
            <w:tcW w:type="pct" w:w="2600"/>
            <w:shd w:fill="FBFAF6" w:val="clear"/>
            <w:tcMar>
              <w:top w:type="dxa" w:w="50"/>
              <w:left w:type="dxa" w:w="110"/>
              <w:bottom w:type="dxa" w:w="50"/>
              <w:right w:type="dxa" w:w="110"/>
            </w:tcMar>
          </w:tcPr>
          <w:p>
            <w:pPr>
              <w:spacing w:before="28" w:after="28"/>
            </w:pPr>
            <w:r>
              <w:rPr>
                <w:sz w:val="15"/>
                <w:szCs w:val="15"/>
              </w:rPr>
              <w:t xml:space="preserve">Equity-method income</w:t>
            </w:r>
          </w:p>
        </w:tc>
        <w:tc>
          <w:tcPr>
            <w:tcW w:type="pct" w:w="2400"/>
            <w:shd w:fill="FBFAF6" w:val="clear"/>
            <w:tcMar>
              <w:top w:type="dxa" w:w="50"/>
              <w:left w:type="dxa" w:w="110"/>
              <w:bottom w:type="dxa" w:w="50"/>
              <w:right w:type="dxa" w:w="110"/>
            </w:tcMar>
          </w:tcPr>
          <w:p>
            <w:pPr>
              <w:spacing w:before="28" w:after="28"/>
            </w:pPr>
            <w:r>
              <w:rPr>
                <w:sz w:val="15"/>
                <w:szCs w:val="15"/>
              </w:rPr>
              <w:t xml:space="preserve">(177,000)</w:t>
            </w:r>
          </w:p>
        </w:tc>
      </w:tr>
      <w:tr>
        <w:tc>
          <w:tcPr>
            <w:tcW w:type="pct" w:w="2600"/>
            <w:tcMar>
              <w:top w:type="dxa" w:w="50"/>
              <w:left w:type="dxa" w:w="110"/>
              <w:bottom w:type="dxa" w:w="50"/>
              <w:right w:type="dxa" w:w="110"/>
            </w:tcMar>
          </w:tcPr>
          <w:p>
            <w:pPr>
              <w:spacing w:before="28" w:after="28"/>
            </w:pPr>
            <w:r>
              <w:rPr>
                <w:sz w:val="15"/>
                <w:szCs w:val="15"/>
              </w:rPr>
              <w:t xml:space="preserve">Dividends from equity-method investees</w:t>
            </w:r>
          </w:p>
        </w:tc>
        <w:tc>
          <w:tcPr>
            <w:tcW w:type="pct" w:w="2400"/>
            <w:tcMar>
              <w:top w:type="dxa" w:w="50"/>
              <w:left w:type="dxa" w:w="110"/>
              <w:bottom w:type="dxa" w:w="50"/>
              <w:right w:type="dxa" w:w="110"/>
            </w:tcMar>
          </w:tcPr>
          <w:p>
            <w:pPr>
              <w:spacing w:before="28" w:after="28"/>
            </w:pPr>
            <w:r>
              <w:rPr>
                <w:sz w:val="15"/>
                <w:szCs w:val="15"/>
              </w:rPr>
              <w:t xml:space="preserve">70,000</w:t>
            </w:r>
          </w:p>
        </w:tc>
      </w:tr>
      <w:tr>
        <w:tc>
          <w:tcPr>
            <w:tcW w:type="pct" w:w="2600"/>
            <w:shd w:fill="FFFFFF" w:val="clear"/>
            <w:tcMar>
              <w:top w:type="dxa" w:w="50"/>
              <w:left w:type="dxa" w:w="110"/>
              <w:bottom w:type="dxa" w:w="50"/>
              <w:right w:type="dxa" w:w="110"/>
            </w:tcMar>
          </w:tcPr>
          <w:p>
            <w:pPr>
              <w:spacing w:before="46" w:after="46"/>
            </w:pPr>
            <w:r>
              <w:rPr>
                <w:b/>
                <w:bCs/>
                <w:color w:val="8186EF"/>
                <w:sz w:val="14"/>
                <w:szCs w:val="14"/>
              </w:rPr>
              <w:t xml:space="preserve">(16)</w:t>
            </w:r>
          </w:p>
        </w:tc>
        <w:tc>
          <w:tcPr>
            <w:tcW w:type="pct" w:w="2400"/>
            <w:shd w:fill="FBFAF6" w:val="clear"/>
            <w:tcMar>
              <w:top w:type="dxa" w:w="50"/>
              <w:left w:type="dxa" w:w="110"/>
              <w:bottom w:type="dxa" w:w="50"/>
              <w:right w:type="dxa" w:w="110"/>
            </w:tcMar>
          </w:tcPr>
          <w:p>
            <w:pPr>
              <w:spacing w:before="28" w:after="28"/>
            </w:pPr>
            <w:r>
              <w:rPr>
                <w:sz w:val="15"/>
                <w:szCs w:val="15"/>
              </w:rPr>
              <w:t xml:space="preserve">(3,000)</w:t>
            </w:r>
          </w:p>
        </w:tc>
      </w:tr>
      <w:tr>
        <w:tc>
          <w:tcPr>
            <w:tcW w:type="pct" w:w="2600"/>
            <w:shd w:fill="FFFFFF" w:val="clear"/>
            <w:tcMar>
              <w:top w:type="dxa" w:w="50"/>
              <w:left w:type="dxa" w:w="110"/>
              <w:bottom w:type="dxa" w:w="50"/>
              <w:right w:type="dxa" w:w="110"/>
            </w:tcMar>
          </w:tcPr>
          <w:p>
            <w:pPr>
              <w:spacing w:before="46" w:after="46"/>
            </w:pPr>
            <w:r>
              <w:rPr>
                <w:b/>
                <w:bCs/>
                <w:color w:val="8186EF"/>
                <w:sz w:val="14"/>
                <w:szCs w:val="14"/>
              </w:rPr>
              <w:t xml:space="preserve">(17)</w:t>
            </w:r>
          </w:p>
        </w:tc>
        <w:tc>
          <w:tcPr>
            <w:tcW w:type="pct" w:w="2400"/>
            <w:tcMar>
              <w:top w:type="dxa" w:w="50"/>
              <w:left w:type="dxa" w:w="110"/>
              <w:bottom w:type="dxa" w:w="50"/>
              <w:right w:type="dxa" w:w="110"/>
            </w:tcMar>
          </w:tcPr>
          <w:p>
            <w:pPr>
              <w:spacing w:before="28" w:after="28"/>
            </w:pPr>
            <w:r>
              <w:rPr>
                <w:sz w:val="15"/>
                <w:szCs w:val="15"/>
              </w:rPr>
              <w:t xml:space="preserve">(4,000)</w:t>
            </w:r>
          </w:p>
        </w:tc>
      </w:tr>
      <w:tr>
        <w:tc>
          <w:tcPr>
            <w:tcW w:type="pct" w:w="2600"/>
            <w:shd w:fill="FBFAF6" w:val="clear"/>
            <w:tcMar>
              <w:top w:type="dxa" w:w="50"/>
              <w:left w:type="dxa" w:w="110"/>
              <w:bottom w:type="dxa" w:w="50"/>
              <w:right w:type="dxa" w:w="110"/>
            </w:tcMar>
          </w:tcPr>
          <w:p>
            <w:pPr>
              <w:spacing w:before="28" w:after="28"/>
            </w:pPr>
            <w:r>
              <w:rPr>
                <w:sz w:val="15"/>
                <w:szCs w:val="15"/>
              </w:rPr>
              <w:t xml:space="preserve">Deferred income taxes</w:t>
            </w:r>
          </w:p>
        </w:tc>
        <w:tc>
          <w:tcPr>
            <w:tcW w:type="pct" w:w="2400"/>
            <w:shd w:fill="FBFAF6" w:val="clear"/>
            <w:tcMar>
              <w:top w:type="dxa" w:w="50"/>
              <w:left w:type="dxa" w:w="110"/>
              <w:bottom w:type="dxa" w:w="50"/>
              <w:right w:type="dxa" w:w="110"/>
            </w:tcMar>
          </w:tcPr>
          <w:p>
            <w:pPr>
              <w:spacing w:before="28" w:after="28"/>
            </w:pPr>
            <w:r>
              <w:rPr>
                <w:sz w:val="15"/>
                <w:szCs w:val="15"/>
              </w:rPr>
              <w:t xml:space="preserve">100,000</w:t>
            </w:r>
          </w:p>
        </w:tc>
      </w:tr>
      <w:tr>
        <w:tc>
          <w:tcPr>
            <w:tcW w:type="pct" w:w="2600"/>
            <w:shd w:fill="FFFFFF" w:val="clear"/>
            <w:tcMar>
              <w:top w:type="dxa" w:w="50"/>
              <w:left w:type="dxa" w:w="110"/>
              <w:bottom w:type="dxa" w:w="50"/>
              <w:right w:type="dxa" w:w="110"/>
            </w:tcMar>
          </w:tcPr>
          <w:p>
            <w:pPr>
              <w:spacing w:before="46" w:after="46"/>
            </w:pPr>
            <w:r>
              <w:rPr>
                <w:b/>
                <w:bCs/>
                <w:color w:val="8186EF"/>
                <w:sz w:val="14"/>
                <w:szCs w:val="14"/>
              </w:rPr>
              <w:t xml:space="preserve">(18)</w:t>
            </w:r>
          </w:p>
        </w:tc>
        <w:tc>
          <w:tcPr>
            <w:tcW w:type="pct" w:w="2400"/>
            <w:tcMar>
              <w:top w:type="dxa" w:w="50"/>
              <w:left w:type="dxa" w:w="110"/>
              <w:bottom w:type="dxa" w:w="50"/>
              <w:right w:type="dxa" w:w="110"/>
            </w:tcMar>
          </w:tcPr>
          <w:p>
            <w:pPr>
              <w:spacing w:before="28" w:after="28"/>
            </w:pPr>
            <w:r>
              <w:rPr>
                <w:sz w:val="15"/>
                <w:szCs w:val="15"/>
              </w:rPr>
              <w:t xml:space="preserve">(384,000)</w:t>
            </w:r>
          </w:p>
        </w:tc>
      </w:tr>
      <w:tr>
        <w:tc>
          <w:tcPr>
            <w:tcW w:type="pct" w:w="2600"/>
            <w:shd w:fill="FFFFFF" w:val="clear"/>
            <w:tcMar>
              <w:top w:type="dxa" w:w="50"/>
              <w:left w:type="dxa" w:w="110"/>
              <w:bottom w:type="dxa" w:w="50"/>
              <w:right w:type="dxa" w:w="110"/>
            </w:tcMar>
          </w:tcPr>
          <w:p>
            <w:pPr>
              <w:spacing w:before="46" w:after="46"/>
            </w:pPr>
            <w:r>
              <w:rPr>
                <w:b/>
                <w:bCs/>
                <w:color w:val="8186EF"/>
                <w:sz w:val="14"/>
                <w:szCs w:val="14"/>
              </w:rPr>
              <w:t xml:space="preserve">(19)</w:t>
            </w:r>
          </w:p>
        </w:tc>
        <w:tc>
          <w:tcPr>
            <w:tcW w:type="pct" w:w="2400"/>
            <w:shd w:fill="FBFAF6" w:val="clear"/>
            <w:tcMar>
              <w:top w:type="dxa" w:w="50"/>
              <w:left w:type="dxa" w:w="110"/>
              <w:bottom w:type="dxa" w:w="50"/>
              <w:right w:type="dxa" w:w="110"/>
            </w:tcMar>
          </w:tcPr>
          <w:p>
            <w:pPr>
              <w:spacing w:before="28" w:after="28"/>
            </w:pPr>
            <w:r>
              <w:rPr>
                <w:sz w:val="15"/>
                <w:szCs w:val="15"/>
              </w:rPr>
              <w:t xml:space="preserve">(150,000)</w:t>
            </w:r>
          </w:p>
        </w:tc>
      </w:tr>
      <w:tr>
        <w:tc>
          <w:tcPr>
            <w:tcW w:type="pct" w:w="2600"/>
            <w:tcMar>
              <w:top w:type="dxa" w:w="50"/>
              <w:left w:type="dxa" w:w="110"/>
              <w:bottom w:type="dxa" w:w="50"/>
              <w:right w:type="dxa" w:w="110"/>
            </w:tcMar>
          </w:tcPr>
          <w:p>
            <w:pPr>
              <w:spacing w:before="28" w:after="28"/>
            </w:pPr>
            <w:r>
              <w:rPr>
                <w:sz w:val="15"/>
                <w:szCs w:val="15"/>
              </w:rPr>
              <w:t xml:space="preserve">Increase in prepaid expenses</w:t>
            </w:r>
          </w:p>
        </w:tc>
        <w:tc>
          <w:tcPr>
            <w:tcW w:type="pct" w:w="2400"/>
            <w:tcMar>
              <w:top w:type="dxa" w:w="50"/>
              <w:left w:type="dxa" w:w="110"/>
              <w:bottom w:type="dxa" w:w="50"/>
              <w:right w:type="dxa" w:w="110"/>
            </w:tcMar>
          </w:tcPr>
          <w:p>
            <w:pPr>
              <w:spacing w:before="28" w:after="28"/>
            </w:pPr>
            <w:r>
              <w:rPr>
                <w:sz w:val="15"/>
                <w:szCs w:val="15"/>
              </w:rPr>
              <w:t xml:space="preserve">(24,000)</w:t>
            </w:r>
          </w:p>
        </w:tc>
      </w:tr>
      <w:tr>
        <w:tc>
          <w:tcPr>
            <w:tcW w:type="pct" w:w="2600"/>
            <w:shd w:fill="FFFFFF" w:val="clear"/>
            <w:tcMar>
              <w:top w:type="dxa" w:w="50"/>
              <w:left w:type="dxa" w:w="110"/>
              <w:bottom w:type="dxa" w:w="50"/>
              <w:right w:type="dxa" w:w="110"/>
            </w:tcMar>
          </w:tcPr>
          <w:p>
            <w:pPr>
              <w:spacing w:before="46" w:after="46"/>
            </w:pPr>
            <w:r>
              <w:rPr>
                <w:b/>
                <w:bCs/>
                <w:color w:val="8186EF"/>
                <w:sz w:val="14"/>
                <w:szCs w:val="14"/>
              </w:rPr>
              <w:t xml:space="preserve">(20)</w:t>
            </w:r>
          </w:p>
        </w:tc>
        <w:tc>
          <w:tcPr>
            <w:tcW w:type="pct" w:w="2400"/>
            <w:shd w:fill="FBFAF6" w:val="clear"/>
            <w:tcMar>
              <w:top w:type="dxa" w:w="50"/>
              <w:left w:type="dxa" w:w="110"/>
              <w:bottom w:type="dxa" w:w="50"/>
              <w:right w:type="dxa" w:w="110"/>
            </w:tcMar>
          </w:tcPr>
          <w:p>
            <w:pPr>
              <w:spacing w:before="28" w:after="28"/>
            </w:pPr>
            <w:r>
              <w:rPr>
                <w:sz w:val="15"/>
                <w:szCs w:val="15"/>
              </w:rPr>
              <w:t xml:space="preserve">150,000</w:t>
            </w:r>
          </w:p>
        </w:tc>
      </w:tr>
      <w:tr>
        <w:tc>
          <w:tcPr>
            <w:tcW w:type="pct" w:w="2600"/>
            <w:shd w:fill="FFFFFF" w:val="clear"/>
            <w:tcMar>
              <w:top w:type="dxa" w:w="50"/>
              <w:left w:type="dxa" w:w="110"/>
              <w:bottom w:type="dxa" w:w="50"/>
              <w:right w:type="dxa" w:w="110"/>
            </w:tcMar>
          </w:tcPr>
          <w:p>
            <w:pPr>
              <w:spacing w:before="46" w:after="46"/>
            </w:pPr>
            <w:r>
              <w:rPr>
                <w:b/>
                <w:bCs/>
                <w:color w:val="8186EF"/>
                <w:sz w:val="14"/>
                <w:szCs w:val="14"/>
              </w:rPr>
              <w:t xml:space="preserve">(21)</w:t>
            </w:r>
          </w:p>
        </w:tc>
        <w:tc>
          <w:tcPr>
            <w:tcW w:type="pct" w:w="2400"/>
            <w:tcMar>
              <w:top w:type="dxa" w:w="50"/>
              <w:left w:type="dxa" w:w="110"/>
              <w:bottom w:type="dxa" w:w="50"/>
              <w:right w:type="dxa" w:w="110"/>
            </w:tcMar>
          </w:tcPr>
          <w:p>
            <w:pPr>
              <w:spacing w:before="28" w:after="28"/>
            </w:pPr>
            <w:r>
              <w:rPr>
                <w:sz w:val="15"/>
                <w:szCs w:val="15"/>
              </w:rPr>
              <w:t xml:space="preserve">50,000</w:t>
            </w:r>
          </w:p>
        </w:tc>
      </w:tr>
      <w:tr>
        <w:tc>
          <w:tcPr>
            <w:tcW w:type="pct" w:w="2600"/>
            <w:shd w:fill="FBFAF6" w:val="clear"/>
            <w:tcMar>
              <w:top w:type="dxa" w:w="50"/>
              <w:left w:type="dxa" w:w="110"/>
              <w:bottom w:type="dxa" w:w="50"/>
              <w:right w:type="dxa" w:w="110"/>
            </w:tcMar>
          </w:tcPr>
          <w:p>
            <w:pPr>
              <w:spacing w:before="28" w:after="28"/>
            </w:pPr>
            <w:r>
              <w:rPr>
                <w:sz w:val="15"/>
                <w:szCs w:val="15"/>
              </w:rPr>
              <w:t xml:space="preserve">Increase in income taxes payable</w:t>
            </w:r>
          </w:p>
        </w:tc>
        <w:tc>
          <w:tcPr>
            <w:tcW w:type="pct" w:w="2400"/>
            <w:shd w:fill="FBFAF6" w:val="clear"/>
            <w:tcMar>
              <w:top w:type="dxa" w:w="50"/>
              <w:left w:type="dxa" w:w="110"/>
              <w:bottom w:type="dxa" w:w="50"/>
              <w:right w:type="dxa" w:w="110"/>
            </w:tcMar>
          </w:tcPr>
          <w:p>
            <w:pPr>
              <w:spacing w:before="28" w:after="28"/>
            </w:pPr>
            <w:r>
              <w:rPr>
                <w:sz w:val="15"/>
                <w:szCs w:val="15"/>
              </w:rPr>
              <w:t xml:space="preserve">50,000</w:t>
            </w:r>
          </w:p>
        </w:tc>
      </w:tr>
      <w:tr>
        <w:tc>
          <w:tcPr>
            <w:tcW w:type="pct" w:w="2600"/>
            <w:tcMar>
              <w:top w:type="dxa" w:w="50"/>
              <w:left w:type="dxa" w:w="110"/>
              <w:bottom w:type="dxa" w:w="50"/>
              <w:right w:type="dxa" w:w="110"/>
            </w:tcMar>
          </w:tcPr>
          <w:p>
            <w:pPr>
              <w:spacing w:before="28" w:after="28"/>
            </w:pPr>
            <w:r>
              <w:rPr>
                <w:sz w:val="15"/>
                <w:szCs w:val="15"/>
              </w:rPr>
              <w:t xml:space="preserve">Increase in contract liabilities</w:t>
            </w:r>
          </w:p>
        </w:tc>
        <w:tc>
          <w:tcPr>
            <w:tcW w:type="pct" w:w="2400"/>
            <w:tcMar>
              <w:top w:type="dxa" w:w="50"/>
              <w:left w:type="dxa" w:w="110"/>
              <w:bottom w:type="dxa" w:w="50"/>
              <w:right w:type="dxa" w:w="110"/>
            </w:tcMar>
          </w:tcPr>
          <w:p>
            <w:pPr>
              <w:spacing w:before="28" w:after="28"/>
            </w:pPr>
            <w:r>
              <w:rPr>
                <w:sz w:val="15"/>
                <w:szCs w:val="15"/>
              </w:rPr>
              <w:t xml:space="preserve">60,000</w:t>
            </w:r>
          </w:p>
        </w:tc>
      </w:tr>
      <w:tr>
        <w:tc>
          <w:tcPr>
            <w:tcW w:type="pct" w:w="2600"/>
            <w:shd w:fill="FBFAF6" w:val="clear"/>
            <w:tcMar>
              <w:top w:type="dxa" w:w="50"/>
              <w:left w:type="dxa" w:w="110"/>
              <w:bottom w:type="dxa" w:w="50"/>
              <w:right w:type="dxa" w:w="110"/>
            </w:tcMar>
          </w:tcPr>
          <w:p>
            <w:pPr>
              <w:spacing w:before="28" w:after="28"/>
            </w:pPr>
            <w:r>
              <w:rPr>
                <w:sz w:val="15"/>
                <w:szCs w:val="15"/>
              </w:rPr>
              <w:t xml:space="preserve">Net cash provided by operating activities</w:t>
            </w:r>
          </w:p>
        </w:tc>
        <w:tc>
          <w:tcPr>
            <w:tcW w:type="pct" w:w="2400"/>
            <w:shd w:fill="FBFAF6" w:val="clear"/>
            <w:tcMar>
              <w:top w:type="dxa" w:w="50"/>
              <w:left w:type="dxa" w:w="110"/>
              <w:bottom w:type="dxa" w:w="50"/>
              <w:right w:type="dxa" w:w="110"/>
            </w:tcMar>
          </w:tcPr>
          <w:p>
            <w:pPr>
              <w:spacing w:before="28" w:after="28"/>
            </w:pPr>
            <w:r>
              <w:rPr>
                <w:sz w:val="15"/>
                <w:szCs w:val="15"/>
              </w:rPr>
              <w:t xml:space="preserve">7,531,100</w:t>
            </w:r>
          </w:p>
        </w:tc>
      </w:tr>
      <w:tr>
        <w:tc>
          <w:tcPr>
            <w:tcW w:type="pct" w:w="2600"/>
            <w:tcMar>
              <w:top w:type="dxa" w:w="50"/>
              <w:left w:type="dxa" w:w="110"/>
              <w:bottom w:type="dxa" w:w="50"/>
              <w:right w:type="dxa" w:w="110"/>
            </w:tcMar>
          </w:tcPr>
          <w:p>
            <w:pPr>
              <w:spacing w:before="28" w:after="28"/>
            </w:pPr>
            <w:r>
              <w:rPr>
                <w:sz w:val="15"/>
                <w:szCs w:val="15"/>
              </w:rPr>
              <w:t xml:space="preserve">Cash flows from investing activities</w:t>
            </w:r>
          </w:p>
        </w:tc>
        <w:tc>
          <w:tcPr>
            <w:tcW w:type="pct" w:w="2400"/>
            <w:tcMar>
              <w:top w:type="dxa" w:w="50"/>
              <w:left w:type="dxa" w:w="110"/>
              <w:bottom w:type="dxa" w:w="50"/>
              <w:right w:type="dxa" w:w="110"/>
            </w:tcMar>
          </w:tcPr>
          <w:p>
            <w:pPr>
              <w:spacing w:before="28" w:after="28"/>
            </w:pPr>
            <w:r>
              <w:rPr>
                <w:sz w:val="15"/>
                <w:szCs w:val="15"/>
              </w:rPr>
              <w:t xml:space="preserve"> </w:t>
            </w:r>
          </w:p>
        </w:tc>
      </w:tr>
      <w:tr>
        <w:tc>
          <w:tcPr>
            <w:tcW w:type="pct" w:w="2600"/>
            <w:shd w:fill="FBFAF6" w:val="clear"/>
            <w:tcMar>
              <w:top w:type="dxa" w:w="50"/>
              <w:left w:type="dxa" w:w="110"/>
              <w:bottom w:type="dxa" w:w="50"/>
              <w:right w:type="dxa" w:w="110"/>
            </w:tcMar>
          </w:tcPr>
          <w:p>
            <w:pPr>
              <w:spacing w:before="28" w:after="28"/>
            </w:pPr>
            <w:r>
              <w:rPr>
                <w:sz w:val="15"/>
                <w:szCs w:val="15"/>
              </w:rPr>
              <w:t xml:space="preserve">Purchases of property, plant and equipment</w:t>
            </w:r>
          </w:p>
        </w:tc>
        <w:tc>
          <w:tcPr>
            <w:tcW w:type="pct" w:w="2400"/>
            <w:shd w:fill="FBFAF6" w:val="clear"/>
            <w:tcMar>
              <w:top w:type="dxa" w:w="50"/>
              <w:left w:type="dxa" w:w="110"/>
              <w:bottom w:type="dxa" w:w="50"/>
              <w:right w:type="dxa" w:w="110"/>
            </w:tcMar>
          </w:tcPr>
          <w:p>
            <w:pPr>
              <w:spacing w:before="28" w:after="28"/>
            </w:pPr>
            <w:r>
              <w:rPr>
                <w:sz w:val="15"/>
                <w:szCs w:val="15"/>
              </w:rPr>
              <w:t xml:space="preserve">(3,000,000)</w:t>
            </w:r>
          </w:p>
        </w:tc>
      </w:tr>
      <w:tr>
        <w:tc>
          <w:tcPr>
            <w:tcW w:type="pct" w:w="2600"/>
            <w:tcMar>
              <w:top w:type="dxa" w:w="50"/>
              <w:left w:type="dxa" w:w="110"/>
              <w:bottom w:type="dxa" w:w="50"/>
              <w:right w:type="dxa" w:w="110"/>
            </w:tcMar>
          </w:tcPr>
          <w:p>
            <w:pPr>
              <w:spacing w:before="28" w:after="28"/>
            </w:pPr>
            <w:r>
              <w:rPr>
                <w:sz w:val="15"/>
                <w:szCs w:val="15"/>
              </w:rPr>
              <w:t xml:space="preserve">Proceeds from sale of equipment</w:t>
            </w:r>
          </w:p>
        </w:tc>
        <w:tc>
          <w:tcPr>
            <w:tcW w:type="pct" w:w="2400"/>
            <w:tcMar>
              <w:top w:type="dxa" w:w="50"/>
              <w:left w:type="dxa" w:w="110"/>
              <w:bottom w:type="dxa" w:w="50"/>
              <w:right w:type="dxa" w:w="110"/>
            </w:tcMar>
          </w:tcPr>
          <w:p>
            <w:pPr>
              <w:spacing w:before="28" w:after="28"/>
            </w:pPr>
            <w:r>
              <w:rPr>
                <w:sz w:val="15"/>
                <w:szCs w:val="15"/>
              </w:rPr>
              <w:t xml:space="preserve">21,000</w:t>
            </w:r>
          </w:p>
        </w:tc>
      </w:tr>
      <w:tr>
        <w:tc>
          <w:tcPr>
            <w:tcW w:type="pct" w:w="2600"/>
            <w:shd w:fill="FBFAF6" w:val="clear"/>
            <w:tcMar>
              <w:top w:type="dxa" w:w="50"/>
              <w:left w:type="dxa" w:w="110"/>
              <w:bottom w:type="dxa" w:w="50"/>
              <w:right w:type="dxa" w:w="110"/>
            </w:tcMar>
          </w:tcPr>
          <w:p>
            <w:pPr>
              <w:spacing w:before="28" w:after="28"/>
            </w:pPr>
            <w:r>
              <w:rPr>
                <w:sz w:val="15"/>
                <w:szCs w:val="15"/>
              </w:rPr>
              <w:t xml:space="preserve">Investment in Jordan Glass Co.</w:t>
            </w:r>
          </w:p>
        </w:tc>
        <w:tc>
          <w:tcPr>
            <w:tcW w:type="pct" w:w="2400"/>
            <w:shd w:fill="FBFAF6" w:val="clear"/>
            <w:tcMar>
              <w:top w:type="dxa" w:w="50"/>
              <w:left w:type="dxa" w:w="110"/>
              <w:bottom w:type="dxa" w:w="50"/>
              <w:right w:type="dxa" w:w="110"/>
            </w:tcMar>
          </w:tcPr>
          <w:p>
            <w:pPr>
              <w:spacing w:before="28" w:after="28"/>
            </w:pPr>
            <w:r>
              <w:rPr>
                <w:sz w:val="15"/>
                <w:szCs w:val="15"/>
              </w:rPr>
              <w:t xml:space="preserve">(1,200,000)</w:t>
            </w:r>
          </w:p>
        </w:tc>
      </w:tr>
      <w:tr>
        <w:tc>
          <w:tcPr>
            <w:tcW w:type="pct" w:w="2600"/>
            <w:tcMar>
              <w:top w:type="dxa" w:w="50"/>
              <w:left w:type="dxa" w:w="110"/>
              <w:bottom w:type="dxa" w:w="50"/>
              <w:right w:type="dxa" w:w="110"/>
            </w:tcMar>
          </w:tcPr>
          <w:p>
            <w:pPr>
              <w:spacing w:before="28" w:after="28"/>
            </w:pPr>
            <w:r>
              <w:rPr>
                <w:sz w:val="15"/>
                <w:szCs w:val="15"/>
              </w:rPr>
              <w:t xml:space="preserve">Net cash used in investing activities</w:t>
            </w:r>
          </w:p>
        </w:tc>
        <w:tc>
          <w:tcPr>
            <w:tcW w:type="pct" w:w="2400"/>
            <w:tcMar>
              <w:top w:type="dxa" w:w="50"/>
              <w:left w:type="dxa" w:w="110"/>
              <w:bottom w:type="dxa" w:w="50"/>
              <w:right w:type="dxa" w:w="110"/>
            </w:tcMar>
          </w:tcPr>
          <w:p>
            <w:pPr>
              <w:spacing w:before="28" w:after="28"/>
            </w:pPr>
            <w:r>
              <w:rPr>
                <w:sz w:val="15"/>
                <w:szCs w:val="15"/>
              </w:rPr>
              <w:t xml:space="preserve">(4,179,000)</w:t>
            </w:r>
          </w:p>
        </w:tc>
      </w:tr>
      <w:tr>
        <w:tc>
          <w:tcPr>
            <w:tcW w:type="pct" w:w="2600"/>
            <w:shd w:fill="FBFAF6" w:val="clear"/>
            <w:tcMar>
              <w:top w:type="dxa" w:w="50"/>
              <w:left w:type="dxa" w:w="110"/>
              <w:bottom w:type="dxa" w:w="50"/>
              <w:right w:type="dxa" w:w="110"/>
            </w:tcMar>
          </w:tcPr>
          <w:p>
            <w:pPr>
              <w:spacing w:before="28" w:after="28"/>
            </w:pPr>
            <w:r>
              <w:rPr>
                <w:sz w:val="15"/>
                <w:szCs w:val="15"/>
              </w:rPr>
              <w:t xml:space="preserve">Cash flows from financing activities</w:t>
            </w:r>
          </w:p>
        </w:tc>
        <w:tc>
          <w:tcPr>
            <w:tcW w:type="pct" w:w="2400"/>
            <w:shd w:fill="FBFAF6" w:val="clear"/>
            <w:tcMar>
              <w:top w:type="dxa" w:w="50"/>
              <w:left w:type="dxa" w:w="110"/>
              <w:bottom w:type="dxa" w:w="50"/>
              <w:right w:type="dxa" w:w="110"/>
            </w:tcMar>
          </w:tcPr>
          <w:p>
            <w:pPr>
              <w:spacing w:before="28" w:after="28"/>
            </w:pPr>
            <w:r>
              <w:rPr>
                <w:sz w:val="15"/>
                <w:szCs w:val="15"/>
              </w:rPr>
              <w:t xml:space="preserve"> </w:t>
            </w:r>
          </w:p>
        </w:tc>
      </w:tr>
      <w:tr>
        <w:tc>
          <w:tcPr>
            <w:tcW w:type="pct" w:w="2600"/>
            <w:shd w:fill="FFFFFF" w:val="clear"/>
            <w:tcMar>
              <w:top w:type="dxa" w:w="50"/>
              <w:left w:type="dxa" w:w="110"/>
              <w:bottom w:type="dxa" w:w="50"/>
              <w:right w:type="dxa" w:w="110"/>
            </w:tcMar>
          </w:tcPr>
          <w:p>
            <w:pPr>
              <w:spacing w:before="46" w:after="46"/>
            </w:pPr>
            <w:r>
              <w:rPr>
                <w:b/>
                <w:bCs/>
                <w:color w:val="8186EF"/>
                <w:sz w:val="14"/>
                <w:szCs w:val="14"/>
              </w:rPr>
              <w:t xml:space="preserve">(22)</w:t>
            </w:r>
          </w:p>
        </w:tc>
        <w:tc>
          <w:tcPr>
            <w:tcW w:type="pct" w:w="2400"/>
            <w:tcMar>
              <w:top w:type="dxa" w:w="50"/>
              <w:left w:type="dxa" w:w="110"/>
              <w:bottom w:type="dxa" w:w="50"/>
              <w:right w:type="dxa" w:w="110"/>
            </w:tcMar>
          </w:tcPr>
          <w:p>
            <w:pPr>
              <w:spacing w:before="28" w:after="28"/>
            </w:pPr>
            <w:r>
              <w:rPr>
                <w:sz w:val="15"/>
                <w:szCs w:val="15"/>
              </w:rPr>
              <w:t xml:space="preserve">1,500,000</w:t>
            </w:r>
          </w:p>
        </w:tc>
      </w:tr>
      <w:tr>
        <w:tc>
          <w:tcPr>
            <w:tcW w:type="pct" w:w="2600"/>
            <w:shd w:fill="FBFAF6" w:val="clear"/>
            <w:tcMar>
              <w:top w:type="dxa" w:w="50"/>
              <w:left w:type="dxa" w:w="110"/>
              <w:bottom w:type="dxa" w:w="50"/>
              <w:right w:type="dxa" w:w="110"/>
            </w:tcMar>
          </w:tcPr>
          <w:p>
            <w:pPr>
              <w:spacing w:before="28" w:after="28"/>
            </w:pPr>
            <w:r>
              <w:rPr>
                <w:sz w:val="15"/>
                <w:szCs w:val="15"/>
              </w:rPr>
              <w:t xml:space="preserve">Proceeds from bank note</w:t>
            </w:r>
          </w:p>
        </w:tc>
        <w:tc>
          <w:tcPr>
            <w:tcW w:type="pct" w:w="2400"/>
            <w:shd w:fill="FBFAF6" w:val="clear"/>
            <w:tcMar>
              <w:top w:type="dxa" w:w="50"/>
              <w:left w:type="dxa" w:w="110"/>
              <w:bottom w:type="dxa" w:w="50"/>
              <w:right w:type="dxa" w:w="110"/>
            </w:tcMar>
          </w:tcPr>
          <w:p>
            <w:pPr>
              <w:spacing w:before="28" w:after="28"/>
            </w:pPr>
            <w:r>
              <w:rPr>
                <w:sz w:val="15"/>
                <w:szCs w:val="15"/>
              </w:rPr>
              <w:t xml:space="preserve">800,000</w:t>
            </w:r>
          </w:p>
        </w:tc>
      </w:tr>
      <w:tr>
        <w:tc>
          <w:tcPr>
            <w:tcW w:type="pct" w:w="2600"/>
            <w:tcMar>
              <w:top w:type="dxa" w:w="50"/>
              <w:left w:type="dxa" w:w="110"/>
              <w:bottom w:type="dxa" w:w="50"/>
              <w:right w:type="dxa" w:w="110"/>
            </w:tcMar>
          </w:tcPr>
          <w:p>
            <w:pPr>
              <w:spacing w:before="28" w:after="28"/>
            </w:pPr>
            <w:r>
              <w:rPr>
                <w:sz w:val="15"/>
                <w:szCs w:val="15"/>
              </w:rPr>
              <w:t xml:space="preserve">Repayment of long-term debt</w:t>
            </w:r>
          </w:p>
        </w:tc>
        <w:tc>
          <w:tcPr>
            <w:tcW w:type="pct" w:w="2400"/>
            <w:tcMar>
              <w:top w:type="dxa" w:w="50"/>
              <w:left w:type="dxa" w:w="110"/>
              <w:bottom w:type="dxa" w:w="50"/>
              <w:right w:type="dxa" w:w="110"/>
            </w:tcMar>
          </w:tcPr>
          <w:p>
            <w:pPr>
              <w:spacing w:before="28" w:after="28"/>
            </w:pPr>
            <w:r>
              <w:rPr>
                <w:sz w:val="15"/>
                <w:szCs w:val="15"/>
              </w:rPr>
              <w:t xml:space="preserve">(400,000)</w:t>
            </w:r>
          </w:p>
        </w:tc>
      </w:tr>
      <w:tr>
        <w:tc>
          <w:tcPr>
            <w:tcW w:type="pct" w:w="2600"/>
            <w:shd w:fill="FBFAF6" w:val="clear"/>
            <w:tcMar>
              <w:top w:type="dxa" w:w="50"/>
              <w:left w:type="dxa" w:w="110"/>
              <w:bottom w:type="dxa" w:w="50"/>
              <w:right w:type="dxa" w:w="110"/>
            </w:tcMar>
          </w:tcPr>
          <w:p>
            <w:pPr>
              <w:spacing w:before="28" w:after="28"/>
            </w:pPr>
            <w:r>
              <w:rPr>
                <w:sz w:val="15"/>
                <w:szCs w:val="15"/>
              </w:rPr>
              <w:t xml:space="preserve">Dividends paid</w:t>
            </w:r>
          </w:p>
        </w:tc>
        <w:tc>
          <w:tcPr>
            <w:tcW w:type="pct" w:w="2400"/>
            <w:shd w:fill="FBFAF6" w:val="clear"/>
            <w:tcMar>
              <w:top w:type="dxa" w:w="50"/>
              <w:left w:type="dxa" w:w="110"/>
              <w:bottom w:type="dxa" w:w="50"/>
              <w:right w:type="dxa" w:w="110"/>
            </w:tcMar>
          </w:tcPr>
          <w:p>
            <w:pPr>
              <w:spacing w:before="28" w:after="28"/>
            </w:pPr>
            <w:r>
              <w:rPr>
                <w:sz w:val="15"/>
                <w:szCs w:val="15"/>
              </w:rPr>
              <w:t xml:space="preserve">(50,000)</w:t>
            </w:r>
          </w:p>
        </w:tc>
      </w:tr>
      <w:tr>
        <w:tc>
          <w:tcPr>
            <w:tcW w:type="pct" w:w="2600"/>
            <w:tcMar>
              <w:top w:type="dxa" w:w="50"/>
              <w:left w:type="dxa" w:w="110"/>
              <w:bottom w:type="dxa" w:w="50"/>
              <w:right w:type="dxa" w:w="110"/>
            </w:tcMar>
          </w:tcPr>
          <w:p>
            <w:pPr>
              <w:spacing w:before="28" w:after="28"/>
            </w:pPr>
            <w:r>
              <w:rPr>
                <w:sz w:val="15"/>
                <w:szCs w:val="15"/>
              </w:rPr>
              <w:t xml:space="preserve">Net cash provided by financing activities</w:t>
            </w:r>
          </w:p>
        </w:tc>
        <w:tc>
          <w:tcPr>
            <w:tcW w:type="pct" w:w="2400"/>
            <w:tcMar>
              <w:top w:type="dxa" w:w="50"/>
              <w:left w:type="dxa" w:w="110"/>
              <w:bottom w:type="dxa" w:w="50"/>
              <w:right w:type="dxa" w:w="110"/>
            </w:tcMar>
          </w:tcPr>
          <w:p>
            <w:pPr>
              <w:spacing w:before="28" w:after="28"/>
            </w:pPr>
            <w:r>
              <w:rPr>
                <w:sz w:val="15"/>
                <w:szCs w:val="15"/>
              </w:rPr>
              <w:t xml:space="preserve">1,850,000</w:t>
            </w:r>
          </w:p>
        </w:tc>
      </w:tr>
      <w:tr>
        <w:tc>
          <w:tcPr>
            <w:tcW w:type="pct" w:w="2600"/>
            <w:shd w:fill="FBFAF6" w:val="clear"/>
            <w:tcMar>
              <w:top w:type="dxa" w:w="50"/>
              <w:left w:type="dxa" w:w="110"/>
              <w:bottom w:type="dxa" w:w="50"/>
              <w:right w:type="dxa" w:w="110"/>
            </w:tcMar>
          </w:tcPr>
          <w:p>
            <w:pPr>
              <w:spacing w:before="28" w:after="28"/>
            </w:pPr>
            <w:r>
              <w:rPr>
                <w:sz w:val="15"/>
                <w:szCs w:val="15"/>
              </w:rPr>
              <w:t xml:space="preserve">Net increase in cash</w:t>
            </w:r>
          </w:p>
        </w:tc>
        <w:tc>
          <w:tcPr>
            <w:tcW w:type="pct" w:w="2400"/>
            <w:shd w:fill="FBFAF6" w:val="clear"/>
            <w:tcMar>
              <w:top w:type="dxa" w:w="50"/>
              <w:left w:type="dxa" w:w="110"/>
              <w:bottom w:type="dxa" w:w="50"/>
              <w:right w:type="dxa" w:w="110"/>
            </w:tcMar>
          </w:tcPr>
          <w:p>
            <w:pPr>
              <w:spacing w:before="28" w:after="28"/>
            </w:pPr>
            <w:r>
              <w:rPr>
                <w:sz w:val="15"/>
                <w:szCs w:val="15"/>
              </w:rPr>
              <w:t xml:space="preserve">5,202,100</w:t>
            </w:r>
          </w:p>
        </w:tc>
      </w:tr>
      <w:tr>
        <w:tc>
          <w:tcPr>
            <w:tcW w:type="pct" w:w="2600"/>
            <w:tcMar>
              <w:top w:type="dxa" w:w="50"/>
              <w:left w:type="dxa" w:w="110"/>
              <w:bottom w:type="dxa" w:w="50"/>
              <w:right w:type="dxa" w:w="110"/>
            </w:tcMar>
          </w:tcPr>
          <w:p>
            <w:pPr>
              <w:spacing w:before="28" w:after="28"/>
            </w:pPr>
            <w:r>
              <w:rPr>
                <w:sz w:val="15"/>
                <w:szCs w:val="15"/>
              </w:rPr>
              <w:t xml:space="preserve">Cash, January 1, 2025</w:t>
            </w:r>
          </w:p>
        </w:tc>
        <w:tc>
          <w:tcPr>
            <w:tcW w:type="pct" w:w="2400"/>
            <w:tcMar>
              <w:top w:type="dxa" w:w="50"/>
              <w:left w:type="dxa" w:w="110"/>
              <w:bottom w:type="dxa" w:w="50"/>
              <w:right w:type="dxa" w:w="110"/>
            </w:tcMar>
          </w:tcPr>
          <w:p>
            <w:pPr>
              <w:spacing w:before="28" w:after="28"/>
            </w:pPr>
            <w:r>
              <w:rPr>
                <w:sz w:val="15"/>
                <w:szCs w:val="15"/>
              </w:rPr>
              <w:t xml:space="preserve">2,100,000</w:t>
            </w:r>
          </w:p>
        </w:tc>
      </w:tr>
      <w:tr>
        <w:tc>
          <w:tcPr>
            <w:tcW w:type="pct" w:w="2600"/>
            <w:shd w:fill="FBFAF6" w:val="clear"/>
            <w:tcMar>
              <w:top w:type="dxa" w:w="50"/>
              <w:left w:type="dxa" w:w="110"/>
              <w:bottom w:type="dxa" w:w="50"/>
              <w:right w:type="dxa" w:w="110"/>
            </w:tcMar>
          </w:tcPr>
          <w:p>
            <w:pPr>
              <w:spacing w:before="28" w:after="28"/>
            </w:pPr>
            <w:r>
              <w:rPr>
                <w:sz w:val="15"/>
                <w:szCs w:val="15"/>
              </w:rPr>
              <w:t xml:space="preserve">Cash, December 31, 2025</w:t>
            </w:r>
          </w:p>
        </w:tc>
        <w:tc>
          <w:tcPr>
            <w:tcW w:type="pct" w:w="2400"/>
            <w:shd w:fill="FBFAF6" w:val="clear"/>
            <w:tcMar>
              <w:top w:type="dxa" w:w="50"/>
              <w:left w:type="dxa" w:w="110"/>
              <w:bottom w:type="dxa" w:w="50"/>
              <w:right w:type="dxa" w:w="110"/>
            </w:tcMar>
          </w:tcPr>
          <w:p>
            <w:pPr>
              <w:spacing w:before="28" w:after="28"/>
            </w:pPr>
            <w:r>
              <w:rPr>
                <w:sz w:val="15"/>
                <w:szCs w:val="15"/>
              </w:rPr>
              <w:t xml:space="preserve">7,302,100</w:t>
            </w:r>
          </w:p>
        </w:tc>
      </w:tr>
      <w:tr>
        <w:tc>
          <w:tcPr>
            <w:tcW w:type="pct" w:w="2600"/>
            <w:shd w:fill="FFFFFF" w:val="clear"/>
            <w:tcMar>
              <w:top w:type="dxa" w:w="50"/>
              <w:left w:type="dxa" w:w="110"/>
              <w:bottom w:type="dxa" w:w="50"/>
              <w:right w:type="dxa" w:w="110"/>
            </w:tcMar>
          </w:tcPr>
          <w:p>
            <w:pPr>
              <w:spacing w:before="46" w:after="46"/>
            </w:pPr>
            <w:r>
              <w:rPr>
                <w:b/>
                <w:bCs/>
                <w:color w:val="8186EF"/>
                <w:sz w:val="14"/>
                <w:szCs w:val="14"/>
              </w:rPr>
              <w:t xml:space="preserve">(23)</w:t>
            </w:r>
          </w:p>
        </w:tc>
        <w:tc>
          <w:tcPr>
            <w:tcW w:type="pct" w:w="2400"/>
            <w:tcMar>
              <w:top w:type="dxa" w:w="50"/>
              <w:left w:type="dxa" w:w="110"/>
              <w:bottom w:type="dxa" w:w="50"/>
              <w:right w:type="dxa" w:w="110"/>
            </w:tcMar>
          </w:tcPr>
          <w:p>
            <w:pPr>
              <w:spacing w:before="28" w:after="28"/>
            </w:pPr>
            <w:r>
              <w:rPr>
                <w:sz w:val="15"/>
                <w:szCs w:val="15"/>
              </w:rPr>
              <w:t xml:space="preserve"> </w:t>
            </w:r>
          </w:p>
        </w:tc>
      </w:tr>
      <w:tr>
        <w:tc>
          <w:tcPr>
            <w:tcW w:type="pct" w:w="2600"/>
            <w:shd w:fill="FFFFFF" w:val="clear"/>
            <w:tcMar>
              <w:top w:type="dxa" w:w="50"/>
              <w:left w:type="dxa" w:w="110"/>
              <w:bottom w:type="dxa" w:w="50"/>
              <w:right w:type="dxa" w:w="110"/>
            </w:tcMar>
          </w:tcPr>
          <w:p>
            <w:pPr>
              <w:spacing w:before="46" w:after="46"/>
            </w:pPr>
            <w:r>
              <w:rPr>
                <w:b/>
                <w:bCs/>
                <w:color w:val="8186EF"/>
                <w:sz w:val="14"/>
                <w:szCs w:val="14"/>
              </w:rPr>
              <w:t xml:space="preserve">(24)</w:t>
            </w:r>
          </w:p>
        </w:tc>
        <w:tc>
          <w:tcPr>
            <w:tcW w:type="pct" w:w="2400"/>
            <w:shd w:fill="FBFAF6" w:val="clear"/>
            <w:tcMar>
              <w:top w:type="dxa" w:w="50"/>
              <w:left w:type="dxa" w:w="110"/>
              <w:bottom w:type="dxa" w:w="50"/>
              <w:right w:type="dxa" w:w="110"/>
            </w:tcMar>
          </w:tcPr>
          <w:p>
            <w:pPr>
              <w:spacing w:before="28" w:after="28"/>
            </w:pPr>
            <w:r>
              <w:rPr>
                <w:sz w:val="15"/>
                <w:szCs w:val="15"/>
              </w:rPr>
              <w:t xml:space="preserve">390,000</w:t>
            </w:r>
          </w:p>
        </w:tc>
      </w:tr>
      <w:tr>
        <w:tc>
          <w:tcPr>
            <w:tcW w:type="pct" w:w="2600"/>
            <w:tcMar>
              <w:top w:type="dxa" w:w="50"/>
              <w:left w:type="dxa" w:w="110"/>
              <w:bottom w:type="dxa" w:w="50"/>
              <w:right w:type="dxa" w:w="110"/>
            </w:tcMar>
          </w:tcPr>
          <w:p>
            <w:pPr>
              <w:spacing w:before="28" w:after="28"/>
            </w:pPr>
            <w:r>
              <w:rPr>
                <w:sz w:val="15"/>
                <w:szCs w:val="15"/>
              </w:rPr>
              <w:t xml:space="preserve">Income taxes paid</w:t>
            </w:r>
          </w:p>
        </w:tc>
        <w:tc>
          <w:tcPr>
            <w:tcW w:type="pct" w:w="2400"/>
            <w:tcMar>
              <w:top w:type="dxa" w:w="50"/>
              <w:left w:type="dxa" w:w="110"/>
              <w:bottom w:type="dxa" w:w="50"/>
              <w:right w:type="dxa" w:w="110"/>
            </w:tcMar>
          </w:tcPr>
          <w:p>
            <w:pPr>
              <w:spacing w:before="28" w:after="28"/>
            </w:pPr>
            <w:r>
              <w:rPr>
                <w:sz w:val="15"/>
                <w:szCs w:val="15"/>
              </w:rPr>
              <w:t xml:space="preserve">839,700</w:t>
            </w:r>
          </w:p>
        </w:tc>
      </w:tr>
      <w:tr>
        <w:tc>
          <w:tcPr>
            <w:tcW w:type="pct" w:w="2600"/>
            <w:shd w:fill="FBFAF6" w:val="clear"/>
            <w:tcMar>
              <w:top w:type="dxa" w:w="50"/>
              <w:left w:type="dxa" w:w="110"/>
              <w:bottom w:type="dxa" w:w="50"/>
              <w:right w:type="dxa" w:w="110"/>
            </w:tcMar>
          </w:tcPr>
          <w:p>
            <w:pPr>
              <w:spacing w:before="28" w:after="28"/>
            </w:pPr>
            <w:r>
              <w:rPr>
                <w:sz w:val="15"/>
                <w:szCs w:val="15"/>
              </w:rPr>
              <w:t xml:space="preserve">Noncash investing and financing activities</w:t>
            </w:r>
          </w:p>
        </w:tc>
        <w:tc>
          <w:tcPr>
            <w:tcW w:type="pct" w:w="2400"/>
            <w:shd w:fill="FBFAF6" w:val="clear"/>
            <w:tcMar>
              <w:top w:type="dxa" w:w="50"/>
              <w:left w:type="dxa" w:w="110"/>
              <w:bottom w:type="dxa" w:w="50"/>
              <w:right w:type="dxa" w:w="110"/>
            </w:tcMar>
          </w:tcPr>
          <w:p>
            <w:pPr>
              <w:spacing w:before="28" w:after="28"/>
            </w:pPr>
            <w:r>
              <w:rPr>
                <w:sz w:val="15"/>
                <w:szCs w:val="15"/>
              </w:rPr>
              <w:t xml:space="preserve">none</w:t>
            </w:r>
          </w:p>
        </w:tc>
      </w:tr>
    </w:tbl>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Increase in inventory   ·   Depreciation   ·   Deferred income taxes   ·   Gain on sale of equipment   ·   Increase in accounts receivable, net   ·   Interest paid   ·   Unrealized gains on securities   ·   Increase in accounts payable   ·   Issuance of common stock   ·   Supplemental disclosures   ·   Increase in accrued liabilities</w:t>
            </w:r>
          </w:p>
        </w:tc>
      </w:tr>
    </w:tbl>
    <w:p/>
    <w:p>
      <w:pPr>
        <w:pageBreakBefore w:val="true"/>
        <w:spacing w:after="0"/>
      </w:pPr>
      <w:r>
        <w:rPr>
          <w:sz w:val="2"/>
        </w:rPr>
        <w:t xml:space="preserve"> </w:t>
      </w:r>
    </w:p>
    <w:p>
      <w:pPr>
        <w:spacing w:before="44" w:after="10"/>
      </w:pPr>
      <w:r>
        <w:rPr>
          <w:b/>
          <w:bCs/>
          <w:color w:val="353A7C"/>
          <w:sz w:val="18"/>
          <w:szCs w:val="18"/>
        </w:rPr>
        <w:t xml:space="preserve">The English this section uses, and its Arabic</w:t>
      </w:r>
    </w:p>
    <w:p>
      <w:pPr>
        <w:spacing w:before="0" w:after="12"/>
      </w:pPr>
      <w:r>
        <w:rPr>
          <w:color w:val="6B7280"/>
          <w:sz w:val="15"/>
          <w:szCs w:val="15"/>
        </w:rPr>
        <w:t xml:space="preserve">Each term sits against what it means.</w:t>
      </w:r>
    </w:p>
    <w:p>
      <w:pPr>
        <w:spacing w:after="40" w:before="90"/>
        <w:jc w:val="center"/>
      </w:pPr>
      <w:r>
        <w:drawing>
          <wp:inline distT="0" distB="0" distL="0" distR="0">
            <wp:extent cx="5734050" cy="22785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2" cstate="none"/>
                    <a:srcRect/>
                    <a:stretch>
                      <a:fillRect/>
                    </a:stretch>
                  </pic:blipFill>
                  <pic:spPr bwMode="auto">
                    <a:xfrm>
                      <a:off x="0" y="0"/>
                      <a:ext cx="5734050" cy="2278525"/>
                    </a:xfrm>
                    <a:prstGeom prst="rect">
                      <a:avLst/>
                    </a:prstGeom>
                  </pic:spPr>
                </pic:pic>
              </a:graphicData>
            </a:graphic>
          </wp:inline>
        </w:drawing>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financing activities   ·   الأنشطة التشغيلية   ·   operating activities</w:t>
            </w:r>
          </w:p>
        </w:tc>
      </w:tr>
    </w:tbl>
    <w:p/>
    <w:tbl>
      <w:tblPr>
        <w:tblW w:type="pct" w:w="100%"/>
        <w:tblLayout w:type="fixed"/>
        <w:tblBorders>
          <w:top w:val="single" w:color="353A7C" w:sz="6"/>
          <w:left w:val="single" w:color="353A7C" w:sz="6"/>
          <w:bottom w:val="single" w:color="353A7C" w:sz="6"/>
          <w:right w:val="single" w:color="353A7C" w:sz="6"/>
          <w:insideH w:val="single" w:color="353A7C" w:sz="6"/>
          <w:insideV w:val="single" w:color="353A7C" w:sz="6"/>
        </w:tblBorders>
      </w:tblPr>
      <w:tblGrid>
        <w:gridCol w:w="4608"/>
        <w:gridCol w:w="4992"/>
      </w:tblGrid>
      <w:tr>
        <w:tc>
          <w:tcPr>
            <w:tcW w:type="pct" w:w="5000"/>
            <w:gridSpan w:val="2"/>
            <w:shd w:fill="353A7C" w:val="clear"/>
            <w:tcMar>
              <w:top w:type="dxa" w:w="60"/>
              <w:left w:type="dxa" w:w="120"/>
              <w:bottom w:type="dxa" w:w="60"/>
              <w:right w:type="dxa" w:w="120"/>
            </w:tcMar>
          </w:tcPr>
          <w:p>
            <w:pPr>
              <w:spacing w:before="40" w:after="40"/>
            </w:pPr>
            <w:r>
              <w:rPr>
                <w:b/>
                <w:bCs/>
                <w:color w:val="FFFFFF"/>
                <w:sz w:val="17"/>
                <w:szCs w:val="17"/>
              </w:rPr>
              <w:t xml:space="preserve">The English this sheet uses, and its Arabic</w:t>
            </w:r>
          </w:p>
        </w:tc>
      </w:tr>
      <w:tr>
        <w:tc>
          <w:tcPr>
            <w:tcW w:type="pct" w:w="2400"/>
            <w:tcMar>
              <w:top w:type="dxa" w:w="50"/>
              <w:left w:type="dxa" w:w="110"/>
              <w:bottom w:type="dxa" w:w="50"/>
              <w:right w:type="dxa" w:w="110"/>
            </w:tcMar>
          </w:tcPr>
          <w:p>
            <w:pPr>
              <w:spacing w:before="26" w:after="26"/>
            </w:pPr>
            <w:r>
              <w:rPr>
                <w:b/>
                <w:bCs/>
                <w:color w:val="353A7C"/>
                <w:sz w:val="15"/>
                <w:szCs w:val="15"/>
              </w:rPr>
              <w:t xml:space="preserve">English (exam term)</w:t>
            </w:r>
          </w:p>
        </w:tc>
        <w:tc>
          <w:tcPr>
            <w:tcW w:type="pct" w:w="2600"/>
            <w:tcMar>
              <w:top w:type="dxa" w:w="50"/>
              <w:left w:type="dxa" w:w="110"/>
              <w:bottom w:type="dxa" w:w="50"/>
              <w:right w:type="dxa" w:w="110"/>
            </w:tcMar>
          </w:tcPr>
          <w:p>
            <w:pPr>
              <w:spacing w:before="26" w:after="26"/>
            </w:pPr>
            <w:r>
              <w:rPr>
                <w:b/>
                <w:bCs/>
                <w:color w:val="353A7C"/>
                <w:sz w:val="15"/>
                <w:szCs w:val="15"/>
              </w:rPr>
              <w:t xml:space="preserve">Arabic</w:t>
            </w:r>
          </w:p>
        </w:tc>
      </w:tr>
      <w:tr>
        <w:tc>
          <w:tcPr>
            <w:tcW w:type="pct" w:w="2400"/>
            <w:tcMar>
              <w:top w:type="dxa" w:w="50"/>
              <w:left w:type="dxa" w:w="110"/>
              <w:bottom w:type="dxa" w:w="50"/>
              <w:right w:type="dxa" w:w="110"/>
            </w:tcMar>
          </w:tcPr>
          <w:p>
            <w:pPr>
              <w:spacing w:before="26" w:after="26"/>
            </w:pPr>
            <w:r>
              <w:rPr>
                <w:color w:val="232733"/>
                <w:sz w:val="16"/>
                <w:szCs w:val="16"/>
              </w:rPr>
              <w:t xml:space="preserve">cash equivalents</w:t>
            </w:r>
          </w:p>
        </w:tc>
        <w:tc>
          <w:tcPr>
            <w:tcW w:type="pct" w:w="2600"/>
            <w:tcMar>
              <w:top w:type="dxa" w:w="50"/>
              <w:left w:type="dxa" w:w="110"/>
              <w:bottom w:type="dxa" w:w="50"/>
              <w:right w:type="dxa" w:w="110"/>
            </w:tcMar>
          </w:tcPr>
          <w:p>
            <w:pPr>
              <w:spacing w:before="26" w:after="26"/>
            </w:pPr>
            <w:r>
              <w:rPr>
                <w:color w:val="232733"/>
                <w:sz w:val="16"/>
                <w:szCs w:val="16"/>
              </w:rPr>
              <w:t xml:space="preserve">معادلات النقد (ما في حكم النقد)</w:t>
            </w:r>
          </w:p>
        </w:tc>
      </w:tr>
      <w:tr>
        <w:tc>
          <w:tcPr>
            <w:tcW w:type="pct" w:w="2400"/>
            <w:shd w:fill="FBFAF6" w:val="clear"/>
            <w:tcMar>
              <w:top w:type="dxa" w:w="50"/>
              <w:left w:type="dxa" w:w="110"/>
              <w:bottom w:type="dxa" w:w="50"/>
              <w:right w:type="dxa" w:w="110"/>
            </w:tcMar>
          </w:tcPr>
          <w:p>
            <w:pPr>
              <w:spacing w:before="26" w:after="26"/>
            </w:pPr>
            <w:r>
              <w:rPr>
                <w:color w:val="232733"/>
                <w:sz w:val="16"/>
                <w:szCs w:val="16"/>
              </w:rPr>
              <w:t xml:space="preserve">operating activities</w:t>
            </w:r>
          </w:p>
        </w:tc>
        <w:tc>
          <w:tcPr>
            <w:tcW w:type="pct" w:w="2600"/>
            <w:shd w:fill="FBFAF6" w:val="clear"/>
            <w:tcMar>
              <w:top w:type="dxa" w:w="50"/>
              <w:left w:type="dxa" w:w="110"/>
              <w:bottom w:type="dxa" w:w="50"/>
              <w:right w:type="dxa" w:w="110"/>
            </w:tcMar>
          </w:tcPr>
          <w:p>
            <w:pPr>
              <w:spacing w:before="26" w:after="26"/>
            </w:pPr>
            <w:r>
              <w:rPr>
                <w:color w:val="232733"/>
                <w:sz w:val="16"/>
                <w:szCs w:val="16"/>
              </w:rPr>
              <w:t xml:space="preserve">الأنشطة التشغيلية</w:t>
            </w:r>
          </w:p>
        </w:tc>
      </w:tr>
      <w:tr>
        <w:tc>
          <w:tcPr>
            <w:tcW w:type="pct" w:w="2400"/>
            <w:tcMar>
              <w:top w:type="dxa" w:w="50"/>
              <w:left w:type="dxa" w:w="110"/>
              <w:bottom w:type="dxa" w:w="50"/>
              <w:right w:type="dxa" w:w="110"/>
            </w:tcMar>
          </w:tcPr>
          <w:p>
            <w:pPr>
              <w:spacing w:before="26" w:after="26"/>
            </w:pPr>
            <w:r>
              <w:rPr>
                <w:color w:val="232733"/>
                <w:sz w:val="16"/>
                <w:szCs w:val="16"/>
              </w:rPr>
              <w:t xml:space="preserve">investing activities</w:t>
            </w:r>
          </w:p>
        </w:tc>
        <w:tc>
          <w:tcPr>
            <w:tcW w:type="pct" w:w="2600"/>
            <w:tcMar>
              <w:top w:type="dxa" w:w="50"/>
              <w:left w:type="dxa" w:w="110"/>
              <w:bottom w:type="dxa" w:w="50"/>
              <w:right w:type="dxa" w:w="110"/>
            </w:tcMar>
          </w:tcPr>
          <w:p>
            <w:pPr>
              <w:spacing w:before="26" w:after="26"/>
            </w:pPr>
            <w:r>
              <w:rPr>
                <w:color w:val="232733"/>
                <w:sz w:val="16"/>
                <w:szCs w:val="16"/>
              </w:rPr>
              <w:t xml:space="preserve">الأنشطة الاستثمارية</w:t>
            </w:r>
          </w:p>
        </w:tc>
      </w:tr>
      <w:tr>
        <w:tc>
          <w:tcPr>
            <w:tcW w:type="pct" w:w="2400"/>
            <w:shd w:fill="FBFAF6" w:val="clear"/>
            <w:tcMar>
              <w:top w:type="dxa" w:w="50"/>
              <w:left w:type="dxa" w:w="110"/>
              <w:bottom w:type="dxa" w:w="50"/>
              <w:right w:type="dxa" w:w="110"/>
            </w:tcMar>
          </w:tcPr>
          <w:p>
            <w:pPr>
              <w:spacing w:before="26" w:after="26"/>
            </w:pPr>
            <w:r>
              <w:rPr>
                <w:color w:val="232733"/>
                <w:sz w:val="16"/>
                <w:szCs w:val="16"/>
              </w:rPr>
              <w:t xml:space="preserve">financing activities</w:t>
            </w:r>
          </w:p>
        </w:tc>
        <w:tc>
          <w:tcPr>
            <w:tcW w:type="pct" w:w="2600"/>
            <w:shd w:fill="FBFAF6" w:val="clear"/>
            <w:tcMar>
              <w:top w:type="dxa" w:w="50"/>
              <w:left w:type="dxa" w:w="110"/>
              <w:bottom w:type="dxa" w:w="50"/>
              <w:right w:type="dxa" w:w="110"/>
            </w:tcMar>
          </w:tcPr>
          <w:p>
            <w:pPr>
              <w:spacing w:before="26" w:after="26"/>
            </w:pPr>
            <w:r>
              <w:rPr>
                <w:color w:val="232733"/>
                <w:sz w:val="16"/>
                <w:szCs w:val="16"/>
              </w:rPr>
              <w:t xml:space="preserve">الأنشطة التمويلية</w:t>
            </w:r>
          </w:p>
        </w:tc>
      </w:tr>
    </w:tbl>
    <w:p/>
    <w:p>
      <w:pPr>
        <w:sectPr>
          <w:headerReference w:type="default" r:id="rIdHdr1"/>
          <w:pgSz w:w="11906" w:h="16838" w:orient="portrait"/>
          <w:pgMar w:top="1180" w:right="1000" w:bottom="900" w:left="1000" w:header="708" w:footer="708" w:gutter="0"/>
          <w:docGrid w:linePitch="360"/>
          <w:pgNumType w:start="1"/>
        </w:sectPr>
      </w:pPr>
    </w:p>
    <w:tbl>
      <w:tblPr>
        <w:tblW w:type="pct" w:w="100%"/>
        <w:tblLayout w:type="fixed"/>
        <w:tblBorders>
          <w:top w:val="single" w:color="353A7C" w:sz="8"/>
          <w:left w:val="single" w:color="353A7C" w:sz="8"/>
          <w:bottom w:val="single" w:color="353A7C" w:sz="8"/>
          <w:right w:val="single" w:color="353A7C" w:sz="8"/>
          <w:insideH w:val="single" w:color="353A7C" w:sz="8"/>
          <w:insideV w:val="single" w:color="353A7C" w:sz="8"/>
        </w:tblBorders>
      </w:tblPr>
      <w:tblGrid>
        <w:gridCol w:w="9600"/>
      </w:tblGrid>
      <w:tr>
        <w:tc>
          <w:tcPr>
            <w:tcW w:type="pct" w:w="5000"/>
            <w:shd w:fill="353A7C" w:val="clear"/>
            <w:tcMar>
              <w:top w:type="dxa" w:w="80"/>
              <w:left w:type="dxa" w:w="140"/>
              <w:bottom w:type="dxa" w:w="80"/>
              <w:right w:type="dxa" w:w="140"/>
            </w:tcMar>
          </w:tcPr>
          <w:p>
            <w:pPr>
              <w:spacing w:before="60" w:after="60"/>
            </w:pPr>
            <w:r>
              <w:rPr>
                <w:b/>
                <w:bCs/>
                <w:color w:val="FFFFFF"/>
                <w:sz w:val="21"/>
                <w:szCs w:val="21"/>
              </w:rPr>
              <w:t xml:space="preserve">Answer key · 5.1  Purpose and structure of the statement of cash flows</w:t>
            </w:r>
          </w:p>
        </w:tc>
      </w:tr>
    </w:tbl>
    <w:p/>
    <w:tbl>
      <w:tblPr>
        <w:tblW w:type="pct" w:w="100%"/>
        <w:tblLayout w:type="fixed"/>
      </w:tblPr>
      <w:tblGrid>
        <w:gridCol w:w="4800"/>
        <w:gridCol w:w="4800"/>
      </w:tblGrid>
      <w:tr>
        <w:tc>
          <w:tcPr>
            <w:tcW w:type="pct" w:w="2500"/>
            <w:tcMar>
              <w:top w:type="dxa" w:w="20"/>
              <w:left w:type="dxa" w:w="80"/>
              <w:bottom w:type="dxa" w:w="20"/>
              <w:right w:type="dxa" w:w="80"/>
            </w:tcMar>
          </w:tcPr>
          <w:p>
            <w:pPr>
              <w:spacing w:before="12" w:after="12"/>
            </w:pPr>
            <w:r>
              <w:rPr>
                <w:b/>
                <w:bCs/>
                <w:color w:val="8186EF"/>
                <w:sz w:val="16"/>
                <w:szCs w:val="16"/>
              </w:rPr>
              <w:t xml:space="preserve">1  </w:t>
            </w:r>
            <w:r>
              <w:rPr>
                <w:sz w:val="16"/>
                <w:szCs w:val="16"/>
              </w:rPr>
              <w:t xml:space="preserve">Classifying cash flows</w:t>
            </w:r>
          </w:p>
        </w:tc>
        <w:tc>
          <w:tcPr>
            <w:tcW w:type="pct" w:w="2500"/>
            <w:tcMar>
              <w:top w:type="dxa" w:w="20"/>
              <w:left w:type="dxa" w:w="80"/>
              <w:bottom w:type="dxa" w:w="20"/>
              <w:right w:type="dxa" w:w="80"/>
            </w:tcMar>
          </w:tcPr>
          <w:p>
            <w:pPr>
              <w:spacing w:before="12" w:after="12"/>
            </w:pPr>
            <w:r>
              <w:rPr>
                <w:b/>
                <w:bCs/>
                <w:color w:val="8186EF"/>
                <w:sz w:val="16"/>
                <w:szCs w:val="16"/>
              </w:rPr>
              <w:t xml:space="preserve">14  </w:t>
            </w:r>
            <w:r>
              <w:rPr>
                <w:sz w:val="16"/>
                <w:szCs w:val="16"/>
              </w:rPr>
              <w:t xml:space="preserve">grouped</w:t>
            </w:r>
          </w:p>
        </w:tc>
      </w:tr>
      <w:tr>
        <w:tc>
          <w:tcPr>
            <w:tcW w:type="pct" w:w="2500"/>
            <w:tcMar>
              <w:top w:type="dxa" w:w="20"/>
              <w:left w:type="dxa" w:w="80"/>
              <w:bottom w:type="dxa" w:w="20"/>
              <w:right w:type="dxa" w:w="80"/>
            </w:tcMar>
          </w:tcPr>
          <w:p>
            <w:pPr>
              <w:spacing w:before="12" w:after="12"/>
            </w:pPr>
            <w:r>
              <w:rPr>
                <w:b/>
                <w:bCs/>
                <w:color w:val="8186EF"/>
                <w:sz w:val="16"/>
                <w:szCs w:val="16"/>
              </w:rPr>
              <w:t xml:space="preserve">2  </w:t>
            </w:r>
            <w:r>
              <w:rPr>
                <w:sz w:val="16"/>
                <w:szCs w:val="16"/>
              </w:rPr>
              <w:t xml:space="preserve">Limitations and links between the four stateme</w:t>
            </w:r>
          </w:p>
        </w:tc>
        <w:tc>
          <w:tcPr>
            <w:tcW w:type="pct" w:w="2500"/>
            <w:tcMar>
              <w:top w:type="dxa" w:w="20"/>
              <w:left w:type="dxa" w:w="80"/>
              <w:bottom w:type="dxa" w:w="20"/>
              <w:right w:type="dxa" w:w="80"/>
            </w:tcMar>
          </w:tcPr>
          <w:p>
            <w:pPr>
              <w:spacing w:before="12" w:after="12"/>
            </w:pPr>
            <w:r>
              <w:rPr>
                <w:b/>
                <w:bCs/>
                <w:color w:val="8186EF"/>
                <w:sz w:val="16"/>
                <w:szCs w:val="16"/>
              </w:rPr>
              <w:t xml:space="preserve">15  </w:t>
            </w:r>
            <w:r>
              <w:rPr>
                <w:sz w:val="16"/>
                <w:szCs w:val="16"/>
              </w:rPr>
              <w:t xml:space="preserve">Depreciation</w:t>
            </w:r>
          </w:p>
        </w:tc>
      </w:tr>
      <w:tr>
        <w:tc>
          <w:tcPr>
            <w:tcW w:type="pct" w:w="2500"/>
            <w:tcMar>
              <w:top w:type="dxa" w:w="20"/>
              <w:left w:type="dxa" w:w="80"/>
              <w:bottom w:type="dxa" w:w="20"/>
              <w:right w:type="dxa" w:w="80"/>
            </w:tcMar>
          </w:tcPr>
          <w:p>
            <w:pPr>
              <w:spacing w:before="12" w:after="12"/>
            </w:pPr>
            <w:r>
              <w:rPr>
                <w:b/>
                <w:bCs/>
                <w:color w:val="8186EF"/>
                <w:sz w:val="16"/>
                <w:szCs w:val="16"/>
              </w:rPr>
              <w:t xml:space="preserve">3  </w:t>
            </w:r>
            <w:r>
              <w:rPr>
                <w:sz w:val="16"/>
                <w:szCs w:val="16"/>
              </w:rPr>
              <w:t xml:space="preserve">company's</w:t>
            </w:r>
          </w:p>
        </w:tc>
        <w:tc>
          <w:tcPr>
            <w:tcW w:type="pct" w:w="2500"/>
            <w:tcMar>
              <w:top w:type="dxa" w:w="20"/>
              <w:left w:type="dxa" w:w="80"/>
              <w:bottom w:type="dxa" w:w="20"/>
              <w:right w:type="dxa" w:w="80"/>
            </w:tcMar>
          </w:tcPr>
          <w:p>
            <w:pPr>
              <w:spacing w:before="12" w:after="12"/>
            </w:pPr>
            <w:r>
              <w:rPr>
                <w:b/>
                <w:bCs/>
                <w:color w:val="8186EF"/>
                <w:sz w:val="16"/>
                <w:szCs w:val="16"/>
              </w:rPr>
              <w:t xml:space="preserve">16  </w:t>
            </w:r>
            <w:r>
              <w:rPr>
                <w:sz w:val="16"/>
                <w:szCs w:val="16"/>
              </w:rPr>
              <w:t xml:space="preserve">Gain on sale of equipment</w:t>
            </w:r>
          </w:p>
        </w:tc>
      </w:tr>
      <w:tr>
        <w:tc>
          <w:tcPr>
            <w:tcW w:type="pct" w:w="2500"/>
            <w:tcMar>
              <w:top w:type="dxa" w:w="20"/>
              <w:left w:type="dxa" w:w="80"/>
              <w:bottom w:type="dxa" w:w="20"/>
              <w:right w:type="dxa" w:w="80"/>
            </w:tcMar>
          </w:tcPr>
          <w:p>
            <w:pPr>
              <w:spacing w:before="12" w:after="12"/>
            </w:pPr>
            <w:r>
              <w:rPr>
                <w:b/>
                <w:bCs/>
                <w:color w:val="8186EF"/>
                <w:sz w:val="16"/>
                <w:szCs w:val="16"/>
              </w:rPr>
              <w:t xml:space="preserve">4  </w:t>
            </w:r>
            <w:r>
              <w:rPr>
                <w:sz w:val="16"/>
                <w:szCs w:val="16"/>
              </w:rPr>
              <w:t xml:space="preserve">payments</w:t>
            </w:r>
          </w:p>
        </w:tc>
        <w:tc>
          <w:tcPr>
            <w:tcW w:type="pct" w:w="2500"/>
            <w:tcMar>
              <w:top w:type="dxa" w:w="20"/>
              <w:left w:type="dxa" w:w="80"/>
              <w:bottom w:type="dxa" w:w="20"/>
              <w:right w:type="dxa" w:w="80"/>
            </w:tcMar>
          </w:tcPr>
          <w:p>
            <w:pPr>
              <w:spacing w:before="12" w:after="12"/>
            </w:pPr>
            <w:r>
              <w:rPr>
                <w:b/>
                <w:bCs/>
                <w:color w:val="8186EF"/>
                <w:sz w:val="16"/>
                <w:szCs w:val="16"/>
              </w:rPr>
              <w:t xml:space="preserve">17  </w:t>
            </w:r>
            <w:r>
              <w:rPr>
                <w:sz w:val="16"/>
                <w:szCs w:val="16"/>
              </w:rPr>
              <w:t xml:space="preserve">Unrealized gains on securities</w:t>
            </w:r>
          </w:p>
        </w:tc>
      </w:tr>
      <w:tr>
        <w:tc>
          <w:tcPr>
            <w:tcW w:type="pct" w:w="2500"/>
            <w:tcMar>
              <w:top w:type="dxa" w:w="20"/>
              <w:left w:type="dxa" w:w="80"/>
              <w:bottom w:type="dxa" w:w="20"/>
              <w:right w:type="dxa" w:w="80"/>
            </w:tcMar>
          </w:tcPr>
          <w:p>
            <w:pPr>
              <w:spacing w:before="12" w:after="12"/>
            </w:pPr>
            <w:r>
              <w:rPr>
                <w:b/>
                <w:bCs/>
                <w:color w:val="8186EF"/>
                <w:sz w:val="16"/>
                <w:szCs w:val="16"/>
              </w:rPr>
              <w:t xml:space="preserve">5  </w:t>
            </w:r>
            <w:r>
              <w:rPr>
                <w:sz w:val="16"/>
                <w:szCs w:val="16"/>
              </w:rPr>
              <w:t xml:space="preserve">because</w:t>
            </w:r>
          </w:p>
        </w:tc>
        <w:tc>
          <w:tcPr>
            <w:tcW w:type="pct" w:w="2500"/>
            <w:tcMar>
              <w:top w:type="dxa" w:w="20"/>
              <w:left w:type="dxa" w:w="80"/>
              <w:bottom w:type="dxa" w:w="20"/>
              <w:right w:type="dxa" w:w="80"/>
            </w:tcMar>
          </w:tcPr>
          <w:p>
            <w:pPr>
              <w:spacing w:before="12" w:after="12"/>
            </w:pPr>
            <w:r>
              <w:rPr>
                <w:b/>
                <w:bCs/>
                <w:color w:val="8186EF"/>
                <w:sz w:val="16"/>
                <w:szCs w:val="16"/>
              </w:rPr>
              <w:t xml:space="preserve">18  </w:t>
            </w:r>
            <w:r>
              <w:rPr>
                <w:sz w:val="16"/>
                <w:szCs w:val="16"/>
              </w:rPr>
              <w:t xml:space="preserve">Increase in accounts receivable, net</w:t>
            </w:r>
          </w:p>
        </w:tc>
      </w:tr>
      <w:tr>
        <w:tc>
          <w:tcPr>
            <w:tcW w:type="pct" w:w="2500"/>
            <w:tcMar>
              <w:top w:type="dxa" w:w="20"/>
              <w:left w:type="dxa" w:w="80"/>
              <w:bottom w:type="dxa" w:w="20"/>
              <w:right w:type="dxa" w:w="80"/>
            </w:tcMar>
          </w:tcPr>
          <w:p>
            <w:pPr>
              <w:spacing w:before="12" w:after="12"/>
            </w:pPr>
            <w:r>
              <w:rPr>
                <w:b/>
                <w:bCs/>
                <w:color w:val="8186EF"/>
                <w:sz w:val="16"/>
                <w:szCs w:val="16"/>
              </w:rPr>
              <w:t xml:space="preserve">6  </w:t>
            </w:r>
            <w:r>
              <w:rPr>
                <w:sz w:val="16"/>
                <w:szCs w:val="16"/>
              </w:rPr>
              <w:t xml:space="preserve">whether</w:t>
            </w:r>
          </w:p>
        </w:tc>
        <w:tc>
          <w:tcPr>
            <w:tcW w:type="pct" w:w="2500"/>
            <w:tcMar>
              <w:top w:type="dxa" w:w="20"/>
              <w:left w:type="dxa" w:w="80"/>
              <w:bottom w:type="dxa" w:w="20"/>
              <w:right w:type="dxa" w:w="80"/>
            </w:tcMar>
          </w:tcPr>
          <w:p>
            <w:pPr>
              <w:spacing w:before="12" w:after="12"/>
            </w:pPr>
            <w:r>
              <w:rPr>
                <w:b/>
                <w:bCs/>
                <w:color w:val="8186EF"/>
                <w:sz w:val="16"/>
                <w:szCs w:val="16"/>
              </w:rPr>
              <w:t xml:space="preserve">19  </w:t>
            </w:r>
            <w:r>
              <w:rPr>
                <w:sz w:val="16"/>
                <w:szCs w:val="16"/>
              </w:rPr>
              <w:t xml:space="preserve">Increase in inventory</w:t>
            </w:r>
          </w:p>
        </w:tc>
      </w:tr>
      <w:tr>
        <w:tc>
          <w:tcPr>
            <w:tcW w:type="pct" w:w="2500"/>
            <w:tcMar>
              <w:top w:type="dxa" w:w="20"/>
              <w:left w:type="dxa" w:w="80"/>
              <w:bottom w:type="dxa" w:w="20"/>
              <w:right w:type="dxa" w:w="80"/>
            </w:tcMar>
          </w:tcPr>
          <w:p>
            <w:pPr>
              <w:spacing w:before="12" w:after="12"/>
            </w:pPr>
            <w:r>
              <w:rPr>
                <w:b/>
                <w:bCs/>
                <w:color w:val="8186EF"/>
                <w:sz w:val="16"/>
                <w:szCs w:val="16"/>
              </w:rPr>
              <w:t xml:space="preserve">7  </w:t>
            </w:r>
            <w:r>
              <w:rPr>
                <w:sz w:val="16"/>
                <w:szCs w:val="16"/>
              </w:rPr>
              <w:t xml:space="preserve">dividends</w:t>
            </w:r>
          </w:p>
        </w:tc>
        <w:tc>
          <w:tcPr>
            <w:tcW w:type="pct" w:w="2500"/>
            <w:tcMar>
              <w:top w:type="dxa" w:w="20"/>
              <w:left w:type="dxa" w:w="80"/>
              <w:bottom w:type="dxa" w:w="20"/>
              <w:right w:type="dxa" w:w="80"/>
            </w:tcMar>
          </w:tcPr>
          <w:p>
            <w:pPr>
              <w:spacing w:before="12" w:after="12"/>
            </w:pPr>
            <w:r>
              <w:rPr>
                <w:b/>
                <w:bCs/>
                <w:color w:val="8186EF"/>
                <w:sz w:val="16"/>
                <w:szCs w:val="16"/>
              </w:rPr>
              <w:t xml:space="preserve">20  </w:t>
            </w:r>
            <w:r>
              <w:rPr>
                <w:sz w:val="16"/>
                <w:szCs w:val="16"/>
              </w:rPr>
              <w:t xml:space="preserve">Increase in accounts payable</w:t>
            </w:r>
          </w:p>
        </w:tc>
      </w:tr>
      <w:tr>
        <w:tc>
          <w:tcPr>
            <w:tcW w:type="pct" w:w="2500"/>
            <w:tcMar>
              <w:top w:type="dxa" w:w="20"/>
              <w:left w:type="dxa" w:w="80"/>
              <w:bottom w:type="dxa" w:w="20"/>
              <w:right w:type="dxa" w:w="80"/>
            </w:tcMar>
          </w:tcPr>
          <w:p>
            <w:pPr>
              <w:spacing w:before="12" w:after="12"/>
            </w:pPr>
            <w:r>
              <w:rPr>
                <w:b/>
                <w:bCs/>
                <w:color w:val="8186EF"/>
                <w:sz w:val="16"/>
                <w:szCs w:val="16"/>
              </w:rPr>
              <w:t xml:space="preserve">8  </w:t>
            </w:r>
            <w:r>
              <w:rPr>
                <w:sz w:val="16"/>
                <w:szCs w:val="16"/>
              </w:rPr>
              <w:t xml:space="preserve">explains</w:t>
            </w:r>
          </w:p>
        </w:tc>
        <w:tc>
          <w:tcPr>
            <w:tcW w:type="pct" w:w="2500"/>
            <w:tcMar>
              <w:top w:type="dxa" w:w="20"/>
              <w:left w:type="dxa" w:w="80"/>
              <w:bottom w:type="dxa" w:w="20"/>
              <w:right w:type="dxa" w:w="80"/>
            </w:tcMar>
          </w:tcPr>
          <w:p>
            <w:pPr>
              <w:spacing w:before="12" w:after="12"/>
            </w:pPr>
            <w:r>
              <w:rPr>
                <w:b/>
                <w:bCs/>
                <w:color w:val="8186EF"/>
                <w:sz w:val="16"/>
                <w:szCs w:val="16"/>
              </w:rPr>
              <w:t xml:space="preserve">21  </w:t>
            </w:r>
            <w:r>
              <w:rPr>
                <w:sz w:val="16"/>
                <w:szCs w:val="16"/>
              </w:rPr>
              <w:t xml:space="preserve">Increase in accrued liabilities</w:t>
            </w:r>
          </w:p>
        </w:tc>
      </w:tr>
      <w:tr>
        <w:tc>
          <w:tcPr>
            <w:tcW w:type="pct" w:w="2500"/>
            <w:tcMar>
              <w:top w:type="dxa" w:w="20"/>
              <w:left w:type="dxa" w:w="80"/>
              <w:bottom w:type="dxa" w:w="20"/>
              <w:right w:type="dxa" w:w="80"/>
            </w:tcMar>
          </w:tcPr>
          <w:p>
            <w:pPr>
              <w:spacing w:before="12" w:after="12"/>
            </w:pPr>
            <w:r>
              <w:rPr>
                <w:b/>
                <w:bCs/>
                <w:color w:val="8186EF"/>
                <w:sz w:val="16"/>
                <w:szCs w:val="16"/>
              </w:rPr>
              <w:t xml:space="preserve">9  </w:t>
            </w:r>
            <w:r>
              <w:rPr>
                <w:sz w:val="16"/>
                <w:szCs w:val="16"/>
              </w:rPr>
              <w:t xml:space="preserve">restricted</w:t>
            </w:r>
          </w:p>
        </w:tc>
        <w:tc>
          <w:tcPr>
            <w:tcW w:type="pct" w:w="2500"/>
            <w:tcMar>
              <w:top w:type="dxa" w:w="20"/>
              <w:left w:type="dxa" w:w="80"/>
              <w:bottom w:type="dxa" w:w="20"/>
              <w:right w:type="dxa" w:w="80"/>
            </w:tcMar>
          </w:tcPr>
          <w:p>
            <w:pPr>
              <w:spacing w:before="12" w:after="12"/>
            </w:pPr>
            <w:r>
              <w:rPr>
                <w:b/>
                <w:bCs/>
                <w:color w:val="8186EF"/>
                <w:sz w:val="16"/>
                <w:szCs w:val="16"/>
              </w:rPr>
              <w:t xml:space="preserve">22  </w:t>
            </w:r>
            <w:r>
              <w:rPr>
                <w:sz w:val="16"/>
                <w:szCs w:val="16"/>
              </w:rPr>
              <w:t xml:space="preserve">Issuance of common stock</w:t>
            </w:r>
          </w:p>
        </w:tc>
      </w:tr>
      <w:tr>
        <w:tc>
          <w:tcPr>
            <w:tcW w:type="pct" w:w="2500"/>
            <w:tcMar>
              <w:top w:type="dxa" w:w="20"/>
              <w:left w:type="dxa" w:w="80"/>
              <w:bottom w:type="dxa" w:w="20"/>
              <w:right w:type="dxa" w:w="80"/>
            </w:tcMar>
          </w:tcPr>
          <w:p>
            <w:pPr>
              <w:spacing w:before="12" w:after="12"/>
            </w:pPr>
            <w:r>
              <w:rPr>
                <w:b/>
                <w:bCs/>
                <w:color w:val="8186EF"/>
                <w:sz w:val="16"/>
                <w:szCs w:val="16"/>
              </w:rPr>
              <w:t xml:space="preserve">10  </w:t>
            </w:r>
            <w:r>
              <w:rPr>
                <w:sz w:val="16"/>
                <w:szCs w:val="16"/>
              </w:rPr>
              <w:t xml:space="preserve">short-term</w:t>
            </w:r>
          </w:p>
        </w:tc>
        <w:tc>
          <w:tcPr>
            <w:tcW w:type="pct" w:w="2500"/>
            <w:tcMar>
              <w:top w:type="dxa" w:w="20"/>
              <w:left w:type="dxa" w:w="80"/>
              <w:bottom w:type="dxa" w:w="20"/>
              <w:right w:type="dxa" w:w="80"/>
            </w:tcMar>
          </w:tcPr>
          <w:p>
            <w:pPr>
              <w:spacing w:before="12" w:after="12"/>
            </w:pPr>
            <w:r>
              <w:rPr>
                <w:b/>
                <w:bCs/>
                <w:color w:val="8186EF"/>
                <w:sz w:val="16"/>
                <w:szCs w:val="16"/>
              </w:rPr>
              <w:t xml:space="preserve">23  </w:t>
            </w:r>
            <w:r>
              <w:rPr>
                <w:sz w:val="16"/>
                <w:szCs w:val="16"/>
              </w:rPr>
              <w:t xml:space="preserve">Supplemental disclosures</w:t>
            </w:r>
          </w:p>
        </w:tc>
      </w:tr>
      <w:tr>
        <w:tc>
          <w:tcPr>
            <w:tcW w:type="pct" w:w="2500"/>
            <w:tcMar>
              <w:top w:type="dxa" w:w="20"/>
              <w:left w:type="dxa" w:w="80"/>
              <w:bottom w:type="dxa" w:w="20"/>
              <w:right w:type="dxa" w:w="80"/>
            </w:tcMar>
          </w:tcPr>
          <w:p>
            <w:pPr>
              <w:spacing w:before="12" w:after="12"/>
            </w:pPr>
            <w:r>
              <w:rPr>
                <w:b/>
                <w:bCs/>
                <w:color w:val="8186EF"/>
                <w:sz w:val="16"/>
                <w:szCs w:val="16"/>
              </w:rPr>
              <w:t xml:space="preserve">11  </w:t>
            </w:r>
            <w:r>
              <w:rPr>
                <w:sz w:val="16"/>
                <w:szCs w:val="16"/>
              </w:rPr>
              <w:t xml:space="preserve">investments</w:t>
            </w:r>
          </w:p>
        </w:tc>
        <w:tc>
          <w:tcPr>
            <w:tcW w:type="pct" w:w="2500"/>
            <w:tcMar>
              <w:top w:type="dxa" w:w="20"/>
              <w:left w:type="dxa" w:w="80"/>
              <w:bottom w:type="dxa" w:w="20"/>
              <w:right w:type="dxa" w:w="80"/>
            </w:tcMar>
          </w:tcPr>
          <w:p>
            <w:pPr>
              <w:spacing w:before="12" w:after="12"/>
            </w:pPr>
            <w:r>
              <w:rPr>
                <w:b/>
                <w:bCs/>
                <w:color w:val="8186EF"/>
                <w:sz w:val="16"/>
                <w:szCs w:val="16"/>
              </w:rPr>
              <w:t xml:space="preserve">24  </w:t>
            </w:r>
            <w:r>
              <w:rPr>
                <w:sz w:val="16"/>
                <w:szCs w:val="16"/>
              </w:rPr>
              <w:t xml:space="preserve">Interest paid</w:t>
            </w:r>
          </w:p>
        </w:tc>
      </w:tr>
      <w:tr>
        <w:tc>
          <w:tcPr>
            <w:tcW w:type="pct" w:w="2500"/>
            <w:tcMar>
              <w:top w:type="dxa" w:w="20"/>
              <w:left w:type="dxa" w:w="80"/>
              <w:bottom w:type="dxa" w:w="20"/>
              <w:right w:type="dxa" w:w="80"/>
            </w:tcMar>
          </w:tcPr>
          <w:p>
            <w:pPr>
              <w:spacing w:before="12" w:after="12"/>
            </w:pPr>
            <w:r>
              <w:rPr>
                <w:b/>
                <w:bCs/>
                <w:color w:val="8186EF"/>
                <w:sz w:val="16"/>
                <w:szCs w:val="16"/>
              </w:rPr>
              <w:t xml:space="preserve">12  </w:t>
            </w:r>
            <w:r>
              <w:rPr>
                <w:sz w:val="16"/>
                <w:szCs w:val="16"/>
              </w:rPr>
              <w:t xml:space="preserve">Moving</w:t>
            </w:r>
          </w:p>
        </w:tc>
        <w:tc>
          <w:tcPr>
            <w:tcW w:type="pct" w:w="2500"/>
            <w:tcMar>
              <w:top w:type="dxa" w:w="20"/>
              <w:left w:type="dxa" w:w="80"/>
              <w:bottom w:type="dxa" w:w="20"/>
              <w:right w:type="dxa" w:w="80"/>
            </w:tcMar>
          </w:tcPr>
          <w:p>
            <w:pPr>
              <w:spacing w:before="12" w:after="12"/>
            </w:pPr>
            <w:r>
              <w:rPr>
                <w:b/>
                <w:bCs/>
                <w:color w:val="8186EF"/>
                <w:sz w:val="16"/>
                <w:szCs w:val="16"/>
              </w:rPr>
              <w:t xml:space="preserve">25  </w:t>
            </w:r>
            <w:r>
              <w:rPr>
                <w:sz w:val="16"/>
                <w:szCs w:val="16"/>
              </w:rPr>
              <w:t xml:space="preserve">operating activities</w:t>
            </w:r>
          </w:p>
        </w:tc>
      </w:tr>
      <w:tr>
        <w:tc>
          <w:tcPr>
            <w:tcW w:type="pct" w:w="2500"/>
            <w:tcMar>
              <w:top w:type="dxa" w:w="20"/>
              <w:left w:type="dxa" w:w="80"/>
              <w:bottom w:type="dxa" w:w="20"/>
              <w:right w:type="dxa" w:w="80"/>
            </w:tcMar>
          </w:tcPr>
          <w:p>
            <w:pPr>
              <w:spacing w:before="12" w:after="12"/>
            </w:pPr>
            <w:r>
              <w:rPr>
                <w:b/>
                <w:bCs/>
                <w:color w:val="8186EF"/>
                <w:sz w:val="16"/>
                <w:szCs w:val="16"/>
              </w:rPr>
              <w:t xml:space="preserve">13  </w:t>
            </w:r>
            <w:r>
              <w:rPr>
                <w:sz w:val="16"/>
                <w:szCs w:val="16"/>
              </w:rPr>
              <w:t xml:space="preserve">categories</w:t>
            </w:r>
          </w:p>
        </w:tc>
        <w:tc>
          <w:tcPr>
            <w:tcW w:type="pct" w:w="2500"/>
            <w:tcMar>
              <w:top w:type="dxa" w:w="20"/>
              <w:left w:type="dxa" w:w="80"/>
              <w:bottom w:type="dxa" w:w="20"/>
              <w:right w:type="dxa" w:w="80"/>
            </w:tcMar>
          </w:tcPr>
          <w:p>
            <w:pPr>
              <w:spacing w:before="12" w:after="12"/>
            </w:pPr>
            <w:r>
              <w:rPr>
                <w:b/>
                <w:bCs/>
                <w:color w:val="8186EF"/>
                <w:sz w:val="16"/>
                <w:szCs w:val="16"/>
              </w:rPr>
              <w:t xml:space="preserve">26  </w:t>
            </w:r>
            <w:r>
              <w:rPr>
                <w:sz w:val="16"/>
                <w:szCs w:val="16"/>
              </w:rPr>
              <w:t xml:space="preserve">financing activities</w:t>
            </w:r>
          </w:p>
        </w:tc>
      </w:tr>
    </w:tbl>
    <w:p/>
    <w:p>
      <w:pPr>
        <w:spacing w:before="50" w:after="14"/>
      </w:pPr>
      <w:r>
        <w:rPr>
          <w:b/>
          <w:bCs/>
          <w:color w:val="353A7C"/>
          <w:sz w:val="18"/>
          <w:szCs w:val="18"/>
        </w:rPr>
        <w:t xml:space="preserve">the summaries in full</w:t>
      </w:r>
    </w:p>
    <w:p>
      <w:pPr>
        <w:spacing w:before="20" w:after="20"/>
        <w:ind w:left="240" w:hanging="240"/>
      </w:pPr>
      <w:r>
        <w:rPr>
          <w:b/>
          <w:bCs/>
          <w:color w:val="353A7C"/>
          <w:sz w:val="15"/>
          <w:szCs w:val="15"/>
        </w:rPr>
        <w:t xml:space="preserve">Summary 1   </w:t>
      </w:r>
      <w:r>
        <w:rPr>
          <w:color w:val="6B7280"/>
          <w:sz w:val="15"/>
          <w:szCs w:val="15"/>
        </w:rPr>
        <w:t xml:space="preserve">The statement of cash flows reports a company's cash receipts and cash payments for a period. Users need it because profit is not cash. It helps them judge whether the company can produce cash, pay its debts and dividends, and fund its growth without new financing. The statement explains the change in cash, cash equivalents and restricted cash together. Cash equivalents are short-term, highly liquid investments with an original maturity to the holder of three months or less. Moving money between these categories is not a cash flow. Cash flows are grouped into operating activities, investing activities and financing activities. Operating activities provided $7,531,100, investing used $4,179,000, and financing provided $1,850,000. Cash rose by $5,202,100, to the $7,302,100 shown on the balance sheet. Strong operating cash is a good sign, but a reader should also ask where the cash went. Orontes spent heavily on equipment and on its investment in Jordan Glass, and it also raised new shares and a bank loan.</w:t>
      </w:r>
    </w:p>
    <w:p>
      <w:pPr>
        <w:sectPr>
          <w:headerReference w:type="default" r:id="rIdHdr2"/>
          <w:pgSz w:w="11906" w:h="16838" w:orient="portrait"/>
          <w:pgMar w:top="1180" w:right="1000" w:bottom="900" w:left="1000" w:header="708" w:footer="708" w:gutter="0"/>
          <w:docGrid w:linePitch="360"/>
          <w:pgNumType w:start="1"/>
        </w:sectPr>
      </w:pPr>
    </w:p>
    <w:tbl>
      <w:tblPr>
        <w:tblW w:type="pct" w:w="100%"/>
        <w:tblLayout w:type="fixed"/>
        <w:tblBorders>
          <w:top w:val="single" w:color="353A7C" w:sz="8"/>
          <w:left w:val="single" w:color="353A7C" w:sz="8"/>
          <w:bottom w:val="single" w:color="353A7C" w:sz="8"/>
          <w:right w:val="single" w:color="353A7C" w:sz="8"/>
          <w:insideH w:val="single" w:color="353A7C" w:sz="8"/>
          <w:insideV w:val="single" w:color="353A7C" w:sz="8"/>
        </w:tblBorders>
      </w:tblPr>
      <w:tblGrid>
        <w:gridCol w:w="9600"/>
      </w:tblGrid>
      <w:tr>
        <w:tc>
          <w:tcPr>
            <w:tcW w:type="pct" w:w="5000"/>
            <w:shd w:fill="353A7C" w:val="clear"/>
            <w:tcMar>
              <w:top w:type="dxa" w:w="80"/>
              <w:left w:type="dxa" w:w="140"/>
              <w:bottom w:type="dxa" w:w="80"/>
              <w:right w:type="dxa" w:w="140"/>
            </w:tcMar>
          </w:tcPr>
          <w:p>
            <w:pPr>
              <w:spacing w:before="50" w:after="14"/>
            </w:pPr>
            <w:r>
              <w:rPr>
                <w:b/>
                <w:bCs/>
                <w:color w:val="FFFFFF"/>
                <w:sz w:val="22"/>
                <w:szCs w:val="22"/>
              </w:rPr>
              <w:t xml:space="preserve">5.2  Classifying cash flows</w:t>
            </w:r>
          </w:p>
          <w:p>
            <w:pPr>
              <w:spacing w:before="0" w:after="46"/>
            </w:pPr>
            <w:r>
              <w:rPr>
                <w:color w:val="E8EAF6"/>
                <w:sz w:val="16"/>
                <w:szCs w:val="16"/>
              </w:rPr>
              <w:t xml:space="preserve">Chapter 5 · section 5.2</w:t>
            </w:r>
          </w:p>
        </w:tc>
      </w:tr>
    </w:tbl>
    <w:p/>
    <w:p>
      <w:pPr>
        <w:spacing w:before="10" w:after="40"/>
      </w:pPr>
      <w:r>
        <w:rPr>
          <w:color w:val="6B7280"/>
          <w:sz w:val="17"/>
          <w:szCs w:val="17"/>
        </w:rPr>
        <w:t xml:space="preserve">Fill every gap. Each word list holds one word more than there are gaps.</w:t>
      </w:r>
    </w:p>
    <w:p>
      <w:pPr>
        <w:spacing w:before="44" w:after="14"/>
      </w:pPr>
      <w:r>
        <w:rPr>
          <w:b/>
          <w:bCs/>
          <w:color w:val="353A7C"/>
          <w:sz w:val="18"/>
          <w:szCs w:val="18"/>
        </w:rPr>
        <w:t xml:space="preserve">Summary 1</w:t>
      </w:r>
      <w:r>
        <w:rPr>
          <w:color w:val="6B7280"/>
          <w:sz w:val="16"/>
          <w:szCs w:val="16"/>
        </w:rPr>
        <w:t xml:space="preserve">      gaps 1–10</w:t>
      </w:r>
    </w:p>
    <w:p>
      <w:pPr>
        <w:spacing w:before="20" w:after="20" w:line="360" w:lineRule="auto"/>
        <w:ind w:left="200"/>
      </w:pPr>
      <w:r>
        <w:rPr>
          <w:sz w:val="19"/>
          <w:szCs w:val="19"/>
        </w:rPr>
        <w:t xml:space="preserve">Operating activities are the main revenue activities: cash from </w:t>
      </w:r>
      <w:r>
        <w:rPr>
          <w:b/>
          <w:bCs/>
          <w:color w:val="8186EF"/>
          <w:sz w:val="15"/>
          <w:szCs w:val="15"/>
        </w:rPr>
        <w:t xml:space="preserve"> (1) </w:t>
      </w:r>
      <w:r>
        <w:rPr>
          <w:u w:val="single"/>
          <w:sz w:val="19"/>
          <w:szCs w:val="19"/>
        </w:rPr>
        <w:t xml:space="preserve">           </w:t>
      </w:r>
      <w:r>
        <w:rPr>
          <w:sz w:val="19"/>
          <w:szCs w:val="19"/>
        </w:rPr>
        <w:t xml:space="preserve"> </w:t>
      </w:r>
      <w:r>
        <w:rPr>
          <w:sz w:val="19"/>
          <w:szCs w:val="19"/>
        </w:rPr>
        <w:t xml:space="preserve"> and cash paid to </w:t>
      </w:r>
      <w:r>
        <w:rPr>
          <w:b/>
          <w:bCs/>
          <w:color w:val="8186EF"/>
          <w:sz w:val="15"/>
          <w:szCs w:val="15"/>
        </w:rPr>
        <w:t xml:space="preserve"> (2) </w:t>
      </w:r>
      <w:r>
        <w:rPr>
          <w:u w:val="single"/>
          <w:sz w:val="19"/>
          <w:szCs w:val="19"/>
        </w:rPr>
        <w:t xml:space="preserve">           </w:t>
      </w:r>
      <w:r>
        <w:rPr>
          <w:sz w:val="19"/>
          <w:szCs w:val="19"/>
        </w:rPr>
        <w:t xml:space="preserve"> </w:t>
      </w:r>
      <w:r>
        <w:rPr>
          <w:sz w:val="19"/>
          <w:szCs w:val="19"/>
        </w:rPr>
        <w:t xml:space="preserve"> and employees. </w:t>
      </w:r>
      <w:r>
        <w:rPr>
          <w:sz w:val="19"/>
          <w:szCs w:val="19"/>
        </w:rPr>
        <w:t xml:space="preserve"/>
      </w:r>
      <w:r>
        <w:rPr>
          <w:b/>
          <w:bCs/>
          <w:color w:val="8186EF"/>
          <w:sz w:val="15"/>
          <w:szCs w:val="15"/>
        </w:rPr>
        <w:t xml:space="preserve"> (3) </w:t>
      </w:r>
      <w:r>
        <w:rPr>
          <w:u w:val="single"/>
          <w:sz w:val="19"/>
          <w:szCs w:val="19"/>
        </w:rPr>
        <w:t xml:space="preserve">           </w:t>
      </w:r>
      <w:r>
        <w:rPr>
          <w:sz w:val="19"/>
          <w:szCs w:val="19"/>
        </w:rPr>
        <w:t xml:space="preserve"> </w:t>
      </w:r>
      <w:r>
        <w:rPr>
          <w:sz w:val="19"/>
          <w:szCs w:val="19"/>
        </w:rPr>
        <w:t xml:space="preserve"> that is not investing or financing is also operating. </w:t>
      </w:r>
      <w:r>
        <w:rPr>
          <w:sz w:val="19"/>
          <w:szCs w:val="19"/>
        </w:rPr>
        <w:t xml:space="preserve">Investing activities involve </w:t>
      </w:r>
      <w:r>
        <w:rPr>
          <w:b/>
          <w:bCs/>
          <w:color w:val="8186EF"/>
          <w:sz w:val="15"/>
          <w:szCs w:val="15"/>
        </w:rPr>
        <w:t xml:space="preserve"> (4) </w:t>
      </w:r>
      <w:r>
        <w:rPr>
          <w:u w:val="single"/>
          <w:sz w:val="19"/>
          <w:szCs w:val="19"/>
        </w:rPr>
        <w:t xml:space="preserve">           </w:t>
      </w:r>
      <w:r>
        <w:rPr>
          <w:sz w:val="19"/>
          <w:szCs w:val="19"/>
        </w:rPr>
        <w:t xml:space="preserve"> </w:t>
      </w:r>
      <w:r>
        <w:rPr>
          <w:sz w:val="19"/>
          <w:szCs w:val="19"/>
        </w:rPr>
        <w:t xml:space="preserve"> assets and other companies' </w:t>
      </w:r>
      <w:r>
        <w:rPr>
          <w:b/>
          <w:bCs/>
          <w:color w:val="8186EF"/>
          <w:sz w:val="15"/>
          <w:szCs w:val="15"/>
        </w:rPr>
        <w:t xml:space="preserve"> (5) </w:t>
      </w:r>
      <w:r>
        <w:rPr>
          <w:u w:val="single"/>
          <w:sz w:val="19"/>
          <w:szCs w:val="19"/>
        </w:rPr>
        <w:t xml:space="preserve">            </w:t>
      </w:r>
      <w:r>
        <w:rPr>
          <w:sz w:val="19"/>
          <w:szCs w:val="19"/>
        </w:rPr>
        <w:t xml:space="preserve"> </w:t>
      </w:r>
      <w:r>
        <w:rPr>
          <w:sz w:val="19"/>
          <w:szCs w:val="19"/>
        </w:rPr>
        <w:t xml:space="preserve">: Orontes paid $3,000,000 for equipment and $1,200,000 for its Jordan Glass shares. </w:t>
      </w:r>
      <w:r>
        <w:rPr>
          <w:sz w:val="19"/>
          <w:szCs w:val="19"/>
        </w:rPr>
        <w:t xml:space="preserve">Financing activities are with owners and </w:t>
      </w:r>
      <w:r>
        <w:rPr>
          <w:b/>
          <w:bCs/>
          <w:color w:val="8186EF"/>
          <w:sz w:val="15"/>
          <w:szCs w:val="15"/>
        </w:rPr>
        <w:t xml:space="preserve"> (6) </w:t>
      </w:r>
      <w:r>
        <w:rPr>
          <w:u w:val="single"/>
          <w:sz w:val="19"/>
          <w:szCs w:val="19"/>
        </w:rPr>
        <w:t xml:space="preserve">           </w:t>
      </w:r>
      <w:r>
        <w:rPr>
          <w:sz w:val="19"/>
          <w:szCs w:val="19"/>
        </w:rPr>
        <w:t xml:space="preserve"> </w:t>
      </w:r>
      <w:r>
        <w:rPr>
          <w:sz w:val="19"/>
          <w:szCs w:val="19"/>
        </w:rPr>
        <w:t xml:space="preserve">. </w:t>
      </w:r>
      <w:r>
        <w:rPr>
          <w:sz w:val="19"/>
          <w:szCs w:val="19"/>
        </w:rPr>
        <w:t xml:space="preserve">They include issuing and buying back shares, </w:t>
      </w:r>
      <w:r>
        <w:rPr>
          <w:b/>
          <w:bCs/>
          <w:color w:val="8186EF"/>
          <w:sz w:val="15"/>
          <w:szCs w:val="15"/>
        </w:rPr>
        <w:t xml:space="preserve"> (7) </w:t>
      </w:r>
      <w:r>
        <w:rPr>
          <w:u w:val="single"/>
          <w:sz w:val="19"/>
          <w:szCs w:val="19"/>
        </w:rPr>
        <w:t xml:space="preserve">           </w:t>
      </w:r>
      <w:r>
        <w:rPr>
          <w:sz w:val="19"/>
          <w:szCs w:val="19"/>
        </w:rPr>
        <w:t xml:space="preserve"> </w:t>
      </w:r>
      <w:r>
        <w:rPr>
          <w:sz w:val="19"/>
          <w:szCs w:val="19"/>
        </w:rPr>
        <w:t xml:space="preserve"> and repaying </w:t>
      </w:r>
      <w:r>
        <w:rPr>
          <w:b/>
          <w:bCs/>
          <w:color w:val="8186EF"/>
          <w:sz w:val="15"/>
          <w:szCs w:val="15"/>
        </w:rPr>
        <w:t xml:space="preserve"> (8) </w:t>
      </w:r>
      <w:r>
        <w:rPr>
          <w:u w:val="single"/>
          <w:sz w:val="19"/>
          <w:szCs w:val="19"/>
        </w:rPr>
        <w:t xml:space="preserve">           </w:t>
      </w:r>
      <w:r>
        <w:rPr>
          <w:sz w:val="19"/>
          <w:szCs w:val="19"/>
        </w:rPr>
        <w:t xml:space="preserve"> </w:t>
      </w:r>
      <w:r>
        <w:rPr>
          <w:sz w:val="19"/>
          <w:szCs w:val="19"/>
        </w:rPr>
        <w:t xml:space="preserve">, and paying dividends. </w:t>
      </w:r>
      <w:r>
        <w:rPr>
          <w:sz w:val="19"/>
          <w:szCs w:val="19"/>
        </w:rPr>
        <w:t xml:space="preserve">Orontes received $1,500,000 from its share issue and $800,000 from the bank note, </w:t>
      </w:r>
      <w:r>
        <w:rPr>
          <w:b/>
          <w:bCs/>
          <w:color w:val="8186EF"/>
          <w:sz w:val="15"/>
          <w:szCs w:val="15"/>
        </w:rPr>
        <w:t xml:space="preserve"> (9) </w:t>
      </w:r>
      <w:r>
        <w:rPr>
          <w:u w:val="single"/>
          <w:sz w:val="19"/>
          <w:szCs w:val="19"/>
        </w:rPr>
        <w:t xml:space="preserve">           </w:t>
      </w:r>
      <w:r>
        <w:rPr>
          <w:sz w:val="19"/>
          <w:szCs w:val="19"/>
        </w:rPr>
        <w:t xml:space="preserve"> </w:t>
      </w:r>
      <w:r>
        <w:rPr>
          <w:sz w:val="19"/>
          <w:szCs w:val="19"/>
        </w:rPr>
        <w:t xml:space="preserve"> $400,000 of debt and paid $50,000 of dividends. </w:t>
      </w:r>
      <w:r>
        <w:rPr>
          <w:sz w:val="19"/>
          <w:szCs w:val="19"/>
        </w:rPr>
        <w:t xml:space="preserve">U.S. GAAP fixes four items that </w:t>
      </w:r>
      <w:r>
        <w:rPr>
          <w:b/>
          <w:bCs/>
          <w:color w:val="8186EF"/>
          <w:sz w:val="15"/>
          <w:szCs w:val="15"/>
        </w:rPr>
        <w:t xml:space="preserve"> (10) </w:t>
      </w:r>
      <w:r>
        <w:rPr>
          <w:u w:val="single"/>
          <w:sz w:val="19"/>
          <w:szCs w:val="19"/>
        </w:rPr>
        <w:t xml:space="preserve">           </w:t>
      </w:r>
      <w:r>
        <w:rPr>
          <w:sz w:val="19"/>
          <w:szCs w:val="19"/>
        </w:rPr>
        <w:t xml:space="preserve"> </w:t>
      </w:r>
      <w:r>
        <w:rPr>
          <w:sz w:val="19"/>
          <w:szCs w:val="19"/>
        </w:rPr>
        <w:t xml:space="preserve"> often get wrong. </w:t>
      </w:r>
      <w:r>
        <w:rPr>
          <w:sz w:val="19"/>
          <w:szCs w:val="19"/>
        </w:rPr>
        <w:t xml:space="preserve">Interest paid, interest received, dividends received and income taxes are all operating. </w:t>
      </w:r>
      <w:r>
        <w:rPr>
          <w:sz w:val="19"/>
          <w:szCs w:val="19"/>
        </w:rPr>
        <w:t xml:space="preserve">Only dividends paid are financing. </w:t>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repaid   ·   students   ·   borrowing   ·   lenders   ·   securities   ·   suppliers   ·   long-term   ·   disclosed   ·   Anything   ·   customers   ·   principal</w:t>
            </w:r>
          </w:p>
        </w:tc>
      </w:tr>
    </w:tbl>
    <w:p/>
    <w:p>
      <w:pPr>
        <w:spacing w:before="44" w:after="10"/>
      </w:pPr>
      <w:r>
        <w:rPr>
          <w:b/>
          <w:bCs/>
          <w:color w:val="353A7C"/>
          <w:sz w:val="18"/>
          <w:szCs w:val="18"/>
        </w:rPr>
        <w:t xml:space="preserve">Classifying interest, dividends and taxes: U.S. GAAP and IFRS</w:t>
      </w:r>
    </w:p>
    <w:p>
      <w:pPr>
        <w:spacing w:before="0" w:after="12"/>
      </w:pPr>
      <w:r>
        <w:rPr>
          <w:color w:val="6B7280"/>
          <w:sz w:val="15"/>
          <w:szCs w:val="15"/>
        </w:rPr>
        <w:t xml:space="preserve">Every item belongs to exactly one group.</w:t>
      </w:r>
    </w:p>
    <w:p>
      <w:pPr>
        <w:spacing w:after="40" w:before="90"/>
        <w:jc w:val="center"/>
      </w:pPr>
      <w:r>
        <w:drawing>
          <wp:inline distT="0" distB="0" distL="0" distR="0">
            <wp:extent cx="5734050" cy="21276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3" cstate="none"/>
                    <a:srcRect/>
                    <a:stretch>
                      <a:fillRect/>
                    </a:stretch>
                  </pic:blipFill>
                  <pic:spPr bwMode="auto">
                    <a:xfrm>
                      <a:off x="0" y="0"/>
                      <a:ext cx="5734050" cy="2127625"/>
                    </a:xfrm>
                    <a:prstGeom prst="rect">
                      <a:avLst/>
                    </a:prstGeom>
                  </pic:spPr>
                </pic:pic>
              </a:graphicData>
            </a:graphic>
          </wp:inline>
        </w:drawing>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Income taxes paid   ·   Dividends received   ·   Interest received</w:t>
            </w:r>
          </w:p>
        </w:tc>
      </w:tr>
    </w:tbl>
    <w:p/>
    <w:p>
      <w:pPr>
        <w:spacing w:before="44" w:after="14"/>
      </w:pPr>
      <w:r>
        <w:rPr>
          <w:b/>
          <w:bCs/>
          <w:color w:val="353A7C"/>
          <w:sz w:val="18"/>
          <w:szCs w:val="18"/>
        </w:rPr>
        <w:t xml:space="preserve">Summary 2</w:t>
      </w:r>
      <w:r>
        <w:rPr>
          <w:color w:val="6B7280"/>
          <w:sz w:val="16"/>
          <w:szCs w:val="16"/>
        </w:rPr>
        <w:t xml:space="preserve">      gaps 13–19</w:t>
      </w:r>
    </w:p>
    <w:p>
      <w:pPr>
        <w:spacing w:before="20" w:after="20" w:line="360" w:lineRule="auto"/>
        <w:ind w:left="200"/>
      </w:pPr>
      <w:r>
        <w:rPr>
          <w:sz w:val="19"/>
          <w:szCs w:val="19"/>
        </w:rPr>
        <w:t xml:space="preserve">Some investing and financing </w:t>
      </w:r>
      <w:r>
        <w:rPr>
          <w:b/>
          <w:bCs/>
          <w:color w:val="8186EF"/>
          <w:sz w:val="15"/>
          <w:szCs w:val="15"/>
        </w:rPr>
        <w:t xml:space="preserve"> (13) </w:t>
      </w:r>
      <w:r>
        <w:rPr>
          <w:u w:val="single"/>
          <w:sz w:val="19"/>
          <w:szCs w:val="19"/>
        </w:rPr>
        <w:t xml:space="preserve">              </w:t>
      </w:r>
      <w:r>
        <w:rPr>
          <w:sz w:val="19"/>
          <w:szCs w:val="19"/>
        </w:rPr>
        <w:t xml:space="preserve"> </w:t>
      </w:r>
      <w:r>
        <w:rPr>
          <w:sz w:val="19"/>
          <w:szCs w:val="19"/>
        </w:rPr>
        <w:t xml:space="preserve"> involve no cash at all, such as buying land by </w:t>
      </w:r>
      <w:r>
        <w:rPr>
          <w:b/>
          <w:bCs/>
          <w:color w:val="8186EF"/>
          <w:sz w:val="15"/>
          <w:szCs w:val="15"/>
        </w:rPr>
        <w:t xml:space="preserve"> (14) </w:t>
      </w:r>
      <w:r>
        <w:rPr>
          <w:u w:val="single"/>
          <w:sz w:val="19"/>
          <w:szCs w:val="19"/>
        </w:rPr>
        <w:t xml:space="preserve">           </w:t>
      </w:r>
      <w:r>
        <w:rPr>
          <w:sz w:val="19"/>
          <w:szCs w:val="19"/>
        </w:rPr>
        <w:t xml:space="preserve"> </w:t>
      </w:r>
      <w:r>
        <w:rPr>
          <w:sz w:val="19"/>
          <w:szCs w:val="19"/>
        </w:rPr>
        <w:t xml:space="preserve"> shares or a note. </w:t>
      </w:r>
      <w:r>
        <w:rPr>
          <w:sz w:val="19"/>
          <w:szCs w:val="19"/>
        </w:rPr>
        <w:t xml:space="preserve">These noncash investing and financing </w:t>
      </w:r>
      <w:r>
        <w:rPr>
          <w:b/>
          <w:bCs/>
          <w:color w:val="8186EF"/>
          <w:sz w:val="15"/>
          <w:szCs w:val="15"/>
        </w:rPr>
        <w:t xml:space="preserve"> (15) </w:t>
      </w:r>
      <w:r>
        <w:rPr>
          <w:u w:val="single"/>
          <w:sz w:val="19"/>
          <w:szCs w:val="19"/>
        </w:rPr>
        <w:t xml:space="preserve">            </w:t>
      </w:r>
      <w:r>
        <w:rPr>
          <w:sz w:val="19"/>
          <w:szCs w:val="19"/>
        </w:rPr>
        <w:t xml:space="preserve"> </w:t>
      </w:r>
      <w:r>
        <w:rPr>
          <w:sz w:val="19"/>
          <w:szCs w:val="19"/>
        </w:rPr>
        <w:t xml:space="preserve"> are not shown in the body of the </w:t>
      </w:r>
      <w:r>
        <w:rPr>
          <w:b/>
          <w:bCs/>
          <w:color w:val="8186EF"/>
          <w:sz w:val="15"/>
          <w:szCs w:val="15"/>
        </w:rPr>
        <w:t xml:space="preserve"> (16) </w:t>
      </w:r>
      <w:r>
        <w:rPr>
          <w:u w:val="single"/>
          <w:sz w:val="19"/>
          <w:szCs w:val="19"/>
        </w:rPr>
        <w:t xml:space="preserve">           </w:t>
      </w:r>
      <w:r>
        <w:rPr>
          <w:sz w:val="19"/>
          <w:szCs w:val="19"/>
        </w:rPr>
        <w:t xml:space="preserve"> </w:t>
      </w:r>
      <w:r>
        <w:rPr>
          <w:sz w:val="19"/>
          <w:szCs w:val="19"/>
        </w:rPr>
        <w:t xml:space="preserve">. </w:t>
      </w:r>
      <w:r>
        <w:rPr>
          <w:sz w:val="19"/>
          <w:szCs w:val="19"/>
        </w:rPr>
        <w:t xml:space="preserve">They are disclosed </w:t>
      </w:r>
      <w:r>
        <w:rPr>
          <w:b/>
          <w:bCs/>
          <w:color w:val="8186EF"/>
          <w:sz w:val="15"/>
          <w:szCs w:val="15"/>
        </w:rPr>
        <w:t xml:space="preserve"> (17) </w:t>
      </w:r>
      <w:r>
        <w:rPr>
          <w:u w:val="single"/>
          <w:sz w:val="19"/>
          <w:szCs w:val="19"/>
        </w:rPr>
        <w:t xml:space="preserve">            </w:t>
      </w:r>
      <w:r>
        <w:rPr>
          <w:sz w:val="19"/>
          <w:szCs w:val="19"/>
        </w:rPr>
        <w:t xml:space="preserve"> </w:t>
      </w:r>
      <w:r>
        <w:rPr>
          <w:sz w:val="19"/>
          <w:szCs w:val="19"/>
        </w:rPr>
        <w:t xml:space="preserve">. </w:t>
      </w:r>
      <w:r>
        <w:rPr>
          <w:sz w:val="19"/>
          <w:szCs w:val="19"/>
        </w:rPr>
        <w:t xml:space="preserve"/>
      </w:r>
      <w:r>
        <w:rPr>
          <w:b/>
          <w:bCs/>
          <w:color w:val="8186EF"/>
          <w:sz w:val="15"/>
          <w:szCs w:val="15"/>
        </w:rPr>
        <w:t xml:space="preserve"> (18) </w:t>
      </w:r>
      <w:r>
        <w:rPr>
          <w:u w:val="single"/>
          <w:sz w:val="19"/>
          <w:szCs w:val="19"/>
        </w:rPr>
        <w:t xml:space="preserve">           </w:t>
      </w:r>
      <w:r>
        <w:rPr>
          <w:sz w:val="19"/>
          <w:szCs w:val="19"/>
        </w:rPr>
        <w:t xml:space="preserve"> </w:t>
      </w:r>
      <w:r>
        <w:rPr>
          <w:sz w:val="19"/>
          <w:szCs w:val="19"/>
        </w:rPr>
        <w:t xml:space="preserve"> had none in 2025. </w:t>
      </w:r>
      <w:r>
        <w:rPr>
          <w:sz w:val="19"/>
          <w:szCs w:val="19"/>
        </w:rPr>
        <w:t xml:space="preserve">Under IAS 7 today, interest paid can be operating or financing, and interest and </w:t>
      </w:r>
      <w:r>
        <w:rPr>
          <w:b/>
          <w:bCs/>
          <w:color w:val="8186EF"/>
          <w:sz w:val="15"/>
          <w:szCs w:val="15"/>
        </w:rPr>
        <w:t xml:space="preserve"> (19) </w:t>
      </w:r>
      <w:r>
        <w:rPr>
          <w:u w:val="single"/>
          <w:sz w:val="19"/>
          <w:szCs w:val="19"/>
        </w:rPr>
        <w:t xml:space="preserve">           </w:t>
      </w:r>
      <w:r>
        <w:rPr>
          <w:sz w:val="19"/>
          <w:szCs w:val="19"/>
        </w:rPr>
        <w:t xml:space="preserve"> </w:t>
      </w:r>
      <w:r>
        <w:rPr>
          <w:sz w:val="19"/>
          <w:szCs w:val="19"/>
        </w:rPr>
        <w:t xml:space="preserve"> received can be operating or investing. </w:t>
      </w:r>
      <w:r>
        <w:rPr>
          <w:sz w:val="19"/>
          <w:szCs w:val="19"/>
        </w:rPr>
        <w:t xml:space="preserve">The amendments that come with IFRS 18 remove some choices from 2027, but they are not testable before about January 2028. </w:t>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Orontes   ·   statement   ·   transactions   ·   issuing   ·   dividends   ·   separately   ·   equipment   ·   activities</w:t>
            </w:r>
          </w:p>
        </w:tc>
      </w:tr>
    </w:tbl>
    <w:p/>
    <w:tbl>
      <w:tblPr>
        <w:tblW w:type="pct" w:w="100%"/>
        <w:tblLayout w:type="fixed"/>
        <w:tblBorders>
          <w:top w:val="single" w:color="353A7C" w:sz="4"/>
          <w:left w:val="single" w:color="353A7C" w:sz="4"/>
          <w:bottom w:val="single" w:color="353A7C" w:sz="4"/>
          <w:right w:val="single" w:color="353A7C" w:sz="4"/>
          <w:insideH w:val="single" w:color="353A7C" w:sz="4"/>
          <w:insideV w:val="single" w:color="353A7C" w:sz="4"/>
        </w:tblBorders>
      </w:tblPr>
      <w:tblGrid>
        <w:gridCol w:w="9600"/>
      </w:tblGrid>
      <w:tr>
        <w:tc>
          <w:tcPr>
            <w:tcW w:type="pct" w:w="5000"/>
            <w:shd w:fill="F2F4FB" w:val="clear"/>
            <w:tcMar>
              <w:top w:type="dxa" w:w="50"/>
              <w:left w:type="dxa" w:w="110"/>
              <w:bottom w:type="dxa" w:w="50"/>
              <w:right w:type="dxa" w:w="110"/>
            </w:tcMar>
          </w:tcPr>
          <w:p>
            <w:pPr>
              <w:spacing w:before="30" w:after="30"/>
            </w:pPr>
            <w:r>
              <w:rPr>
                <w:b/>
                <w:bCs/>
                <w:color w:val="353A7C"/>
                <w:sz w:val="19"/>
                <w:szCs w:val="19"/>
              </w:rPr>
              <w:t xml:space="preserve">Which activity?</w:t>
            </w:r>
          </w:p>
        </w:tc>
      </w:tr>
    </w:tbl>
    <w:p/>
    <w:p>
      <w:pPr>
        <w:spacing w:before="20" w:after="20" w:line="360" w:lineRule="auto"/>
        <w:ind w:left="200"/>
      </w:pPr>
      <w:r>
        <w:rPr>
          <w:sz w:val="19"/>
          <w:szCs w:val="19"/>
        </w:rPr>
        <w:t xml:space="preserve">The first two are done. Classify the other four under U.S. GAAP.</w:t>
      </w:r>
    </w:p>
    <w:p>
      <w:pPr>
        <w:pageBreakBefore w:val="true"/>
        <w:spacing w:after="0"/>
      </w:pPr>
      <w:r>
        <w:rPr>
          <w:sz w:val="2"/>
        </w:rPr>
        <w:t xml:space="preserve"> </w:t>
      </w:r>
    </w:p>
    <w:p>
      <w:pPr>
        <w:spacing w:before="44" w:after="10"/>
      </w:pPr>
      <w:r>
        <w:rPr>
          <w:b/>
          <w:bCs/>
          <w:color w:val="353A7C"/>
          <w:sz w:val="18"/>
          <w:szCs w:val="18"/>
        </w:rPr>
        <w:t xml:space="preserve">Which activity? (complete the blanks)</w:t>
      </w:r>
    </w:p>
    <w:p>
      <w:pPr>
        <w:spacing w:before="0" w:after="12"/>
      </w:pPr>
      <w:r>
        <w:rPr>
          <w:color w:val="6B7280"/>
          <w:sz w:val="15"/>
          <w:szCs w:val="15"/>
        </w:rPr>
        <w:t xml:space="preserve">Every item belongs to exactly one group.</w:t>
      </w:r>
    </w:p>
    <w:p>
      <w:pPr>
        <w:spacing w:after="40" w:before="90"/>
        <w:jc w:val="center"/>
      </w:pPr>
      <w:r>
        <w:drawing>
          <wp:inline distT="0" distB="0" distL="0" distR="0">
            <wp:extent cx="5734050" cy="23238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4" cstate="none"/>
                    <a:srcRect/>
                    <a:stretch>
                      <a:fillRect/>
                    </a:stretch>
                  </pic:blipFill>
                  <pic:spPr bwMode="auto">
                    <a:xfrm>
                      <a:off x="0" y="0"/>
                      <a:ext cx="5734050" cy="2323800"/>
                    </a:xfrm>
                    <a:prstGeom prst="rect">
                      <a:avLst/>
                    </a:prstGeom>
                  </pic:spPr>
                </pic:pic>
              </a:graphicData>
            </a:graphic>
          </wp:inline>
        </w:drawing>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Cash paid to buy back the company's own shares   ·   Land acquired by issuing a long-term note (no cash)   ·   Cash paid to buy a delivery truck</w:t>
            </w:r>
          </w:p>
        </w:tc>
      </w:tr>
    </w:tbl>
    <w:p/>
    <w:tbl>
      <w:tblPr>
        <w:tblW w:type="pct" w:w="100%"/>
        <w:tblLayout w:type="fixed"/>
        <w:tblBorders>
          <w:top w:val="single" w:color="353A7C" w:sz="4"/>
          <w:left w:val="single" w:color="353A7C" w:sz="4"/>
          <w:bottom w:val="single" w:color="353A7C" w:sz="4"/>
          <w:right w:val="single" w:color="353A7C" w:sz="4"/>
          <w:insideH w:val="single" w:color="353A7C" w:sz="4"/>
          <w:insideV w:val="single" w:color="353A7C" w:sz="4"/>
        </w:tblBorders>
      </w:tblPr>
      <w:tblGrid>
        <w:gridCol w:w="9600"/>
      </w:tblGrid>
      <w:tr>
        <w:tc>
          <w:tcPr>
            <w:tcW w:type="pct" w:w="5000"/>
            <w:shd w:fill="F2F4FB" w:val="clear"/>
            <w:tcMar>
              <w:top w:type="dxa" w:w="50"/>
              <w:left w:type="dxa" w:w="110"/>
              <w:bottom w:type="dxa" w:w="50"/>
              <w:right w:type="dxa" w:w="110"/>
            </w:tcMar>
          </w:tcPr>
          <w:p>
            <w:pPr>
              <w:spacing w:before="30" w:after="30"/>
            </w:pPr>
            <w:r>
              <w:rPr>
                <w:b/>
                <w:bCs/>
                <w:color w:val="353A7C"/>
                <w:sz w:val="19"/>
                <w:szCs w:val="19"/>
              </w:rPr>
              <w:t xml:space="preserve">Classification traps</w:t>
            </w:r>
          </w:p>
        </w:tc>
      </w:tr>
    </w:tbl>
    <w:p/>
    <w:p>
      <w:pPr>
        <w:spacing w:before="44" w:after="14"/>
      </w:pPr>
      <w:r>
        <w:rPr>
          <w:b/>
          <w:bCs/>
          <w:color w:val="353A7C"/>
          <w:sz w:val="18"/>
          <w:szCs w:val="18"/>
        </w:rPr>
        <w:t xml:space="preserve">Summary 3</w:t>
      </w:r>
      <w:r>
        <w:rPr>
          <w:color w:val="6B7280"/>
          <w:sz w:val="16"/>
          <w:szCs w:val="16"/>
        </w:rPr>
        <w:t xml:space="preserve">      gaps 22–23</w:t>
      </w:r>
    </w:p>
    <w:p>
      <w:pPr>
        <w:spacing w:before="20" w:after="20" w:line="360" w:lineRule="auto"/>
        <w:ind w:left="200"/>
      </w:pPr>
      <w:r>
        <w:rPr>
          <w:sz w:val="19"/>
          <w:szCs w:val="19"/>
        </w:rPr>
        <w:t xml:space="preserve">Interest paid is operating, not financing, under U.S. GAAP. </w:t>
      </w:r>
      <w:r>
        <w:rPr>
          <w:sz w:val="19"/>
          <w:szCs w:val="19"/>
        </w:rPr>
        <w:t xml:space="preserve">Dividends paid are financing; dividends </w:t>
      </w:r>
      <w:r>
        <w:rPr>
          <w:b/>
          <w:bCs/>
          <w:color w:val="8186EF"/>
          <w:sz w:val="15"/>
          <w:szCs w:val="15"/>
        </w:rPr>
        <w:t xml:space="preserve"> (22) </w:t>
      </w:r>
      <w:r>
        <w:rPr>
          <w:u w:val="single"/>
          <w:sz w:val="19"/>
          <w:szCs w:val="19"/>
        </w:rPr>
        <w:t xml:space="preserve">           </w:t>
      </w:r>
      <w:r>
        <w:rPr>
          <w:sz w:val="19"/>
          <w:szCs w:val="19"/>
        </w:rPr>
        <w:t xml:space="preserve"> </w:t>
      </w:r>
      <w:r>
        <w:rPr>
          <w:sz w:val="19"/>
          <w:szCs w:val="19"/>
        </w:rPr>
        <w:t xml:space="preserve"> are operating. </w:t>
      </w:r>
      <w:r>
        <w:rPr>
          <w:sz w:val="19"/>
          <w:szCs w:val="19"/>
        </w:rPr>
        <w:t xml:space="preserve">A note issued for land is not a cash flow: </w:t>
      </w:r>
      <w:r>
        <w:rPr>
          <w:b/>
          <w:bCs/>
          <w:color w:val="8186EF"/>
          <w:sz w:val="15"/>
          <w:szCs w:val="15"/>
        </w:rPr>
        <w:t xml:space="preserve"> (23) </w:t>
      </w:r>
      <w:r>
        <w:rPr>
          <w:u w:val="single"/>
          <w:sz w:val="19"/>
          <w:szCs w:val="19"/>
        </w:rPr>
        <w:t xml:space="preserve">           </w:t>
      </w:r>
      <w:r>
        <w:rPr>
          <w:sz w:val="19"/>
          <w:szCs w:val="19"/>
        </w:rPr>
        <w:t xml:space="preserve"> </w:t>
      </w:r>
      <w:r>
        <w:rPr>
          <w:sz w:val="19"/>
          <w:szCs w:val="19"/>
        </w:rPr>
        <w:t xml:space="preserve"> it. </w:t>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suppliers   ·   received   ·   disclose</w:t>
            </w:r>
          </w:p>
        </w:tc>
      </w:tr>
    </w:tbl>
    <w:p/>
    <w:p>
      <w:pPr>
        <w:spacing w:before="44" w:after="10"/>
      </w:pPr>
      <w:r>
        <w:rPr>
          <w:b/>
          <w:bCs/>
          <w:color w:val="353A7C"/>
          <w:sz w:val="18"/>
          <w:szCs w:val="18"/>
        </w:rPr>
        <w:t xml:space="preserve">The English this section uses, and its Arabic</w:t>
      </w:r>
    </w:p>
    <w:p>
      <w:pPr>
        <w:spacing w:before="0" w:after="12"/>
      </w:pPr>
      <w:r>
        <w:rPr>
          <w:color w:val="6B7280"/>
          <w:sz w:val="15"/>
          <w:szCs w:val="15"/>
        </w:rPr>
        <w:t xml:space="preserve">Each term sits against what it means.</w:t>
      </w:r>
    </w:p>
    <w:p>
      <w:pPr>
        <w:spacing w:after="40" w:before="90"/>
        <w:jc w:val="center"/>
      </w:pPr>
      <w:r>
        <w:drawing>
          <wp:inline distT="0" distB="0" distL="0" distR="0">
            <wp:extent cx="5734050" cy="29123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5" cstate="none"/>
                    <a:srcRect/>
                    <a:stretch>
                      <a:fillRect/>
                    </a:stretch>
                  </pic:blipFill>
                  <pic:spPr bwMode="auto">
                    <a:xfrm>
                      <a:off x="0" y="0"/>
                      <a:ext cx="5734050" cy="2912300"/>
                    </a:xfrm>
                    <a:prstGeom prst="rect">
                      <a:avLst/>
                    </a:prstGeom>
                  </pic:spPr>
                </pic:pic>
              </a:graphicData>
            </a:graphic>
          </wp:inline>
        </w:drawing>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cash equivalents   ·   financing activities   ·   investing activities</w:t>
            </w:r>
          </w:p>
        </w:tc>
      </w:tr>
    </w:tbl>
    <w:p/>
    <w:p>
      <w:pPr>
        <w:pageBreakBefore w:val="true"/>
        <w:spacing w:after="0"/>
      </w:pPr>
      <w:r>
        <w:rPr>
          <w:sz w:val="2"/>
        </w:rPr>
        <w:t xml:space="preserve"> </w:t>
      </w:r>
    </w:p>
    <w:tbl>
      <w:tblPr>
        <w:tblW w:type="pct" w:w="100%"/>
        <w:tblLayout w:type="fixed"/>
        <w:tblBorders>
          <w:top w:val="single" w:color="353A7C" w:sz="6"/>
          <w:left w:val="single" w:color="353A7C" w:sz="6"/>
          <w:bottom w:val="single" w:color="353A7C" w:sz="6"/>
          <w:right w:val="single" w:color="353A7C" w:sz="6"/>
          <w:insideH w:val="single" w:color="353A7C" w:sz="6"/>
          <w:insideV w:val="single" w:color="353A7C" w:sz="6"/>
        </w:tblBorders>
      </w:tblPr>
      <w:tblGrid>
        <w:gridCol w:w="4903"/>
        <w:gridCol w:w="4697"/>
      </w:tblGrid>
      <w:tr>
        <w:tc>
          <w:tcPr>
            <w:tcW w:type="pct" w:w="5000"/>
            <w:gridSpan w:val="2"/>
            <w:shd w:fill="353A7C" w:val="clear"/>
            <w:tcMar>
              <w:top w:type="dxa" w:w="60"/>
              <w:left w:type="dxa" w:w="120"/>
              <w:bottom w:type="dxa" w:w="60"/>
              <w:right w:type="dxa" w:w="120"/>
            </w:tcMar>
          </w:tcPr>
          <w:p>
            <w:pPr>
              <w:spacing w:before="40" w:after="40"/>
            </w:pPr>
            <w:r>
              <w:rPr>
                <w:b/>
                <w:bCs/>
                <w:color w:val="FFFFFF"/>
                <w:sz w:val="17"/>
                <w:szCs w:val="17"/>
              </w:rPr>
              <w:t xml:space="preserve">The English this sheet uses, and its Arabic</w:t>
            </w:r>
          </w:p>
        </w:tc>
      </w:tr>
      <w:tr>
        <w:tc>
          <w:tcPr>
            <w:tcW w:type="pct" w:w="2554"/>
            <w:tcMar>
              <w:top w:type="dxa" w:w="50"/>
              <w:left w:type="dxa" w:w="110"/>
              <w:bottom w:type="dxa" w:w="50"/>
              <w:right w:type="dxa" w:w="110"/>
            </w:tcMar>
          </w:tcPr>
          <w:p>
            <w:pPr>
              <w:spacing w:before="26" w:after="26"/>
            </w:pPr>
            <w:r>
              <w:rPr>
                <w:b/>
                <w:bCs/>
                <w:color w:val="353A7C"/>
                <w:sz w:val="15"/>
                <w:szCs w:val="15"/>
              </w:rPr>
              <w:t xml:space="preserve">English (exam term)</w:t>
            </w:r>
          </w:p>
        </w:tc>
        <w:tc>
          <w:tcPr>
            <w:tcW w:type="pct" w:w="2446"/>
            <w:tcMar>
              <w:top w:type="dxa" w:w="50"/>
              <w:left w:type="dxa" w:w="110"/>
              <w:bottom w:type="dxa" w:w="50"/>
              <w:right w:type="dxa" w:w="110"/>
            </w:tcMar>
          </w:tcPr>
          <w:p>
            <w:pPr>
              <w:spacing w:before="26" w:after="26"/>
            </w:pPr>
            <w:r>
              <w:rPr>
                <w:b/>
                <w:bCs/>
                <w:color w:val="353A7C"/>
                <w:sz w:val="15"/>
                <w:szCs w:val="15"/>
              </w:rPr>
              <w:t xml:space="preserve">Arabic</w:t>
            </w:r>
          </w:p>
        </w:tc>
      </w:tr>
      <w:tr>
        <w:tc>
          <w:tcPr>
            <w:tcW w:type="pct" w:w="2554"/>
            <w:tcMar>
              <w:top w:type="dxa" w:w="50"/>
              <w:left w:type="dxa" w:w="110"/>
              <w:bottom w:type="dxa" w:w="50"/>
              <w:right w:type="dxa" w:w="110"/>
            </w:tcMar>
          </w:tcPr>
          <w:p>
            <w:pPr>
              <w:spacing w:before="26" w:after="26"/>
            </w:pPr>
            <w:r>
              <w:rPr>
                <w:color w:val="232733"/>
                <w:sz w:val="16"/>
                <w:szCs w:val="16"/>
              </w:rPr>
              <w:t xml:space="preserve">noncash investing and financing activities</w:t>
            </w:r>
          </w:p>
        </w:tc>
        <w:tc>
          <w:tcPr>
            <w:tcW w:type="pct" w:w="2446"/>
            <w:tcMar>
              <w:top w:type="dxa" w:w="50"/>
              <w:left w:type="dxa" w:w="110"/>
              <w:bottom w:type="dxa" w:w="50"/>
              <w:right w:type="dxa" w:w="110"/>
            </w:tcMar>
          </w:tcPr>
          <w:p>
            <w:pPr>
              <w:spacing w:before="26" w:after="26"/>
            </w:pPr>
            <w:r>
              <w:rPr>
                <w:color w:val="232733"/>
                <w:sz w:val="16"/>
                <w:szCs w:val="16"/>
              </w:rPr>
              <w:t xml:space="preserve">الأنشطة الاستثمارية والتمويلية غير النقدية</w:t>
            </w:r>
          </w:p>
        </w:tc>
      </w:tr>
    </w:tbl>
    <w:p/>
    <w:p>
      <w:pPr>
        <w:sectPr>
          <w:headerReference w:type="default" r:id="rIdHdr3"/>
          <w:pgSz w:w="11906" w:h="16838" w:orient="portrait"/>
          <w:pgMar w:top="1180" w:right="1000" w:bottom="900" w:left="1000" w:header="708" w:footer="708" w:gutter="0"/>
          <w:docGrid w:linePitch="360"/>
          <w:pgNumType w:start="1"/>
        </w:sectPr>
      </w:pPr>
    </w:p>
    <w:tbl>
      <w:tblPr>
        <w:tblW w:type="pct" w:w="100%"/>
        <w:tblLayout w:type="fixed"/>
        <w:tblBorders>
          <w:top w:val="single" w:color="353A7C" w:sz="8"/>
          <w:left w:val="single" w:color="353A7C" w:sz="8"/>
          <w:bottom w:val="single" w:color="353A7C" w:sz="8"/>
          <w:right w:val="single" w:color="353A7C" w:sz="8"/>
          <w:insideH w:val="single" w:color="353A7C" w:sz="8"/>
          <w:insideV w:val="single" w:color="353A7C" w:sz="8"/>
        </w:tblBorders>
      </w:tblPr>
      <w:tblGrid>
        <w:gridCol w:w="9600"/>
      </w:tblGrid>
      <w:tr>
        <w:tc>
          <w:tcPr>
            <w:tcW w:type="pct" w:w="5000"/>
            <w:shd w:fill="353A7C" w:val="clear"/>
            <w:tcMar>
              <w:top w:type="dxa" w:w="80"/>
              <w:left w:type="dxa" w:w="140"/>
              <w:bottom w:type="dxa" w:w="80"/>
              <w:right w:type="dxa" w:w="140"/>
            </w:tcMar>
          </w:tcPr>
          <w:p>
            <w:pPr>
              <w:spacing w:before="60" w:after="60"/>
            </w:pPr>
            <w:r>
              <w:rPr>
                <w:b/>
                <w:bCs/>
                <w:color w:val="FFFFFF"/>
                <w:sz w:val="21"/>
                <w:szCs w:val="21"/>
              </w:rPr>
              <w:t xml:space="preserve">Answer key · 5.2  Classifying cash flows</w:t>
            </w:r>
          </w:p>
        </w:tc>
      </w:tr>
    </w:tbl>
    <w:p/>
    <w:tbl>
      <w:tblPr>
        <w:tblW w:type="pct" w:w="100%"/>
        <w:tblLayout w:type="fixed"/>
      </w:tblPr>
      <w:tblGrid>
        <w:gridCol w:w="4800"/>
        <w:gridCol w:w="4800"/>
      </w:tblGrid>
      <w:tr>
        <w:tc>
          <w:tcPr>
            <w:tcW w:type="pct" w:w="2500"/>
            <w:tcMar>
              <w:top w:type="dxa" w:w="20"/>
              <w:left w:type="dxa" w:w="80"/>
              <w:bottom w:type="dxa" w:w="20"/>
              <w:right w:type="dxa" w:w="80"/>
            </w:tcMar>
          </w:tcPr>
          <w:p>
            <w:pPr>
              <w:spacing w:before="12" w:after="12"/>
            </w:pPr>
            <w:r>
              <w:rPr>
                <w:b/>
                <w:bCs/>
                <w:color w:val="8186EF"/>
                <w:sz w:val="16"/>
                <w:szCs w:val="16"/>
              </w:rPr>
              <w:t xml:space="preserve">1  </w:t>
            </w:r>
            <w:r>
              <w:rPr>
                <w:sz w:val="16"/>
                <w:szCs w:val="16"/>
              </w:rPr>
              <w:t xml:space="preserve">customers</w:t>
            </w:r>
          </w:p>
        </w:tc>
        <w:tc>
          <w:tcPr>
            <w:tcW w:type="pct" w:w="2500"/>
            <w:tcMar>
              <w:top w:type="dxa" w:w="20"/>
              <w:left w:type="dxa" w:w="80"/>
              <w:bottom w:type="dxa" w:w="20"/>
              <w:right w:type="dxa" w:w="80"/>
            </w:tcMar>
          </w:tcPr>
          <w:p>
            <w:pPr>
              <w:spacing w:before="12" w:after="12"/>
            </w:pPr>
            <w:r>
              <w:rPr>
                <w:b/>
                <w:bCs/>
                <w:color w:val="8186EF"/>
                <w:sz w:val="16"/>
                <w:szCs w:val="16"/>
              </w:rPr>
              <w:t xml:space="preserve">14  </w:t>
            </w:r>
            <w:r>
              <w:rPr>
                <w:sz w:val="16"/>
                <w:szCs w:val="16"/>
              </w:rPr>
              <w:t xml:space="preserve">issuing</w:t>
            </w:r>
          </w:p>
        </w:tc>
      </w:tr>
      <w:tr>
        <w:tc>
          <w:tcPr>
            <w:tcW w:type="pct" w:w="2500"/>
            <w:tcMar>
              <w:top w:type="dxa" w:w="20"/>
              <w:left w:type="dxa" w:w="80"/>
              <w:bottom w:type="dxa" w:w="20"/>
              <w:right w:type="dxa" w:w="80"/>
            </w:tcMar>
          </w:tcPr>
          <w:p>
            <w:pPr>
              <w:spacing w:before="12" w:after="12"/>
            </w:pPr>
            <w:r>
              <w:rPr>
                <w:b/>
                <w:bCs/>
                <w:color w:val="8186EF"/>
                <w:sz w:val="16"/>
                <w:szCs w:val="16"/>
              </w:rPr>
              <w:t xml:space="preserve">2  </w:t>
            </w:r>
            <w:r>
              <w:rPr>
                <w:sz w:val="16"/>
                <w:szCs w:val="16"/>
              </w:rPr>
              <w:t xml:space="preserve">suppliers</w:t>
            </w:r>
          </w:p>
        </w:tc>
        <w:tc>
          <w:tcPr>
            <w:tcW w:type="pct" w:w="2500"/>
            <w:tcMar>
              <w:top w:type="dxa" w:w="20"/>
              <w:left w:type="dxa" w:w="80"/>
              <w:bottom w:type="dxa" w:w="20"/>
              <w:right w:type="dxa" w:w="80"/>
            </w:tcMar>
          </w:tcPr>
          <w:p>
            <w:pPr>
              <w:spacing w:before="12" w:after="12"/>
            </w:pPr>
            <w:r>
              <w:rPr>
                <w:b/>
                <w:bCs/>
                <w:color w:val="8186EF"/>
                <w:sz w:val="16"/>
                <w:szCs w:val="16"/>
              </w:rPr>
              <w:t xml:space="preserve">15  </w:t>
            </w:r>
            <w:r>
              <w:rPr>
                <w:sz w:val="16"/>
                <w:szCs w:val="16"/>
              </w:rPr>
              <w:t xml:space="preserve">activities</w:t>
            </w:r>
          </w:p>
        </w:tc>
      </w:tr>
      <w:tr>
        <w:tc>
          <w:tcPr>
            <w:tcW w:type="pct" w:w="2500"/>
            <w:tcMar>
              <w:top w:type="dxa" w:w="20"/>
              <w:left w:type="dxa" w:w="80"/>
              <w:bottom w:type="dxa" w:w="20"/>
              <w:right w:type="dxa" w:w="80"/>
            </w:tcMar>
          </w:tcPr>
          <w:p>
            <w:pPr>
              <w:spacing w:before="12" w:after="12"/>
            </w:pPr>
            <w:r>
              <w:rPr>
                <w:b/>
                <w:bCs/>
                <w:color w:val="8186EF"/>
                <w:sz w:val="16"/>
                <w:szCs w:val="16"/>
              </w:rPr>
              <w:t xml:space="preserve">3  </w:t>
            </w:r>
            <w:r>
              <w:rPr>
                <w:sz w:val="16"/>
                <w:szCs w:val="16"/>
              </w:rPr>
              <w:t xml:space="preserve">Anything</w:t>
            </w:r>
          </w:p>
        </w:tc>
        <w:tc>
          <w:tcPr>
            <w:tcW w:type="pct" w:w="2500"/>
            <w:tcMar>
              <w:top w:type="dxa" w:w="20"/>
              <w:left w:type="dxa" w:w="80"/>
              <w:bottom w:type="dxa" w:w="20"/>
              <w:right w:type="dxa" w:w="80"/>
            </w:tcMar>
          </w:tcPr>
          <w:p>
            <w:pPr>
              <w:spacing w:before="12" w:after="12"/>
            </w:pPr>
            <w:r>
              <w:rPr>
                <w:b/>
                <w:bCs/>
                <w:color w:val="8186EF"/>
                <w:sz w:val="16"/>
                <w:szCs w:val="16"/>
              </w:rPr>
              <w:t xml:space="preserve">16  </w:t>
            </w:r>
            <w:r>
              <w:rPr>
                <w:sz w:val="16"/>
                <w:szCs w:val="16"/>
              </w:rPr>
              <w:t xml:space="preserve">statement</w:t>
            </w:r>
          </w:p>
        </w:tc>
      </w:tr>
      <w:tr>
        <w:tc>
          <w:tcPr>
            <w:tcW w:type="pct" w:w="2500"/>
            <w:tcMar>
              <w:top w:type="dxa" w:w="20"/>
              <w:left w:type="dxa" w:w="80"/>
              <w:bottom w:type="dxa" w:w="20"/>
              <w:right w:type="dxa" w:w="80"/>
            </w:tcMar>
          </w:tcPr>
          <w:p>
            <w:pPr>
              <w:spacing w:before="12" w:after="12"/>
            </w:pPr>
            <w:r>
              <w:rPr>
                <w:b/>
                <w:bCs/>
                <w:color w:val="8186EF"/>
                <w:sz w:val="16"/>
                <w:szCs w:val="16"/>
              </w:rPr>
              <w:t xml:space="preserve">4  </w:t>
            </w:r>
            <w:r>
              <w:rPr>
                <w:sz w:val="16"/>
                <w:szCs w:val="16"/>
              </w:rPr>
              <w:t xml:space="preserve">long-term</w:t>
            </w:r>
          </w:p>
        </w:tc>
        <w:tc>
          <w:tcPr>
            <w:tcW w:type="pct" w:w="2500"/>
            <w:tcMar>
              <w:top w:type="dxa" w:w="20"/>
              <w:left w:type="dxa" w:w="80"/>
              <w:bottom w:type="dxa" w:w="20"/>
              <w:right w:type="dxa" w:w="80"/>
            </w:tcMar>
          </w:tcPr>
          <w:p>
            <w:pPr>
              <w:spacing w:before="12" w:after="12"/>
            </w:pPr>
            <w:r>
              <w:rPr>
                <w:b/>
                <w:bCs/>
                <w:color w:val="8186EF"/>
                <w:sz w:val="16"/>
                <w:szCs w:val="16"/>
              </w:rPr>
              <w:t xml:space="preserve">17  </w:t>
            </w:r>
            <w:r>
              <w:rPr>
                <w:sz w:val="16"/>
                <w:szCs w:val="16"/>
              </w:rPr>
              <w:t xml:space="preserve">separately</w:t>
            </w:r>
          </w:p>
        </w:tc>
      </w:tr>
      <w:tr>
        <w:tc>
          <w:tcPr>
            <w:tcW w:type="pct" w:w="2500"/>
            <w:tcMar>
              <w:top w:type="dxa" w:w="20"/>
              <w:left w:type="dxa" w:w="80"/>
              <w:bottom w:type="dxa" w:w="20"/>
              <w:right w:type="dxa" w:w="80"/>
            </w:tcMar>
          </w:tcPr>
          <w:p>
            <w:pPr>
              <w:spacing w:before="12" w:after="12"/>
            </w:pPr>
            <w:r>
              <w:rPr>
                <w:b/>
                <w:bCs/>
                <w:color w:val="8186EF"/>
                <w:sz w:val="16"/>
                <w:szCs w:val="16"/>
              </w:rPr>
              <w:t xml:space="preserve">5  </w:t>
            </w:r>
            <w:r>
              <w:rPr>
                <w:sz w:val="16"/>
                <w:szCs w:val="16"/>
              </w:rPr>
              <w:t xml:space="preserve">securities</w:t>
            </w:r>
          </w:p>
        </w:tc>
        <w:tc>
          <w:tcPr>
            <w:tcW w:type="pct" w:w="2500"/>
            <w:tcMar>
              <w:top w:type="dxa" w:w="20"/>
              <w:left w:type="dxa" w:w="80"/>
              <w:bottom w:type="dxa" w:w="20"/>
              <w:right w:type="dxa" w:w="80"/>
            </w:tcMar>
          </w:tcPr>
          <w:p>
            <w:pPr>
              <w:spacing w:before="12" w:after="12"/>
            </w:pPr>
            <w:r>
              <w:rPr>
                <w:b/>
                <w:bCs/>
                <w:color w:val="8186EF"/>
                <w:sz w:val="16"/>
                <w:szCs w:val="16"/>
              </w:rPr>
              <w:t xml:space="preserve">18  </w:t>
            </w:r>
            <w:r>
              <w:rPr>
                <w:sz w:val="16"/>
                <w:szCs w:val="16"/>
              </w:rPr>
              <w:t xml:space="preserve">Orontes</w:t>
            </w:r>
          </w:p>
        </w:tc>
      </w:tr>
      <w:tr>
        <w:tc>
          <w:tcPr>
            <w:tcW w:type="pct" w:w="2500"/>
            <w:tcMar>
              <w:top w:type="dxa" w:w="20"/>
              <w:left w:type="dxa" w:w="80"/>
              <w:bottom w:type="dxa" w:w="20"/>
              <w:right w:type="dxa" w:w="80"/>
            </w:tcMar>
          </w:tcPr>
          <w:p>
            <w:pPr>
              <w:spacing w:before="12" w:after="12"/>
            </w:pPr>
            <w:r>
              <w:rPr>
                <w:b/>
                <w:bCs/>
                <w:color w:val="8186EF"/>
                <w:sz w:val="16"/>
                <w:szCs w:val="16"/>
              </w:rPr>
              <w:t xml:space="preserve">6  </w:t>
            </w:r>
            <w:r>
              <w:rPr>
                <w:sz w:val="16"/>
                <w:szCs w:val="16"/>
              </w:rPr>
              <w:t xml:space="preserve">lenders</w:t>
            </w:r>
          </w:p>
        </w:tc>
        <w:tc>
          <w:tcPr>
            <w:tcW w:type="pct" w:w="2500"/>
            <w:tcMar>
              <w:top w:type="dxa" w:w="20"/>
              <w:left w:type="dxa" w:w="80"/>
              <w:bottom w:type="dxa" w:w="20"/>
              <w:right w:type="dxa" w:w="80"/>
            </w:tcMar>
          </w:tcPr>
          <w:p>
            <w:pPr>
              <w:spacing w:before="12" w:after="12"/>
            </w:pPr>
            <w:r>
              <w:rPr>
                <w:b/>
                <w:bCs/>
                <w:color w:val="8186EF"/>
                <w:sz w:val="16"/>
                <w:szCs w:val="16"/>
              </w:rPr>
              <w:t xml:space="preserve">19  </w:t>
            </w:r>
            <w:r>
              <w:rPr>
                <w:sz w:val="16"/>
                <w:szCs w:val="16"/>
              </w:rPr>
              <w:t xml:space="preserve">dividends</w:t>
            </w:r>
          </w:p>
        </w:tc>
      </w:tr>
      <w:tr>
        <w:tc>
          <w:tcPr>
            <w:tcW w:type="pct" w:w="2500"/>
            <w:tcMar>
              <w:top w:type="dxa" w:w="20"/>
              <w:left w:type="dxa" w:w="80"/>
              <w:bottom w:type="dxa" w:w="20"/>
              <w:right w:type="dxa" w:w="80"/>
            </w:tcMar>
          </w:tcPr>
          <w:p>
            <w:pPr>
              <w:spacing w:before="12" w:after="12"/>
            </w:pPr>
            <w:r>
              <w:rPr>
                <w:b/>
                <w:bCs/>
                <w:color w:val="8186EF"/>
                <w:sz w:val="16"/>
                <w:szCs w:val="16"/>
              </w:rPr>
              <w:t xml:space="preserve">7  </w:t>
            </w:r>
            <w:r>
              <w:rPr>
                <w:sz w:val="16"/>
                <w:szCs w:val="16"/>
              </w:rPr>
              <w:t xml:space="preserve">borrowing</w:t>
            </w:r>
          </w:p>
        </w:tc>
        <w:tc>
          <w:tcPr>
            <w:tcW w:type="pct" w:w="2500"/>
            <w:tcMar>
              <w:top w:type="dxa" w:w="20"/>
              <w:left w:type="dxa" w:w="80"/>
              <w:bottom w:type="dxa" w:w="20"/>
              <w:right w:type="dxa" w:w="80"/>
            </w:tcMar>
          </w:tcPr>
          <w:p>
            <w:pPr>
              <w:spacing w:before="12" w:after="12"/>
            </w:pPr>
            <w:r>
              <w:rPr>
                <w:b/>
                <w:bCs/>
                <w:color w:val="8186EF"/>
                <w:sz w:val="16"/>
                <w:szCs w:val="16"/>
              </w:rPr>
              <w:t xml:space="preserve">20  </w:t>
            </w:r>
            <w:r>
              <w:rPr>
                <w:sz w:val="16"/>
                <w:szCs w:val="16"/>
              </w:rPr>
              <w:t xml:space="preserve">Land acquired by issuing a long-term note (no cash)</w:t>
            </w:r>
          </w:p>
        </w:tc>
      </w:tr>
      <w:tr>
        <w:tc>
          <w:tcPr>
            <w:tcW w:type="pct" w:w="2500"/>
            <w:tcMar>
              <w:top w:type="dxa" w:w="20"/>
              <w:left w:type="dxa" w:w="80"/>
              <w:bottom w:type="dxa" w:w="20"/>
              <w:right w:type="dxa" w:w="80"/>
            </w:tcMar>
          </w:tcPr>
          <w:p>
            <w:pPr>
              <w:spacing w:before="12" w:after="12"/>
            </w:pPr>
            <w:r>
              <w:rPr>
                <w:b/>
                <w:bCs/>
                <w:color w:val="8186EF"/>
                <w:sz w:val="16"/>
                <w:szCs w:val="16"/>
              </w:rPr>
              <w:t xml:space="preserve">8  </w:t>
            </w:r>
            <w:r>
              <w:rPr>
                <w:sz w:val="16"/>
                <w:szCs w:val="16"/>
              </w:rPr>
              <w:t xml:space="preserve">principal</w:t>
            </w:r>
          </w:p>
        </w:tc>
        <w:tc>
          <w:tcPr>
            <w:tcW w:type="pct" w:w="2500"/>
            <w:tcMar>
              <w:top w:type="dxa" w:w="20"/>
              <w:left w:type="dxa" w:w="80"/>
              <w:bottom w:type="dxa" w:w="20"/>
              <w:right w:type="dxa" w:w="80"/>
            </w:tcMar>
          </w:tcPr>
          <w:p>
            <w:pPr>
              <w:spacing w:before="12" w:after="12"/>
            </w:pPr>
            <w:r>
              <w:rPr>
                <w:b/>
                <w:bCs/>
                <w:color w:val="8186EF"/>
                <w:sz w:val="16"/>
                <w:szCs w:val="16"/>
              </w:rPr>
              <w:t xml:space="preserve">21  </w:t>
            </w:r>
            <w:r>
              <w:rPr>
                <w:sz w:val="16"/>
                <w:szCs w:val="16"/>
              </w:rPr>
              <w:t xml:space="preserve">Cash paid to buy back the company's own shares</w:t>
            </w:r>
          </w:p>
        </w:tc>
      </w:tr>
      <w:tr>
        <w:tc>
          <w:tcPr>
            <w:tcW w:type="pct" w:w="2500"/>
            <w:tcMar>
              <w:top w:type="dxa" w:w="20"/>
              <w:left w:type="dxa" w:w="80"/>
              <w:bottom w:type="dxa" w:w="20"/>
              <w:right w:type="dxa" w:w="80"/>
            </w:tcMar>
          </w:tcPr>
          <w:p>
            <w:pPr>
              <w:spacing w:before="12" w:after="12"/>
            </w:pPr>
            <w:r>
              <w:rPr>
                <w:b/>
                <w:bCs/>
                <w:color w:val="8186EF"/>
                <w:sz w:val="16"/>
                <w:szCs w:val="16"/>
              </w:rPr>
              <w:t xml:space="preserve">9  </w:t>
            </w:r>
            <w:r>
              <w:rPr>
                <w:sz w:val="16"/>
                <w:szCs w:val="16"/>
              </w:rPr>
              <w:t xml:space="preserve">repaid</w:t>
            </w:r>
          </w:p>
        </w:tc>
        <w:tc>
          <w:tcPr>
            <w:tcW w:type="pct" w:w="2500"/>
            <w:tcMar>
              <w:top w:type="dxa" w:w="20"/>
              <w:left w:type="dxa" w:w="80"/>
              <w:bottom w:type="dxa" w:w="20"/>
              <w:right w:type="dxa" w:w="80"/>
            </w:tcMar>
          </w:tcPr>
          <w:p>
            <w:pPr>
              <w:spacing w:before="12" w:after="12"/>
            </w:pPr>
            <w:r>
              <w:rPr>
                <w:b/>
                <w:bCs/>
                <w:color w:val="8186EF"/>
                <w:sz w:val="16"/>
                <w:szCs w:val="16"/>
              </w:rPr>
              <w:t xml:space="preserve">22  </w:t>
            </w:r>
            <w:r>
              <w:rPr>
                <w:sz w:val="16"/>
                <w:szCs w:val="16"/>
              </w:rPr>
              <w:t xml:space="preserve">received</w:t>
            </w:r>
          </w:p>
        </w:tc>
      </w:tr>
      <w:tr>
        <w:tc>
          <w:tcPr>
            <w:tcW w:type="pct" w:w="2500"/>
            <w:tcMar>
              <w:top w:type="dxa" w:w="20"/>
              <w:left w:type="dxa" w:w="80"/>
              <w:bottom w:type="dxa" w:w="20"/>
              <w:right w:type="dxa" w:w="80"/>
            </w:tcMar>
          </w:tcPr>
          <w:p>
            <w:pPr>
              <w:spacing w:before="12" w:after="12"/>
            </w:pPr>
            <w:r>
              <w:rPr>
                <w:b/>
                <w:bCs/>
                <w:color w:val="8186EF"/>
                <w:sz w:val="16"/>
                <w:szCs w:val="16"/>
              </w:rPr>
              <w:t xml:space="preserve">10  </w:t>
            </w:r>
            <w:r>
              <w:rPr>
                <w:sz w:val="16"/>
                <w:szCs w:val="16"/>
              </w:rPr>
              <w:t xml:space="preserve">students</w:t>
            </w:r>
          </w:p>
        </w:tc>
        <w:tc>
          <w:tcPr>
            <w:tcW w:type="pct" w:w="2500"/>
            <w:tcMar>
              <w:top w:type="dxa" w:w="20"/>
              <w:left w:type="dxa" w:w="80"/>
              <w:bottom w:type="dxa" w:w="20"/>
              <w:right w:type="dxa" w:w="80"/>
            </w:tcMar>
          </w:tcPr>
          <w:p>
            <w:pPr>
              <w:spacing w:before="12" w:after="12"/>
            </w:pPr>
            <w:r>
              <w:rPr>
                <w:b/>
                <w:bCs/>
                <w:color w:val="8186EF"/>
                <w:sz w:val="16"/>
                <w:szCs w:val="16"/>
              </w:rPr>
              <w:t xml:space="preserve">23  </w:t>
            </w:r>
            <w:r>
              <w:rPr>
                <w:sz w:val="16"/>
                <w:szCs w:val="16"/>
              </w:rPr>
              <w:t xml:space="preserve">disclose</w:t>
            </w:r>
          </w:p>
        </w:tc>
      </w:tr>
      <w:tr>
        <w:tc>
          <w:tcPr>
            <w:tcW w:type="pct" w:w="2500"/>
            <w:tcMar>
              <w:top w:type="dxa" w:w="20"/>
              <w:left w:type="dxa" w:w="80"/>
              <w:bottom w:type="dxa" w:w="20"/>
              <w:right w:type="dxa" w:w="80"/>
            </w:tcMar>
          </w:tcPr>
          <w:p>
            <w:pPr>
              <w:spacing w:before="12" w:after="12"/>
            </w:pPr>
            <w:r>
              <w:rPr>
                <w:b/>
                <w:bCs/>
                <w:color w:val="8186EF"/>
                <w:sz w:val="16"/>
                <w:szCs w:val="16"/>
              </w:rPr>
              <w:t xml:space="preserve">11  </w:t>
            </w:r>
            <w:r>
              <w:rPr>
                <w:sz w:val="16"/>
                <w:szCs w:val="16"/>
              </w:rPr>
              <w:t xml:space="preserve">Interest received</w:t>
            </w:r>
          </w:p>
        </w:tc>
        <w:tc>
          <w:tcPr>
            <w:tcW w:type="pct" w:w="2500"/>
            <w:tcMar>
              <w:top w:type="dxa" w:w="20"/>
              <w:left w:type="dxa" w:w="80"/>
              <w:bottom w:type="dxa" w:w="20"/>
              <w:right w:type="dxa" w:w="80"/>
            </w:tcMar>
          </w:tcPr>
          <w:p>
            <w:pPr>
              <w:spacing w:before="12" w:after="12"/>
            </w:pPr>
            <w:r>
              <w:rPr>
                <w:b/>
                <w:bCs/>
                <w:color w:val="8186EF"/>
                <w:sz w:val="16"/>
                <w:szCs w:val="16"/>
              </w:rPr>
              <w:t xml:space="preserve">24  </w:t>
            </w:r>
            <w:r>
              <w:rPr>
                <w:sz w:val="16"/>
                <w:szCs w:val="16"/>
              </w:rPr>
              <w:t xml:space="preserve">investing activities</w:t>
            </w:r>
          </w:p>
        </w:tc>
      </w:tr>
      <w:tr>
        <w:tc>
          <w:tcPr>
            <w:tcW w:type="pct" w:w="2500"/>
            <w:tcMar>
              <w:top w:type="dxa" w:w="20"/>
              <w:left w:type="dxa" w:w="80"/>
              <w:bottom w:type="dxa" w:w="20"/>
              <w:right w:type="dxa" w:w="80"/>
            </w:tcMar>
          </w:tcPr>
          <w:p>
            <w:pPr>
              <w:spacing w:before="12" w:after="12"/>
            </w:pPr>
            <w:r>
              <w:rPr>
                <w:b/>
                <w:bCs/>
                <w:color w:val="8186EF"/>
                <w:sz w:val="16"/>
                <w:szCs w:val="16"/>
              </w:rPr>
              <w:t xml:space="preserve">12  </w:t>
            </w:r>
            <w:r>
              <w:rPr>
                <w:sz w:val="16"/>
                <w:szCs w:val="16"/>
              </w:rPr>
              <w:t xml:space="preserve">Income taxes paid</w:t>
            </w:r>
          </w:p>
        </w:tc>
        <w:tc>
          <w:tcPr>
            <w:tcW w:type="pct" w:w="2500"/>
            <w:tcMar>
              <w:top w:type="dxa" w:w="20"/>
              <w:left w:type="dxa" w:w="80"/>
              <w:bottom w:type="dxa" w:w="20"/>
              <w:right w:type="dxa" w:w="80"/>
            </w:tcMar>
          </w:tcPr>
          <w:p>
            <w:pPr>
              <w:spacing w:before="12" w:after="12"/>
            </w:pPr>
            <w:r>
              <w:rPr>
                <w:b/>
                <w:bCs/>
                <w:color w:val="8186EF"/>
                <w:sz w:val="16"/>
                <w:szCs w:val="16"/>
              </w:rPr>
              <w:t xml:space="preserve">25  </w:t>
            </w:r>
            <w:r>
              <w:rPr>
                <w:sz w:val="16"/>
                <w:szCs w:val="16"/>
              </w:rPr>
              <w:t xml:space="preserve">financing activities</w:t>
            </w:r>
          </w:p>
        </w:tc>
      </w:tr>
      <w:tr>
        <w:tc>
          <w:tcPr>
            <w:tcW w:type="pct" w:w="2500"/>
            <w:tcMar>
              <w:top w:type="dxa" w:w="20"/>
              <w:left w:type="dxa" w:w="80"/>
              <w:bottom w:type="dxa" w:w="20"/>
              <w:right w:type="dxa" w:w="80"/>
            </w:tcMar>
          </w:tcPr>
          <w:p>
            <w:pPr>
              <w:spacing w:before="12" w:after="12"/>
            </w:pPr>
            <w:r>
              <w:rPr>
                <w:b/>
                <w:bCs/>
                <w:color w:val="8186EF"/>
                <w:sz w:val="16"/>
                <w:szCs w:val="16"/>
              </w:rPr>
              <w:t xml:space="preserve">13  </w:t>
            </w:r>
            <w:r>
              <w:rPr>
                <w:sz w:val="16"/>
                <w:szCs w:val="16"/>
              </w:rPr>
              <w:t xml:space="preserve">transactions</w:t>
            </w:r>
          </w:p>
        </w:tc>
        <w:tc>
          <w:tcPr>
            <w:tcW w:type="pct" w:w="2500"/>
            <w:tcMar>
              <w:top w:type="dxa" w:w="20"/>
              <w:left w:type="dxa" w:w="80"/>
              <w:bottom w:type="dxa" w:w="20"/>
              <w:right w:type="dxa" w:w="80"/>
            </w:tcMar>
          </w:tcPr>
          <w:p>
            <w:pPr>
              <w:spacing w:before="24" w:after="24"/>
            </w:pPr>
            <w:r>
              <w:rPr>
                <w:sz w:val="16"/>
                <w:szCs w:val="16"/>
              </w:rPr>
              <w:t xml:space="preserve"/>
            </w:r>
          </w:p>
        </w:tc>
      </w:tr>
    </w:tbl>
    <w:p/>
    <w:p>
      <w:pPr>
        <w:spacing w:before="50" w:after="14"/>
      </w:pPr>
      <w:r>
        <w:rPr>
          <w:b/>
          <w:bCs/>
          <w:color w:val="353A7C"/>
          <w:sz w:val="18"/>
          <w:szCs w:val="18"/>
        </w:rPr>
        <w:t xml:space="preserve">the summaries in full</w:t>
      </w:r>
    </w:p>
    <w:p>
      <w:pPr>
        <w:spacing w:before="20" w:after="20"/>
        <w:ind w:left="240" w:hanging="240"/>
      </w:pPr>
      <w:r>
        <w:rPr>
          <w:b/>
          <w:bCs/>
          <w:color w:val="353A7C"/>
          <w:sz w:val="15"/>
          <w:szCs w:val="15"/>
        </w:rPr>
        <w:t xml:space="preserve">Summary 1   </w:t>
      </w:r>
      <w:r>
        <w:rPr>
          <w:color w:val="6B7280"/>
          <w:sz w:val="15"/>
          <w:szCs w:val="15"/>
        </w:rPr>
        <w:t xml:space="preserve">Operating activities are the main revenue activities: cash from customers and cash paid to suppliers and employees. Anything that is not investing or financing is also operating. Investing activities involve long-term assets and other companies' securities: Orontes paid $3,000,000 for equipment and $1,200,000 for its Jordan Glass shares. Financing activities are with owners and lenders. They include issuing and buying back shares, borrowing and repaying principal, and paying dividends. Orontes received $1,500,000 from its share issue and $800,000 from the bank note, repaid $400,000 of debt and paid $50,000 of dividends. U.S. GAAP fixes four items that students often get wrong. Interest paid, interest received, dividends received and income taxes are all operating. Only dividends paid are financing.</w:t>
      </w:r>
    </w:p>
    <w:p>
      <w:pPr>
        <w:spacing w:before="20" w:after="20"/>
        <w:ind w:left="240" w:hanging="240"/>
      </w:pPr>
      <w:r>
        <w:rPr>
          <w:b/>
          <w:bCs/>
          <w:color w:val="353A7C"/>
          <w:sz w:val="15"/>
          <w:szCs w:val="15"/>
        </w:rPr>
        <w:t xml:space="preserve">Summary 2   </w:t>
      </w:r>
      <w:r>
        <w:rPr>
          <w:color w:val="6B7280"/>
          <w:sz w:val="15"/>
          <w:szCs w:val="15"/>
        </w:rPr>
        <w:t xml:space="preserve">Some investing and financing transactions involve no cash at all, such as buying land by issuing shares or a note. These noncash investing and financing activities are not shown in the body of the statement. They are disclosed separately. Orontes had none in 2025. Under IAS 7 today, interest paid can be operating or financing, and interest and dividends received can be operating or investing. The amendments that come with IFRS 18 remove some choices from 2027, but they are not testable before about January 2028.</w:t>
      </w:r>
    </w:p>
    <w:p>
      <w:pPr>
        <w:spacing w:before="20" w:after="20"/>
        <w:ind w:left="240" w:hanging="240"/>
      </w:pPr>
      <w:r>
        <w:rPr>
          <w:b/>
          <w:bCs/>
          <w:color w:val="353A7C"/>
          <w:sz w:val="15"/>
          <w:szCs w:val="15"/>
        </w:rPr>
        <w:t xml:space="preserve">Summary 3   </w:t>
      </w:r>
      <w:r>
        <w:rPr>
          <w:color w:val="6B7280"/>
          <w:sz w:val="15"/>
          <w:szCs w:val="15"/>
        </w:rPr>
        <w:t xml:space="preserve">Interest paid is operating, not financing, under U.S. GAAP. Dividends paid are financing; dividends received are operating. A note issued for land is not a cash flow: disclose it.</w:t>
      </w:r>
    </w:p>
    <w:p>
      <w:pPr>
        <w:sectPr>
          <w:headerReference w:type="default" r:id="rIdHdr4"/>
          <w:pgSz w:w="11906" w:h="16838" w:orient="portrait"/>
          <w:pgMar w:top="1180" w:right="1000" w:bottom="900" w:left="1000" w:header="708" w:footer="708" w:gutter="0"/>
          <w:docGrid w:linePitch="360"/>
          <w:pgNumType w:start="1"/>
        </w:sectPr>
      </w:pPr>
    </w:p>
    <w:tbl>
      <w:tblPr>
        <w:tblW w:type="pct" w:w="100%"/>
        <w:tblLayout w:type="fixed"/>
        <w:tblBorders>
          <w:top w:val="single" w:color="353A7C" w:sz="8"/>
          <w:left w:val="single" w:color="353A7C" w:sz="8"/>
          <w:bottom w:val="single" w:color="353A7C" w:sz="8"/>
          <w:right w:val="single" w:color="353A7C" w:sz="8"/>
          <w:insideH w:val="single" w:color="353A7C" w:sz="8"/>
          <w:insideV w:val="single" w:color="353A7C" w:sz="8"/>
        </w:tblBorders>
      </w:tblPr>
      <w:tblGrid>
        <w:gridCol w:w="9600"/>
      </w:tblGrid>
      <w:tr>
        <w:tc>
          <w:tcPr>
            <w:tcW w:type="pct" w:w="5000"/>
            <w:shd w:fill="353A7C" w:val="clear"/>
            <w:tcMar>
              <w:top w:type="dxa" w:w="80"/>
              <w:left w:type="dxa" w:w="140"/>
              <w:bottom w:type="dxa" w:w="80"/>
              <w:right w:type="dxa" w:w="140"/>
            </w:tcMar>
          </w:tcPr>
          <w:p>
            <w:pPr>
              <w:spacing w:before="50" w:after="14"/>
            </w:pPr>
            <w:r>
              <w:rPr>
                <w:b/>
                <w:bCs/>
                <w:color w:val="FFFFFF"/>
                <w:sz w:val="22"/>
                <w:szCs w:val="22"/>
              </w:rPr>
              <w:t xml:space="preserve">5.3  The indirect method</w:t>
            </w:r>
          </w:p>
          <w:p>
            <w:pPr>
              <w:spacing w:before="0" w:after="46"/>
            </w:pPr>
            <w:r>
              <w:rPr>
                <w:color w:val="E8EAF6"/>
                <w:sz w:val="16"/>
                <w:szCs w:val="16"/>
              </w:rPr>
              <w:t xml:space="preserve">Chapter 5 · section 5.3</w:t>
            </w:r>
          </w:p>
        </w:tc>
      </w:tr>
    </w:tbl>
    <w:p/>
    <w:p>
      <w:pPr>
        <w:spacing w:before="10" w:after="40"/>
      </w:pPr>
      <w:r>
        <w:rPr>
          <w:color w:val="6B7280"/>
          <w:sz w:val="17"/>
          <w:szCs w:val="17"/>
        </w:rPr>
        <w:t xml:space="preserve">Fill every gap. Each word list holds one word more than there are gaps.</w:t>
      </w:r>
    </w:p>
    <w:p>
      <w:pPr>
        <w:spacing w:before="44" w:after="14"/>
      </w:pPr>
      <w:r>
        <w:rPr>
          <w:b/>
          <w:bCs/>
          <w:color w:val="353A7C"/>
          <w:sz w:val="18"/>
          <w:szCs w:val="18"/>
        </w:rPr>
        <w:t xml:space="preserve">Summary 1</w:t>
      </w:r>
      <w:r>
        <w:rPr>
          <w:color w:val="6B7280"/>
          <w:sz w:val="16"/>
          <w:szCs w:val="16"/>
        </w:rPr>
        <w:t xml:space="preserve">      gaps 1–2</w:t>
      </w:r>
    </w:p>
    <w:p>
      <w:pPr>
        <w:spacing w:before="20" w:after="20" w:line="360" w:lineRule="auto"/>
        <w:ind w:left="200"/>
      </w:pPr>
      <w:r>
        <w:rPr>
          <w:sz w:val="19"/>
          <w:szCs w:val="19"/>
        </w:rPr>
        <w:t xml:space="preserve">Most U.S. companies use the indirect method for operating </w:t>
      </w:r>
      <w:r>
        <w:rPr>
          <w:b/>
          <w:bCs/>
          <w:color w:val="8186EF"/>
          <w:sz w:val="15"/>
          <w:szCs w:val="15"/>
        </w:rPr>
        <w:t xml:space="preserve"> (1) </w:t>
      </w:r>
      <w:r>
        <w:rPr>
          <w:u w:val="single"/>
          <w:sz w:val="19"/>
          <w:szCs w:val="19"/>
        </w:rPr>
        <w:t xml:space="preserve">            </w:t>
      </w:r>
      <w:r>
        <w:rPr>
          <w:sz w:val="19"/>
          <w:szCs w:val="19"/>
        </w:rPr>
        <w:t xml:space="preserve"> </w:t>
      </w:r>
      <w:r>
        <w:rPr>
          <w:sz w:val="19"/>
          <w:szCs w:val="19"/>
        </w:rPr>
        <w:t xml:space="preserve">. </w:t>
      </w:r>
      <w:r>
        <w:rPr>
          <w:sz w:val="19"/>
          <w:szCs w:val="19"/>
        </w:rPr>
        <w:t xml:space="preserve">It starts with net income and removes </w:t>
      </w:r>
      <w:r>
        <w:rPr>
          <w:b/>
          <w:bCs/>
          <w:color w:val="8186EF"/>
          <w:sz w:val="15"/>
          <w:szCs w:val="15"/>
        </w:rPr>
        <w:t xml:space="preserve"> (2) </w:t>
      </w:r>
      <w:r>
        <w:rPr>
          <w:u w:val="single"/>
          <w:sz w:val="19"/>
          <w:szCs w:val="19"/>
        </w:rPr>
        <w:t xml:space="preserve">            </w:t>
      </w:r>
      <w:r>
        <w:rPr>
          <w:sz w:val="19"/>
          <w:szCs w:val="19"/>
        </w:rPr>
        <w:t xml:space="preserve"> </w:t>
      </w:r>
      <w:r>
        <w:rPr>
          <w:sz w:val="19"/>
          <w:szCs w:val="19"/>
        </w:rPr>
        <w:t xml:space="preserve"> that is not an operating cash flow. </w:t>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Working-capital   ·   activities   ·   everything</w:t>
            </w:r>
          </w:p>
        </w:tc>
      </w:tr>
    </w:tbl>
    <w:p/>
    <w:tbl>
      <w:tblPr>
        <w:tblW w:type="pct" w:w="100%"/>
        <w:tblLayout w:type="fixed"/>
        <w:tblBorders>
          <w:top w:val="single" w:color="353A7C" w:sz="4"/>
          <w:left w:val="single" w:color="353A7C" w:sz="4"/>
          <w:bottom w:val="single" w:color="353A7C" w:sz="4"/>
          <w:right w:val="single" w:color="353A7C" w:sz="4"/>
          <w:insideH w:val="single" w:color="353A7C" w:sz="4"/>
          <w:insideV w:val="single" w:color="353A7C" w:sz="4"/>
        </w:tblBorders>
      </w:tblPr>
      <w:tblGrid>
        <w:gridCol w:w="9600"/>
      </w:tblGrid>
      <w:tr>
        <w:tc>
          <w:tcPr>
            <w:tcW w:type="pct" w:w="5000"/>
            <w:shd w:fill="F2F4FB" w:val="clear"/>
            <w:tcMar>
              <w:top w:type="dxa" w:w="50"/>
              <w:left w:type="dxa" w:w="110"/>
              <w:bottom w:type="dxa" w:w="50"/>
              <w:right w:type="dxa" w:w="110"/>
            </w:tcMar>
          </w:tcPr>
          <w:p>
            <w:pPr>
              <w:spacing w:before="30" w:after="30"/>
            </w:pPr>
            <w:r>
              <w:rPr>
                <w:b/>
                <w:bCs/>
                <w:color w:val="353A7C"/>
                <w:sz w:val="19"/>
                <w:szCs w:val="19"/>
              </w:rPr>
              <w:t xml:space="preserve">Worked example: Orontes's operating cash flow</w:t>
            </w:r>
          </w:p>
        </w:tc>
      </w:tr>
    </w:tbl>
    <w:p/>
    <w:p>
      <w:pPr>
        <w:spacing w:before="44" w:after="10"/>
      </w:pPr>
      <w:r>
        <w:rPr>
          <w:b/>
          <w:bCs/>
          <w:color w:val="353A7C"/>
          <w:sz w:val="18"/>
          <w:szCs w:val="18"/>
        </w:rPr>
        <w:t xml:space="preserve">The steps, in order</w:t>
      </w:r>
    </w:p>
    <w:p>
      <w:pPr>
        <w:spacing w:before="0" w:after="12"/>
      </w:pPr>
      <w:r>
        <w:rPr>
          <w:color w:val="6B7280"/>
          <w:sz w:val="15"/>
          <w:szCs w:val="15"/>
        </w:rPr>
        <w:t xml:space="preserve">Each stage leads to the next.</w:t>
      </w:r>
    </w:p>
    <w:p>
      <w:pPr>
        <w:spacing w:after="40" w:before="90"/>
        <w:jc w:val="center"/>
      </w:pPr>
      <w:r>
        <w:drawing>
          <wp:inline distT="0" distB="0" distL="0" distR="0">
            <wp:extent cx="5734050" cy="19993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6" cstate="none"/>
                    <a:srcRect/>
                    <a:stretch>
                      <a:fillRect/>
                    </a:stretch>
                  </pic:blipFill>
                  <pic:spPr bwMode="auto">
                    <a:xfrm>
                      <a:off x="0" y="0"/>
                      <a:ext cx="5734050" cy="1999375"/>
                    </a:xfrm>
                    <a:prstGeom prst="rect">
                      <a:avLst/>
                    </a:prstGeom>
                  </pic:spPr>
                </pic:pic>
              </a:graphicData>
            </a:graphic>
          </wp:inline>
        </w:drawing>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dividends   ·   operating activities   ·   subtracted   ·   equity-method   ·   add back noncash expenses and losses   ·   receivables</w:t>
            </w:r>
          </w:p>
        </w:tc>
      </w:tr>
    </w:tbl>
    <w:p/>
    <w:p>
      <w:pPr>
        <w:spacing w:before="44" w:after="14"/>
      </w:pPr>
      <w:r>
        <w:rPr>
          <w:b/>
          <w:bCs/>
          <w:color w:val="353A7C"/>
          <w:sz w:val="18"/>
          <w:szCs w:val="18"/>
        </w:rPr>
        <w:t xml:space="preserve">Summary 2</w:t>
      </w:r>
      <w:r>
        <w:rPr>
          <w:color w:val="6B7280"/>
          <w:sz w:val="16"/>
          <w:szCs w:val="16"/>
        </w:rPr>
        <w:t xml:space="preserve">      gaps 8–12</w:t>
      </w:r>
    </w:p>
    <w:p>
      <w:pPr>
        <w:spacing w:before="20" w:after="20" w:line="360" w:lineRule="auto"/>
        <w:ind w:left="200"/>
      </w:pPr>
      <w:r>
        <w:rPr>
          <w:sz w:val="19"/>
          <w:szCs w:val="19"/>
        </w:rPr>
        <w:t xml:space="preserve">Start with net income: $2,969,100. </w:t>
      </w:r>
      <w:r>
        <w:rPr>
          <w:sz w:val="19"/>
          <w:szCs w:val="19"/>
        </w:rPr>
        <w:t xml:space="preserve">Add </w:t>
      </w:r>
      <w:r>
        <w:rPr>
          <w:b/>
          <w:bCs/>
          <w:color w:val="8186EF"/>
          <w:sz w:val="15"/>
          <w:szCs w:val="15"/>
        </w:rPr>
        <w:t xml:space="preserve"> (8) </w:t>
      </w:r>
      <w:r>
        <w:rPr>
          <w:u w:val="single"/>
          <w:sz w:val="19"/>
          <w:szCs w:val="19"/>
        </w:rPr>
        <w:t xml:space="preserve">              </w:t>
      </w:r>
      <w:r>
        <w:rPr>
          <w:sz w:val="19"/>
          <w:szCs w:val="19"/>
        </w:rPr>
        <w:t xml:space="preserve"> </w:t>
      </w:r>
      <w:r>
        <w:rPr>
          <w:sz w:val="19"/>
          <w:szCs w:val="19"/>
        </w:rPr>
        <w:t xml:space="preserve">, impairments and </w:t>
      </w:r>
      <w:r>
        <w:rPr>
          <w:b/>
          <w:bCs/>
          <w:color w:val="8186EF"/>
          <w:sz w:val="15"/>
          <w:szCs w:val="15"/>
        </w:rPr>
        <w:t xml:space="preserve"> (9) </w:t>
      </w:r>
      <w:r>
        <w:rPr>
          <w:u w:val="single"/>
          <w:sz w:val="19"/>
          <w:szCs w:val="19"/>
        </w:rPr>
        <w:t xml:space="preserve">           </w:t>
      </w:r>
      <w:r>
        <w:rPr>
          <w:sz w:val="19"/>
          <w:szCs w:val="19"/>
        </w:rPr>
        <w:t xml:space="preserve"> </w:t>
      </w:r>
      <w:r>
        <w:rPr>
          <w:sz w:val="19"/>
          <w:szCs w:val="19"/>
        </w:rPr>
        <w:t xml:space="preserve"> taxes, which used no cash: $4,924,000. </w:t>
      </w:r>
      <w:r>
        <w:rPr>
          <w:sz w:val="19"/>
          <w:szCs w:val="19"/>
        </w:rPr>
        <w:t xml:space="preserve">Subtract </w:t>
      </w:r>
      <w:r>
        <w:rPr>
          <w:b/>
          <w:bCs/>
          <w:color w:val="8186EF"/>
          <w:sz w:val="15"/>
          <w:szCs w:val="15"/>
        </w:rPr>
        <w:t xml:space="preserve"> (10) </w:t>
      </w:r>
      <w:r>
        <w:rPr>
          <w:u w:val="single"/>
          <w:sz w:val="19"/>
          <w:szCs w:val="19"/>
        </w:rPr>
        <w:t xml:space="preserve">               </w:t>
      </w:r>
      <w:r>
        <w:rPr>
          <w:sz w:val="19"/>
          <w:szCs w:val="19"/>
        </w:rPr>
        <w:t xml:space="preserve"> </w:t>
      </w:r>
      <w:r>
        <w:rPr>
          <w:sz w:val="19"/>
          <w:szCs w:val="19"/>
        </w:rPr>
        <w:t xml:space="preserve"> income of $177,000, add dividends from investees of $70,000, and subtract the oven gain of $3,000 and unrealized gains of $4,000. </w:t>
      </w:r>
      <w:r>
        <w:rPr>
          <w:sz w:val="19"/>
          <w:szCs w:val="19"/>
        </w:rPr>
        <w:t xml:space="preserve"/>
      </w:r>
      <w:r>
        <w:rPr>
          <w:b/>
          <w:bCs/>
          <w:color w:val="8186EF"/>
          <w:sz w:val="15"/>
          <w:szCs w:val="15"/>
        </w:rPr>
        <w:t xml:space="preserve"> (11) </w:t>
      </w:r>
      <w:r>
        <w:rPr>
          <w:u w:val="single"/>
          <w:sz w:val="19"/>
          <w:szCs w:val="19"/>
        </w:rPr>
        <w:t xml:space="preserve">                 </w:t>
      </w:r>
      <w:r>
        <w:rPr>
          <w:sz w:val="19"/>
          <w:szCs w:val="19"/>
        </w:rPr>
        <w:t xml:space="preserve"> </w:t>
      </w:r>
      <w:r>
        <w:rPr>
          <w:sz w:val="19"/>
          <w:szCs w:val="19"/>
        </w:rPr>
        <w:t xml:space="preserve"> changes reduce cash by a net $248,000. </w:t>
      </w:r>
      <w:r>
        <w:rPr>
          <w:sz w:val="19"/>
          <w:szCs w:val="19"/>
        </w:rPr>
        <w:t xml:space="preserve">The total, $7,531,100, equals net cash from operating </w:t>
      </w:r>
      <w:r>
        <w:rPr>
          <w:b/>
          <w:bCs/>
          <w:color w:val="8186EF"/>
          <w:sz w:val="15"/>
          <w:szCs w:val="15"/>
        </w:rPr>
        <w:t xml:space="preserve"> (12) </w:t>
      </w:r>
      <w:r>
        <w:rPr>
          <w:u w:val="single"/>
          <w:sz w:val="19"/>
          <w:szCs w:val="19"/>
        </w:rPr>
        <w:t xml:space="preserve">            </w:t>
      </w:r>
      <w:r>
        <w:rPr>
          <w:sz w:val="19"/>
          <w:szCs w:val="19"/>
        </w:rPr>
        <w:t xml:space="preserve"> </w:t>
      </w:r>
      <w:r>
        <w:rPr>
          <w:sz w:val="19"/>
          <w:szCs w:val="19"/>
        </w:rPr>
        <w:t xml:space="preserve">. </w:t>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subtracted   ·   depreciation   ·   deferred   ·   activities   ·   equity-method   ·   Working-capital</w:t>
            </w:r>
          </w:p>
        </w:tc>
      </w:tr>
    </w:tbl>
    <w:p/>
    <w:tbl>
      <w:tblPr>
        <w:tblW w:type="pct" w:w="100%"/>
        <w:tblLayout w:type="fixed"/>
        <w:tblBorders>
          <w:top w:val="single" w:color="353A7C" w:sz="4"/>
          <w:left w:val="single" w:color="353A7C" w:sz="4"/>
          <w:bottom w:val="single" w:color="353A7C" w:sz="4"/>
          <w:right w:val="single" w:color="353A7C" w:sz="4"/>
          <w:insideH w:val="single" w:color="353A7C" w:sz="4"/>
          <w:insideV w:val="single" w:color="353A7C" w:sz="4"/>
        </w:tblBorders>
      </w:tblPr>
      <w:tblGrid>
        <w:gridCol w:w="9600"/>
      </w:tblGrid>
      <w:tr>
        <w:tc>
          <w:tcPr>
            <w:tcW w:type="pct" w:w="5000"/>
            <w:shd w:fill="F2F4FB" w:val="clear"/>
            <w:tcMar>
              <w:top w:type="dxa" w:w="50"/>
              <w:left w:type="dxa" w:w="110"/>
              <w:bottom w:type="dxa" w:w="50"/>
              <w:right w:type="dxa" w:w="110"/>
            </w:tcMar>
          </w:tcPr>
          <w:p>
            <w:pPr>
              <w:spacing w:before="30" w:after="30"/>
            </w:pPr>
            <w:r>
              <w:rPr>
                <w:b/>
                <w:bCs/>
                <w:color w:val="353A7C"/>
                <w:sz w:val="19"/>
                <w:szCs w:val="19"/>
              </w:rPr>
              <w:t xml:space="preserve">Indirect-method traps</w:t>
            </w:r>
          </w:p>
        </w:tc>
      </w:tr>
    </w:tbl>
    <w:p/>
    <w:p>
      <w:pPr>
        <w:spacing w:before="44" w:after="14"/>
      </w:pPr>
      <w:r>
        <w:rPr>
          <w:b/>
          <w:bCs/>
          <w:color w:val="353A7C"/>
          <w:sz w:val="18"/>
          <w:szCs w:val="18"/>
        </w:rPr>
        <w:t xml:space="preserve">Summary 3</w:t>
      </w:r>
      <w:r>
        <w:rPr>
          <w:color w:val="6B7280"/>
          <w:sz w:val="16"/>
          <w:szCs w:val="16"/>
        </w:rPr>
        <w:t xml:space="preserve">      gaps 13–15</w:t>
      </w:r>
    </w:p>
    <w:p>
      <w:pPr>
        <w:spacing w:before="20" w:after="20" w:line="360" w:lineRule="auto"/>
        <w:ind w:left="200"/>
      </w:pPr>
      <w:r>
        <w:rPr>
          <w:sz w:val="19"/>
          <w:szCs w:val="19"/>
        </w:rPr>
        <w:t xml:space="preserve">Start from net income, never from operating income. </w:t>
      </w:r>
      <w:r>
        <w:rPr>
          <w:sz w:val="19"/>
          <w:szCs w:val="19"/>
        </w:rPr>
        <w:t xml:space="preserve"/>
      </w:r>
      <w:r>
        <w:rPr>
          <w:b/>
          <w:bCs/>
          <w:color w:val="8186EF"/>
          <w:sz w:val="15"/>
          <w:szCs w:val="15"/>
        </w:rPr>
        <w:t xml:space="preserve"> (13) </w:t>
      </w:r>
      <w:r>
        <w:rPr>
          <w:u w:val="single"/>
          <w:sz w:val="19"/>
          <w:szCs w:val="19"/>
        </w:rPr>
        <w:t xml:space="preserve">           </w:t>
      </w:r>
      <w:r>
        <w:rPr>
          <w:sz w:val="19"/>
          <w:szCs w:val="19"/>
        </w:rPr>
        <w:t xml:space="preserve"> </w:t>
      </w:r>
      <w:r>
        <w:rPr>
          <w:sz w:val="19"/>
          <w:szCs w:val="19"/>
        </w:rPr>
        <w:t xml:space="preserve"> payable and notes payable are financing items. </w:t>
      </w:r>
      <w:r>
        <w:rPr>
          <w:sz w:val="19"/>
          <w:szCs w:val="19"/>
        </w:rPr>
        <w:t xml:space="preserve">Do not </w:t>
      </w:r>
      <w:r>
        <w:rPr>
          <w:b/>
          <w:bCs/>
          <w:color w:val="8186EF"/>
          <w:sz w:val="15"/>
          <w:szCs w:val="15"/>
        </w:rPr>
        <w:t xml:space="preserve"> (14) </w:t>
      </w:r>
      <w:r>
        <w:rPr>
          <w:u w:val="single"/>
          <w:sz w:val="19"/>
          <w:szCs w:val="19"/>
        </w:rPr>
        <w:t xml:space="preserve">           </w:t>
      </w:r>
      <w:r>
        <w:rPr>
          <w:sz w:val="19"/>
          <w:szCs w:val="19"/>
        </w:rPr>
        <w:t xml:space="preserve"> </w:t>
      </w:r>
      <w:r>
        <w:rPr>
          <w:sz w:val="19"/>
          <w:szCs w:val="19"/>
        </w:rPr>
        <w:t xml:space="preserve"> their changes in working capital. </w:t>
      </w:r>
      <w:r>
        <w:rPr>
          <w:sz w:val="19"/>
          <w:szCs w:val="19"/>
        </w:rPr>
        <w:t xml:space="preserve">Show the full proceeds of a sale in </w:t>
      </w:r>
      <w:r>
        <w:rPr>
          <w:b/>
          <w:bCs/>
          <w:color w:val="8186EF"/>
          <w:sz w:val="15"/>
          <w:szCs w:val="15"/>
        </w:rPr>
        <w:t xml:space="preserve"> (15) </w:t>
      </w:r>
      <w:r>
        <w:rPr>
          <w:u w:val="single"/>
          <w:sz w:val="19"/>
          <w:szCs w:val="19"/>
        </w:rPr>
        <w:t xml:space="preserve">           </w:t>
      </w:r>
      <w:r>
        <w:rPr>
          <w:sz w:val="19"/>
          <w:szCs w:val="19"/>
        </w:rPr>
        <w:t xml:space="preserve"> </w:t>
      </w:r>
      <w:r>
        <w:rPr>
          <w:sz w:val="19"/>
          <w:szCs w:val="19"/>
        </w:rPr>
        <w:t xml:space="preserve">, and remove the gain from operating. </w:t>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include   ·   investing   ·   Dividends   ·   unrealized</w:t>
            </w:r>
          </w:p>
        </w:tc>
      </w:tr>
    </w:tbl>
    <w:p/>
    <w:p>
      <w:pPr>
        <w:pageBreakBefore w:val="true"/>
        <w:spacing w:after="0"/>
      </w:pPr>
      <w:r>
        <w:rPr>
          <w:sz w:val="2"/>
        </w:rPr>
        <w:t xml:space="preserve"> </w:t>
      </w:r>
    </w:p>
    <w:p>
      <w:pPr>
        <w:spacing w:before="44" w:after="10"/>
      </w:pPr>
      <w:r>
        <w:rPr>
          <w:b/>
          <w:bCs/>
          <w:color w:val="353A7C"/>
          <w:sz w:val="18"/>
          <w:szCs w:val="18"/>
        </w:rPr>
        <w:t xml:space="preserve">The English this section uses, and its Arabic</w:t>
      </w:r>
    </w:p>
    <w:p>
      <w:pPr>
        <w:spacing w:before="0" w:after="12"/>
      </w:pPr>
      <w:r>
        <w:rPr>
          <w:color w:val="6B7280"/>
          <w:sz w:val="15"/>
          <w:szCs w:val="15"/>
        </w:rPr>
        <w:t xml:space="preserve">Each term sits against what it means.</w:t>
      </w:r>
    </w:p>
    <w:p>
      <w:pPr>
        <w:spacing w:after="40" w:before="90"/>
        <w:jc w:val="center"/>
      </w:pPr>
      <w:r>
        <w:drawing>
          <wp:inline distT="0" distB="0" distL="0" distR="0">
            <wp:extent cx="5734050" cy="19314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7" cstate="none"/>
                    <a:srcRect/>
                    <a:stretch>
                      <a:fillRect/>
                    </a:stretch>
                  </pic:blipFill>
                  <pic:spPr bwMode="auto">
                    <a:xfrm>
                      <a:off x="0" y="0"/>
                      <a:ext cx="5734050" cy="1931475"/>
                    </a:xfrm>
                    <a:prstGeom prst="rect">
                      <a:avLst/>
                    </a:prstGeom>
                  </pic:spPr>
                </pic:pic>
              </a:graphicData>
            </a:graphic>
          </wp:inline>
        </w:drawing>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الأنشطة التشغيلية   ·   investing activities   ·   operating activities</w:t>
            </w:r>
          </w:p>
        </w:tc>
      </w:tr>
    </w:tbl>
    <w:p/>
    <w:tbl>
      <w:tblPr>
        <w:tblW w:type="pct" w:w="100%"/>
        <w:tblLayout w:type="fixed"/>
        <w:tblBorders>
          <w:top w:val="single" w:color="353A7C" w:sz="6"/>
          <w:left w:val="single" w:color="353A7C" w:sz="6"/>
          <w:bottom w:val="single" w:color="353A7C" w:sz="6"/>
          <w:right w:val="single" w:color="353A7C" w:sz="6"/>
          <w:insideH w:val="single" w:color="353A7C" w:sz="6"/>
          <w:insideV w:val="single" w:color="353A7C" w:sz="6"/>
        </w:tblBorders>
      </w:tblPr>
      <w:tblGrid>
        <w:gridCol w:w="4608"/>
        <w:gridCol w:w="4992"/>
      </w:tblGrid>
      <w:tr>
        <w:tc>
          <w:tcPr>
            <w:tcW w:type="pct" w:w="5000"/>
            <w:gridSpan w:val="2"/>
            <w:shd w:fill="353A7C" w:val="clear"/>
            <w:tcMar>
              <w:top w:type="dxa" w:w="60"/>
              <w:left w:type="dxa" w:w="120"/>
              <w:bottom w:type="dxa" w:w="60"/>
              <w:right w:type="dxa" w:w="120"/>
            </w:tcMar>
          </w:tcPr>
          <w:p>
            <w:pPr>
              <w:spacing w:before="40" w:after="40"/>
            </w:pPr>
            <w:r>
              <w:rPr>
                <w:b/>
                <w:bCs/>
                <w:color w:val="FFFFFF"/>
                <w:sz w:val="17"/>
                <w:szCs w:val="17"/>
              </w:rPr>
              <w:t xml:space="preserve">The English this sheet uses, and its Arabic</w:t>
            </w:r>
          </w:p>
        </w:tc>
      </w:tr>
      <w:tr>
        <w:tc>
          <w:tcPr>
            <w:tcW w:type="pct" w:w="2400"/>
            <w:tcMar>
              <w:top w:type="dxa" w:w="50"/>
              <w:left w:type="dxa" w:w="110"/>
              <w:bottom w:type="dxa" w:w="50"/>
              <w:right w:type="dxa" w:w="110"/>
            </w:tcMar>
          </w:tcPr>
          <w:p>
            <w:pPr>
              <w:spacing w:before="26" w:after="26"/>
            </w:pPr>
            <w:r>
              <w:rPr>
                <w:b/>
                <w:bCs/>
                <w:color w:val="353A7C"/>
                <w:sz w:val="15"/>
                <w:szCs w:val="15"/>
              </w:rPr>
              <w:t xml:space="preserve">English (exam term)</w:t>
            </w:r>
          </w:p>
        </w:tc>
        <w:tc>
          <w:tcPr>
            <w:tcW w:type="pct" w:w="2600"/>
            <w:tcMar>
              <w:top w:type="dxa" w:w="50"/>
              <w:left w:type="dxa" w:w="110"/>
              <w:bottom w:type="dxa" w:w="50"/>
              <w:right w:type="dxa" w:w="110"/>
            </w:tcMar>
          </w:tcPr>
          <w:p>
            <w:pPr>
              <w:spacing w:before="26" w:after="26"/>
            </w:pPr>
            <w:r>
              <w:rPr>
                <w:b/>
                <w:bCs/>
                <w:color w:val="353A7C"/>
                <w:sz w:val="15"/>
                <w:szCs w:val="15"/>
              </w:rPr>
              <w:t xml:space="preserve">Arabic</w:t>
            </w:r>
          </w:p>
        </w:tc>
      </w:tr>
      <w:tr>
        <w:tc>
          <w:tcPr>
            <w:tcW w:type="pct" w:w="2400"/>
            <w:tcMar>
              <w:top w:type="dxa" w:w="50"/>
              <w:left w:type="dxa" w:w="110"/>
              <w:bottom w:type="dxa" w:w="50"/>
              <w:right w:type="dxa" w:w="110"/>
            </w:tcMar>
          </w:tcPr>
          <w:p>
            <w:pPr>
              <w:spacing w:before="26" w:after="26"/>
            </w:pPr>
            <w:r>
              <w:rPr>
                <w:color w:val="232733"/>
                <w:sz w:val="16"/>
                <w:szCs w:val="16"/>
              </w:rPr>
              <w:t xml:space="preserve">indirect method</w:t>
            </w:r>
          </w:p>
        </w:tc>
        <w:tc>
          <w:tcPr>
            <w:tcW w:type="pct" w:w="2600"/>
            <w:tcMar>
              <w:top w:type="dxa" w:w="50"/>
              <w:left w:type="dxa" w:w="110"/>
              <w:bottom w:type="dxa" w:w="50"/>
              <w:right w:type="dxa" w:w="110"/>
            </w:tcMar>
          </w:tcPr>
          <w:p>
            <w:pPr>
              <w:spacing w:before="26" w:after="26"/>
            </w:pPr>
            <w:r>
              <w:rPr>
                <w:color w:val="232733"/>
                <w:sz w:val="16"/>
                <w:szCs w:val="16"/>
              </w:rPr>
              <w:t xml:space="preserve">الطريقة غير المباشرة</w:t>
            </w:r>
          </w:p>
        </w:tc>
      </w:tr>
    </w:tbl>
    <w:p/>
    <w:p>
      <w:pPr>
        <w:sectPr>
          <w:headerReference w:type="default" r:id="rIdHdr5"/>
          <w:pgSz w:w="11906" w:h="16838" w:orient="portrait"/>
          <w:pgMar w:top="1180" w:right="1000" w:bottom="900" w:left="1000" w:header="708" w:footer="708" w:gutter="0"/>
          <w:docGrid w:linePitch="360"/>
          <w:pgNumType w:start="1"/>
        </w:sectPr>
      </w:pPr>
    </w:p>
    <w:tbl>
      <w:tblPr>
        <w:tblW w:type="pct" w:w="100%"/>
        <w:tblLayout w:type="fixed"/>
        <w:tblBorders>
          <w:top w:val="single" w:color="353A7C" w:sz="8"/>
          <w:left w:val="single" w:color="353A7C" w:sz="8"/>
          <w:bottom w:val="single" w:color="353A7C" w:sz="8"/>
          <w:right w:val="single" w:color="353A7C" w:sz="8"/>
          <w:insideH w:val="single" w:color="353A7C" w:sz="8"/>
          <w:insideV w:val="single" w:color="353A7C" w:sz="8"/>
        </w:tblBorders>
      </w:tblPr>
      <w:tblGrid>
        <w:gridCol w:w="9600"/>
      </w:tblGrid>
      <w:tr>
        <w:tc>
          <w:tcPr>
            <w:tcW w:type="pct" w:w="5000"/>
            <w:shd w:fill="353A7C" w:val="clear"/>
            <w:tcMar>
              <w:top w:type="dxa" w:w="80"/>
              <w:left w:type="dxa" w:w="140"/>
              <w:bottom w:type="dxa" w:w="80"/>
              <w:right w:type="dxa" w:w="140"/>
            </w:tcMar>
          </w:tcPr>
          <w:p>
            <w:pPr>
              <w:spacing w:before="60" w:after="60"/>
            </w:pPr>
            <w:r>
              <w:rPr>
                <w:b/>
                <w:bCs/>
                <w:color w:val="FFFFFF"/>
                <w:sz w:val="21"/>
                <w:szCs w:val="21"/>
              </w:rPr>
              <w:t xml:space="preserve">Answer key · 5.3  The indirect method</w:t>
            </w:r>
          </w:p>
        </w:tc>
      </w:tr>
    </w:tbl>
    <w:p/>
    <w:tbl>
      <w:tblPr>
        <w:tblW w:type="pct" w:w="100%"/>
        <w:tblLayout w:type="fixed"/>
      </w:tblPr>
      <w:tblGrid>
        <w:gridCol w:w="4800"/>
        <w:gridCol w:w="4800"/>
      </w:tblGrid>
      <w:tr>
        <w:tc>
          <w:tcPr>
            <w:tcW w:type="pct" w:w="2500"/>
            <w:tcMar>
              <w:top w:type="dxa" w:w="20"/>
              <w:left w:type="dxa" w:w="80"/>
              <w:bottom w:type="dxa" w:w="20"/>
              <w:right w:type="dxa" w:w="80"/>
            </w:tcMar>
          </w:tcPr>
          <w:p>
            <w:pPr>
              <w:spacing w:before="12" w:after="12"/>
            </w:pPr>
            <w:r>
              <w:rPr>
                <w:b/>
                <w:bCs/>
                <w:color w:val="8186EF"/>
                <w:sz w:val="16"/>
                <w:szCs w:val="16"/>
              </w:rPr>
              <w:t xml:space="preserve">1  </w:t>
            </w:r>
            <w:r>
              <w:rPr>
                <w:sz w:val="16"/>
                <w:szCs w:val="16"/>
              </w:rPr>
              <w:t xml:space="preserve">activities</w:t>
            </w:r>
          </w:p>
        </w:tc>
        <w:tc>
          <w:tcPr>
            <w:tcW w:type="pct" w:w="2500"/>
            <w:tcMar>
              <w:top w:type="dxa" w:w="20"/>
              <w:left w:type="dxa" w:w="80"/>
              <w:bottom w:type="dxa" w:w="20"/>
              <w:right w:type="dxa" w:w="80"/>
            </w:tcMar>
          </w:tcPr>
          <w:p>
            <w:pPr>
              <w:spacing w:before="12" w:after="12"/>
            </w:pPr>
            <w:r>
              <w:rPr>
                <w:b/>
                <w:bCs/>
                <w:color w:val="8186EF"/>
                <w:sz w:val="16"/>
                <w:szCs w:val="16"/>
              </w:rPr>
              <w:t xml:space="preserve">10  </w:t>
            </w:r>
            <w:r>
              <w:rPr>
                <w:sz w:val="16"/>
                <w:szCs w:val="16"/>
              </w:rPr>
              <w:t xml:space="preserve">equity-method</w:t>
            </w:r>
          </w:p>
        </w:tc>
      </w:tr>
      <w:tr>
        <w:tc>
          <w:tcPr>
            <w:tcW w:type="pct" w:w="2500"/>
            <w:tcMar>
              <w:top w:type="dxa" w:w="20"/>
              <w:left w:type="dxa" w:w="80"/>
              <w:bottom w:type="dxa" w:w="20"/>
              <w:right w:type="dxa" w:w="80"/>
            </w:tcMar>
          </w:tcPr>
          <w:p>
            <w:pPr>
              <w:spacing w:before="12" w:after="12"/>
            </w:pPr>
            <w:r>
              <w:rPr>
                <w:b/>
                <w:bCs/>
                <w:color w:val="8186EF"/>
                <w:sz w:val="16"/>
                <w:szCs w:val="16"/>
              </w:rPr>
              <w:t xml:space="preserve">2  </w:t>
            </w:r>
            <w:r>
              <w:rPr>
                <w:sz w:val="16"/>
                <w:szCs w:val="16"/>
              </w:rPr>
              <w:t xml:space="preserve">everything</w:t>
            </w:r>
          </w:p>
        </w:tc>
        <w:tc>
          <w:tcPr>
            <w:tcW w:type="pct" w:w="2500"/>
            <w:tcMar>
              <w:top w:type="dxa" w:w="20"/>
              <w:left w:type="dxa" w:w="80"/>
              <w:bottom w:type="dxa" w:w="20"/>
              <w:right w:type="dxa" w:w="80"/>
            </w:tcMar>
          </w:tcPr>
          <w:p>
            <w:pPr>
              <w:spacing w:before="12" w:after="12"/>
            </w:pPr>
            <w:r>
              <w:rPr>
                <w:b/>
                <w:bCs/>
                <w:color w:val="8186EF"/>
                <w:sz w:val="16"/>
                <w:szCs w:val="16"/>
              </w:rPr>
              <w:t xml:space="preserve">11  </w:t>
            </w:r>
            <w:r>
              <w:rPr>
                <w:sz w:val="16"/>
                <w:szCs w:val="16"/>
              </w:rPr>
              <w:t xml:space="preserve">Working-capital</w:t>
            </w:r>
          </w:p>
        </w:tc>
      </w:tr>
      <w:tr>
        <w:tc>
          <w:tcPr>
            <w:tcW w:type="pct" w:w="2500"/>
            <w:tcMar>
              <w:top w:type="dxa" w:w="20"/>
              <w:left w:type="dxa" w:w="80"/>
              <w:bottom w:type="dxa" w:w="20"/>
              <w:right w:type="dxa" w:w="80"/>
            </w:tcMar>
          </w:tcPr>
          <w:p>
            <w:pPr>
              <w:spacing w:before="12" w:after="12"/>
            </w:pPr>
            <w:r>
              <w:rPr>
                <w:b/>
                <w:bCs/>
                <w:color w:val="8186EF"/>
                <w:sz w:val="16"/>
                <w:szCs w:val="16"/>
              </w:rPr>
              <w:t xml:space="preserve">3  </w:t>
            </w:r>
            <w:r>
              <w:rPr>
                <w:sz w:val="16"/>
                <w:szCs w:val="16"/>
              </w:rPr>
              <w:t xml:space="preserve">add back noncash expenses and losses</w:t>
            </w:r>
          </w:p>
        </w:tc>
        <w:tc>
          <w:tcPr>
            <w:tcW w:type="pct" w:w="2500"/>
            <w:tcMar>
              <w:top w:type="dxa" w:w="20"/>
              <w:left w:type="dxa" w:w="80"/>
              <w:bottom w:type="dxa" w:w="20"/>
              <w:right w:type="dxa" w:w="80"/>
            </w:tcMar>
          </w:tcPr>
          <w:p>
            <w:pPr>
              <w:spacing w:before="12" w:after="12"/>
            </w:pPr>
            <w:r>
              <w:rPr>
                <w:b/>
                <w:bCs/>
                <w:color w:val="8186EF"/>
                <w:sz w:val="16"/>
                <w:szCs w:val="16"/>
              </w:rPr>
              <w:t xml:space="preserve">12  </w:t>
            </w:r>
            <w:r>
              <w:rPr>
                <w:sz w:val="16"/>
                <w:szCs w:val="16"/>
              </w:rPr>
              <w:t xml:space="preserve">activities</w:t>
            </w:r>
          </w:p>
        </w:tc>
      </w:tr>
      <w:tr>
        <w:tc>
          <w:tcPr>
            <w:tcW w:type="pct" w:w="2500"/>
            <w:tcMar>
              <w:top w:type="dxa" w:w="20"/>
              <w:left w:type="dxa" w:w="80"/>
              <w:bottom w:type="dxa" w:w="20"/>
              <w:right w:type="dxa" w:w="80"/>
            </w:tcMar>
          </w:tcPr>
          <w:p>
            <w:pPr>
              <w:spacing w:before="12" w:after="12"/>
            </w:pPr>
            <w:r>
              <w:rPr>
                <w:b/>
                <w:bCs/>
                <w:color w:val="8186EF"/>
                <w:sz w:val="16"/>
                <w:szCs w:val="16"/>
              </w:rPr>
              <w:t xml:space="preserve">4  </w:t>
            </w:r>
            <w:r>
              <w:rPr>
                <w:sz w:val="16"/>
                <w:szCs w:val="16"/>
              </w:rPr>
              <w:t xml:space="preserve">equity-method</w:t>
            </w:r>
          </w:p>
        </w:tc>
        <w:tc>
          <w:tcPr>
            <w:tcW w:type="pct" w:w="2500"/>
            <w:tcMar>
              <w:top w:type="dxa" w:w="20"/>
              <w:left w:type="dxa" w:w="80"/>
              <w:bottom w:type="dxa" w:w="20"/>
              <w:right w:type="dxa" w:w="80"/>
            </w:tcMar>
          </w:tcPr>
          <w:p>
            <w:pPr>
              <w:spacing w:before="12" w:after="12"/>
            </w:pPr>
            <w:r>
              <w:rPr>
                <w:b/>
                <w:bCs/>
                <w:color w:val="8186EF"/>
                <w:sz w:val="16"/>
                <w:szCs w:val="16"/>
              </w:rPr>
              <w:t xml:space="preserve">13  </w:t>
            </w:r>
            <w:r>
              <w:rPr>
                <w:sz w:val="16"/>
                <w:szCs w:val="16"/>
              </w:rPr>
              <w:t xml:space="preserve">Dividends</w:t>
            </w:r>
          </w:p>
        </w:tc>
      </w:tr>
      <w:tr>
        <w:tc>
          <w:tcPr>
            <w:tcW w:type="pct" w:w="2500"/>
            <w:tcMar>
              <w:top w:type="dxa" w:w="20"/>
              <w:left w:type="dxa" w:w="80"/>
              <w:bottom w:type="dxa" w:w="20"/>
              <w:right w:type="dxa" w:w="80"/>
            </w:tcMar>
          </w:tcPr>
          <w:p>
            <w:pPr>
              <w:spacing w:before="12" w:after="12"/>
            </w:pPr>
            <w:r>
              <w:rPr>
                <w:b/>
                <w:bCs/>
                <w:color w:val="8186EF"/>
                <w:sz w:val="16"/>
                <w:szCs w:val="16"/>
              </w:rPr>
              <w:t xml:space="preserve">5  </w:t>
            </w:r>
            <w:r>
              <w:rPr>
                <w:sz w:val="16"/>
                <w:szCs w:val="16"/>
              </w:rPr>
              <w:t xml:space="preserve">dividends</w:t>
            </w:r>
          </w:p>
        </w:tc>
        <w:tc>
          <w:tcPr>
            <w:tcW w:type="pct" w:w="2500"/>
            <w:tcMar>
              <w:top w:type="dxa" w:w="20"/>
              <w:left w:type="dxa" w:w="80"/>
              <w:bottom w:type="dxa" w:w="20"/>
              <w:right w:type="dxa" w:w="80"/>
            </w:tcMar>
          </w:tcPr>
          <w:p>
            <w:pPr>
              <w:spacing w:before="12" w:after="12"/>
            </w:pPr>
            <w:r>
              <w:rPr>
                <w:b/>
                <w:bCs/>
                <w:color w:val="8186EF"/>
                <w:sz w:val="16"/>
                <w:szCs w:val="16"/>
              </w:rPr>
              <w:t xml:space="preserve">14  </w:t>
            </w:r>
            <w:r>
              <w:rPr>
                <w:sz w:val="16"/>
                <w:szCs w:val="16"/>
              </w:rPr>
              <w:t xml:space="preserve">include</w:t>
            </w:r>
          </w:p>
        </w:tc>
      </w:tr>
      <w:tr>
        <w:tc>
          <w:tcPr>
            <w:tcW w:type="pct" w:w="2500"/>
            <w:tcMar>
              <w:top w:type="dxa" w:w="20"/>
              <w:left w:type="dxa" w:w="80"/>
              <w:bottom w:type="dxa" w:w="20"/>
              <w:right w:type="dxa" w:w="80"/>
            </w:tcMar>
          </w:tcPr>
          <w:p>
            <w:pPr>
              <w:spacing w:before="12" w:after="12"/>
            </w:pPr>
            <w:r>
              <w:rPr>
                <w:b/>
                <w:bCs/>
                <w:color w:val="8186EF"/>
                <w:sz w:val="16"/>
                <w:szCs w:val="16"/>
              </w:rPr>
              <w:t xml:space="preserve">6  </w:t>
            </w:r>
            <w:r>
              <w:rPr>
                <w:sz w:val="16"/>
                <w:szCs w:val="16"/>
              </w:rPr>
              <w:t xml:space="preserve">receivables</w:t>
            </w:r>
          </w:p>
        </w:tc>
        <w:tc>
          <w:tcPr>
            <w:tcW w:type="pct" w:w="2500"/>
            <w:tcMar>
              <w:top w:type="dxa" w:w="20"/>
              <w:left w:type="dxa" w:w="80"/>
              <w:bottom w:type="dxa" w:w="20"/>
              <w:right w:type="dxa" w:w="80"/>
            </w:tcMar>
          </w:tcPr>
          <w:p>
            <w:pPr>
              <w:spacing w:before="12" w:after="12"/>
            </w:pPr>
            <w:r>
              <w:rPr>
                <w:b/>
                <w:bCs/>
                <w:color w:val="8186EF"/>
                <w:sz w:val="16"/>
                <w:szCs w:val="16"/>
              </w:rPr>
              <w:t xml:space="preserve">15  </w:t>
            </w:r>
            <w:r>
              <w:rPr>
                <w:sz w:val="16"/>
                <w:szCs w:val="16"/>
              </w:rPr>
              <w:t xml:space="preserve">investing</w:t>
            </w:r>
          </w:p>
        </w:tc>
      </w:tr>
      <w:tr>
        <w:tc>
          <w:tcPr>
            <w:tcW w:type="pct" w:w="2500"/>
            <w:tcMar>
              <w:top w:type="dxa" w:w="20"/>
              <w:left w:type="dxa" w:w="80"/>
              <w:bottom w:type="dxa" w:w="20"/>
              <w:right w:type="dxa" w:w="80"/>
            </w:tcMar>
          </w:tcPr>
          <w:p>
            <w:pPr>
              <w:spacing w:before="12" w:after="12"/>
            </w:pPr>
            <w:r>
              <w:rPr>
                <w:b/>
                <w:bCs/>
                <w:color w:val="8186EF"/>
                <w:sz w:val="16"/>
                <w:szCs w:val="16"/>
              </w:rPr>
              <w:t xml:space="preserve">7  </w:t>
            </w:r>
            <w:r>
              <w:rPr>
                <w:sz w:val="16"/>
                <w:szCs w:val="16"/>
              </w:rPr>
              <w:t xml:space="preserve">subtracted</w:t>
            </w:r>
          </w:p>
        </w:tc>
        <w:tc>
          <w:tcPr>
            <w:tcW w:type="pct" w:w="2500"/>
            <w:tcMar>
              <w:top w:type="dxa" w:w="20"/>
              <w:left w:type="dxa" w:w="80"/>
              <w:bottom w:type="dxa" w:w="20"/>
              <w:right w:type="dxa" w:w="80"/>
            </w:tcMar>
          </w:tcPr>
          <w:p>
            <w:pPr>
              <w:spacing w:before="12" w:after="12"/>
            </w:pPr>
            <w:r>
              <w:rPr>
                <w:b/>
                <w:bCs/>
                <w:color w:val="8186EF"/>
                <w:sz w:val="16"/>
                <w:szCs w:val="16"/>
              </w:rPr>
              <w:t xml:space="preserve">16  </w:t>
            </w:r>
            <w:r>
              <w:rPr>
                <w:sz w:val="16"/>
                <w:szCs w:val="16"/>
              </w:rPr>
              <w:t xml:space="preserve">operating activities</w:t>
            </w:r>
          </w:p>
        </w:tc>
      </w:tr>
      <w:tr>
        <w:tc>
          <w:tcPr>
            <w:tcW w:type="pct" w:w="2500"/>
            <w:tcMar>
              <w:top w:type="dxa" w:w="20"/>
              <w:left w:type="dxa" w:w="80"/>
              <w:bottom w:type="dxa" w:w="20"/>
              <w:right w:type="dxa" w:w="80"/>
            </w:tcMar>
          </w:tcPr>
          <w:p>
            <w:pPr>
              <w:spacing w:before="12" w:after="12"/>
            </w:pPr>
            <w:r>
              <w:rPr>
                <w:b/>
                <w:bCs/>
                <w:color w:val="8186EF"/>
                <w:sz w:val="16"/>
                <w:szCs w:val="16"/>
              </w:rPr>
              <w:t xml:space="preserve">8  </w:t>
            </w:r>
            <w:r>
              <w:rPr>
                <w:sz w:val="16"/>
                <w:szCs w:val="16"/>
              </w:rPr>
              <w:t xml:space="preserve">depreciation</w:t>
            </w:r>
          </w:p>
        </w:tc>
        <w:tc>
          <w:tcPr>
            <w:tcW w:type="pct" w:w="2500"/>
            <w:tcMar>
              <w:top w:type="dxa" w:w="20"/>
              <w:left w:type="dxa" w:w="80"/>
              <w:bottom w:type="dxa" w:w="20"/>
              <w:right w:type="dxa" w:w="80"/>
            </w:tcMar>
          </w:tcPr>
          <w:p>
            <w:pPr>
              <w:spacing w:before="12" w:after="12"/>
            </w:pPr>
            <w:r>
              <w:rPr>
                <w:b/>
                <w:bCs/>
                <w:color w:val="8186EF"/>
                <w:sz w:val="16"/>
                <w:szCs w:val="16"/>
              </w:rPr>
              <w:t xml:space="preserve">17  </w:t>
            </w:r>
            <w:r>
              <w:rPr>
                <w:sz w:val="16"/>
                <w:szCs w:val="16"/>
              </w:rPr>
              <w:t xml:space="preserve">investing activities</w:t>
            </w:r>
          </w:p>
        </w:tc>
      </w:tr>
      <w:tr>
        <w:tc>
          <w:tcPr>
            <w:tcW w:type="pct" w:w="2500"/>
            <w:tcMar>
              <w:top w:type="dxa" w:w="20"/>
              <w:left w:type="dxa" w:w="80"/>
              <w:bottom w:type="dxa" w:w="20"/>
              <w:right w:type="dxa" w:w="80"/>
            </w:tcMar>
          </w:tcPr>
          <w:p>
            <w:pPr>
              <w:spacing w:before="12" w:after="12"/>
            </w:pPr>
            <w:r>
              <w:rPr>
                <w:b/>
                <w:bCs/>
                <w:color w:val="8186EF"/>
                <w:sz w:val="16"/>
                <w:szCs w:val="16"/>
              </w:rPr>
              <w:t xml:space="preserve">9  </w:t>
            </w:r>
            <w:r>
              <w:rPr>
                <w:sz w:val="16"/>
                <w:szCs w:val="16"/>
              </w:rPr>
              <w:t xml:space="preserve">deferred</w:t>
            </w:r>
          </w:p>
        </w:tc>
        <w:tc>
          <w:tcPr>
            <w:tcW w:type="pct" w:w="2500"/>
            <w:tcMar>
              <w:top w:type="dxa" w:w="20"/>
              <w:left w:type="dxa" w:w="80"/>
              <w:bottom w:type="dxa" w:w="20"/>
              <w:right w:type="dxa" w:w="80"/>
            </w:tcMar>
          </w:tcPr>
          <w:p>
            <w:pPr>
              <w:spacing w:before="24" w:after="24"/>
            </w:pPr>
            <w:r>
              <w:rPr>
                <w:sz w:val="16"/>
                <w:szCs w:val="16"/>
              </w:rPr>
              <w:t xml:space="preserve"/>
            </w:r>
          </w:p>
        </w:tc>
      </w:tr>
    </w:tbl>
    <w:p/>
    <w:p>
      <w:pPr>
        <w:spacing w:before="50" w:after="14"/>
      </w:pPr>
      <w:r>
        <w:rPr>
          <w:b/>
          <w:bCs/>
          <w:color w:val="353A7C"/>
          <w:sz w:val="18"/>
          <w:szCs w:val="18"/>
        </w:rPr>
        <w:t xml:space="preserve">the summaries in full</w:t>
      </w:r>
    </w:p>
    <w:p>
      <w:pPr>
        <w:spacing w:before="20" w:after="20"/>
        <w:ind w:left="240" w:hanging="240"/>
      </w:pPr>
      <w:r>
        <w:rPr>
          <w:b/>
          <w:bCs/>
          <w:color w:val="353A7C"/>
          <w:sz w:val="15"/>
          <w:szCs w:val="15"/>
        </w:rPr>
        <w:t xml:space="preserve">Summary 1   </w:t>
      </w:r>
      <w:r>
        <w:rPr>
          <w:color w:val="6B7280"/>
          <w:sz w:val="15"/>
          <w:szCs w:val="15"/>
        </w:rPr>
        <w:t xml:space="preserve">Most U.S. companies use the indirect method for operating activities. It starts with net income and removes everything that is not an operating cash flow.</w:t>
      </w:r>
    </w:p>
    <w:p>
      <w:pPr>
        <w:spacing w:before="20" w:after="20"/>
        <w:ind w:left="240" w:hanging="240"/>
      </w:pPr>
      <w:r>
        <w:rPr>
          <w:b/>
          <w:bCs/>
          <w:color w:val="353A7C"/>
          <w:sz w:val="15"/>
          <w:szCs w:val="15"/>
        </w:rPr>
        <w:t xml:space="preserve">Summary 2   </w:t>
      </w:r>
      <w:r>
        <w:rPr>
          <w:color w:val="6B7280"/>
          <w:sz w:val="15"/>
          <w:szCs w:val="15"/>
        </w:rPr>
        <w:t xml:space="preserve">Start with net income: $2,969,100. Add depreciation, impairments and deferred taxes, which used no cash: $4,924,000. Subtract equity-method income of $177,000, add dividends from investees of $70,000, and subtract the oven gain of $3,000 and unrealized gains of $4,000. Working-capital changes reduce cash by a net $248,000. The total, $7,531,100, equals net cash from operating activities.</w:t>
      </w:r>
    </w:p>
    <w:p>
      <w:pPr>
        <w:spacing w:before="20" w:after="20"/>
        <w:ind w:left="240" w:hanging="240"/>
      </w:pPr>
      <w:r>
        <w:rPr>
          <w:b/>
          <w:bCs/>
          <w:color w:val="353A7C"/>
          <w:sz w:val="15"/>
          <w:szCs w:val="15"/>
        </w:rPr>
        <w:t xml:space="preserve">Summary 3   </w:t>
      </w:r>
      <w:r>
        <w:rPr>
          <w:color w:val="6B7280"/>
          <w:sz w:val="15"/>
          <w:szCs w:val="15"/>
        </w:rPr>
        <w:t xml:space="preserve">Start from net income, never from operating income. Dividends payable and notes payable are financing items. Do not include their changes in working capital. Show the full proceeds of a sale in investing, and remove the gain from operating.</w:t>
      </w:r>
    </w:p>
    <w:p>
      <w:pPr>
        <w:sectPr>
          <w:headerReference w:type="default" r:id="rIdHdr6"/>
          <w:pgSz w:w="11906" w:h="16838" w:orient="portrait"/>
          <w:pgMar w:top="1180" w:right="1000" w:bottom="900" w:left="1000" w:header="708" w:footer="708" w:gutter="0"/>
          <w:docGrid w:linePitch="360"/>
          <w:pgNumType w:start="1"/>
        </w:sectPr>
      </w:pPr>
    </w:p>
    <w:tbl>
      <w:tblPr>
        <w:tblW w:type="pct" w:w="100%"/>
        <w:tblLayout w:type="fixed"/>
        <w:tblBorders>
          <w:top w:val="single" w:color="353A7C" w:sz="8"/>
          <w:left w:val="single" w:color="353A7C" w:sz="8"/>
          <w:bottom w:val="single" w:color="353A7C" w:sz="8"/>
          <w:right w:val="single" w:color="353A7C" w:sz="8"/>
          <w:insideH w:val="single" w:color="353A7C" w:sz="8"/>
          <w:insideV w:val="single" w:color="353A7C" w:sz="8"/>
        </w:tblBorders>
      </w:tblPr>
      <w:tblGrid>
        <w:gridCol w:w="9600"/>
      </w:tblGrid>
      <w:tr>
        <w:tc>
          <w:tcPr>
            <w:tcW w:type="pct" w:w="5000"/>
            <w:shd w:fill="353A7C" w:val="clear"/>
            <w:tcMar>
              <w:top w:type="dxa" w:w="80"/>
              <w:left w:type="dxa" w:w="140"/>
              <w:bottom w:type="dxa" w:w="80"/>
              <w:right w:type="dxa" w:w="140"/>
            </w:tcMar>
          </w:tcPr>
          <w:p>
            <w:pPr>
              <w:spacing w:before="50" w:after="14"/>
            </w:pPr>
            <w:r>
              <w:rPr>
                <w:b/>
                <w:bCs/>
                <w:color w:val="FFFFFF"/>
                <w:sz w:val="22"/>
                <w:szCs w:val="22"/>
              </w:rPr>
              <w:t xml:space="preserve">5.4  The direct method and required disclosures</w:t>
            </w:r>
          </w:p>
          <w:p>
            <w:pPr>
              <w:spacing w:before="0" w:after="46"/>
            </w:pPr>
            <w:r>
              <w:rPr>
                <w:color w:val="E8EAF6"/>
                <w:sz w:val="16"/>
                <w:szCs w:val="16"/>
              </w:rPr>
              <w:t xml:space="preserve">Chapter 5 · section 5.4</w:t>
            </w:r>
          </w:p>
        </w:tc>
      </w:tr>
    </w:tbl>
    <w:p/>
    <w:p>
      <w:pPr>
        <w:spacing w:before="10" w:after="40"/>
      </w:pPr>
      <w:r>
        <w:rPr>
          <w:color w:val="6B7280"/>
          <w:sz w:val="17"/>
          <w:szCs w:val="17"/>
        </w:rPr>
        <w:t xml:space="preserve">Fill every gap. Each word list holds one word more than there are gaps.</w:t>
      </w:r>
    </w:p>
    <w:p>
      <w:pPr>
        <w:spacing w:before="44" w:after="14"/>
      </w:pPr>
      <w:r>
        <w:rPr>
          <w:b/>
          <w:bCs/>
          <w:color w:val="353A7C"/>
          <w:sz w:val="18"/>
          <w:szCs w:val="18"/>
        </w:rPr>
        <w:t xml:space="preserve">Summary 1</w:t>
      </w:r>
      <w:r>
        <w:rPr>
          <w:color w:val="6B7280"/>
          <w:sz w:val="16"/>
          <w:szCs w:val="16"/>
        </w:rPr>
        <w:t xml:space="preserve">      gaps 1–6</w:t>
      </w:r>
    </w:p>
    <w:p>
      <w:pPr>
        <w:spacing w:before="20" w:after="20" w:line="360" w:lineRule="auto"/>
        <w:ind w:left="200"/>
      </w:pPr>
      <w:r>
        <w:rPr>
          <w:sz w:val="19"/>
          <w:szCs w:val="19"/>
        </w:rPr>
        <w:t xml:space="preserve">The direct method shows the main classes of operating </w:t>
      </w:r>
      <w:r>
        <w:rPr>
          <w:b/>
          <w:bCs/>
          <w:color w:val="8186EF"/>
          <w:sz w:val="15"/>
          <w:szCs w:val="15"/>
        </w:rPr>
        <w:t xml:space="preserve"> (1) </w:t>
      </w:r>
      <w:r>
        <w:rPr>
          <w:u w:val="single"/>
          <w:sz w:val="19"/>
          <w:szCs w:val="19"/>
        </w:rPr>
        <w:t xml:space="preserve">           </w:t>
      </w:r>
      <w:r>
        <w:rPr>
          <w:sz w:val="19"/>
          <w:szCs w:val="19"/>
        </w:rPr>
        <w:t xml:space="preserve"> </w:t>
      </w:r>
      <w:r>
        <w:rPr>
          <w:sz w:val="19"/>
          <w:szCs w:val="19"/>
        </w:rPr>
        <w:t xml:space="preserve"> and payments, such as cash from customers and cash paid to </w:t>
      </w:r>
      <w:r>
        <w:rPr>
          <w:b/>
          <w:bCs/>
          <w:color w:val="8186EF"/>
          <w:sz w:val="15"/>
          <w:szCs w:val="15"/>
        </w:rPr>
        <w:t xml:space="preserve"> (2) </w:t>
      </w:r>
      <w:r>
        <w:rPr>
          <w:u w:val="single"/>
          <w:sz w:val="19"/>
          <w:szCs w:val="19"/>
        </w:rPr>
        <w:t xml:space="preserve">           </w:t>
      </w:r>
      <w:r>
        <w:rPr>
          <w:sz w:val="19"/>
          <w:szCs w:val="19"/>
        </w:rPr>
        <w:t xml:space="preserve"> </w:t>
      </w:r>
      <w:r>
        <w:rPr>
          <w:sz w:val="19"/>
          <w:szCs w:val="19"/>
        </w:rPr>
        <w:t xml:space="preserve">. </w:t>
      </w:r>
      <w:r>
        <w:rPr>
          <w:sz w:val="19"/>
          <w:szCs w:val="19"/>
        </w:rPr>
        <w:t xml:space="preserve">The FASB </w:t>
      </w:r>
      <w:r>
        <w:rPr>
          <w:b/>
          <w:bCs/>
          <w:color w:val="8186EF"/>
          <w:sz w:val="15"/>
          <w:szCs w:val="15"/>
        </w:rPr>
        <w:t xml:space="preserve"> (3) </w:t>
      </w:r>
      <w:r>
        <w:rPr>
          <w:u w:val="single"/>
          <w:sz w:val="19"/>
          <w:szCs w:val="19"/>
        </w:rPr>
        <w:t xml:space="preserve">            </w:t>
      </w:r>
      <w:r>
        <w:rPr>
          <w:sz w:val="19"/>
          <w:szCs w:val="19"/>
        </w:rPr>
        <w:t xml:space="preserve"> </w:t>
      </w:r>
      <w:r>
        <w:rPr>
          <w:sz w:val="19"/>
          <w:szCs w:val="19"/>
        </w:rPr>
        <w:t xml:space="preserve"> it, but few companies use it. </w:t>
      </w:r>
      <w:r>
        <w:rPr>
          <w:sz w:val="19"/>
          <w:szCs w:val="19"/>
        </w:rPr>
        <w:t xml:space="preserve">A company that uses it must still show the </w:t>
      </w:r>
      <w:r>
        <w:rPr>
          <w:b/>
          <w:bCs/>
          <w:color w:val="8186EF"/>
          <w:sz w:val="15"/>
          <w:szCs w:val="15"/>
        </w:rPr>
        <w:t xml:space="preserve"> (4) </w:t>
      </w:r>
      <w:r>
        <w:rPr>
          <w:u w:val="single"/>
          <w:sz w:val="19"/>
          <w:szCs w:val="19"/>
        </w:rPr>
        <w:t xml:space="preserve">                </w:t>
      </w:r>
      <w:r>
        <w:rPr>
          <w:sz w:val="19"/>
          <w:szCs w:val="19"/>
        </w:rPr>
        <w:t xml:space="preserve"> </w:t>
      </w:r>
      <w:r>
        <w:rPr>
          <w:sz w:val="19"/>
          <w:szCs w:val="19"/>
        </w:rPr>
        <w:t xml:space="preserve"> of net income to operating cash flow. </w:t>
      </w:r>
      <w:r>
        <w:rPr>
          <w:sz w:val="19"/>
          <w:szCs w:val="19"/>
        </w:rPr>
        <w:t xml:space="preserve">Cash from customers is sales </w:t>
      </w:r>
      <w:r>
        <w:rPr>
          <w:b/>
          <w:bCs/>
          <w:color w:val="8186EF"/>
          <w:sz w:val="15"/>
          <w:szCs w:val="15"/>
        </w:rPr>
        <w:t xml:space="preserve"> (5) </w:t>
      </w:r>
      <w:r>
        <w:rPr>
          <w:u w:val="single"/>
          <w:sz w:val="19"/>
          <w:szCs w:val="19"/>
        </w:rPr>
        <w:t xml:space="preserve">           </w:t>
      </w:r>
      <w:r>
        <w:rPr>
          <w:sz w:val="19"/>
          <w:szCs w:val="19"/>
        </w:rPr>
        <w:t xml:space="preserve"> </w:t>
      </w:r>
      <w:r>
        <w:rPr>
          <w:sz w:val="19"/>
          <w:szCs w:val="19"/>
        </w:rPr>
        <w:t xml:space="preserve"> for the change in </w:t>
      </w:r>
      <w:r>
        <w:rPr>
          <w:b/>
          <w:bCs/>
          <w:color w:val="8186EF"/>
          <w:sz w:val="15"/>
          <w:szCs w:val="15"/>
        </w:rPr>
        <w:t xml:space="preserve"> (6) </w:t>
      </w:r>
      <w:r>
        <w:rPr>
          <w:u w:val="single"/>
          <w:sz w:val="19"/>
          <w:szCs w:val="19"/>
        </w:rPr>
        <w:t xml:space="preserve">             </w:t>
      </w:r>
      <w:r>
        <w:rPr>
          <w:sz w:val="19"/>
          <w:szCs w:val="19"/>
        </w:rPr>
        <w:t xml:space="preserve"> </w:t>
      </w:r>
      <w:r>
        <w:rPr>
          <w:sz w:val="19"/>
          <w:szCs w:val="19"/>
        </w:rPr>
        <w:t xml:space="preserve"> and customer deposits. </w:t>
      </w:r>
      <w:r>
        <w:rPr>
          <w:sz w:val="19"/>
          <w:szCs w:val="19"/>
        </w:rPr>
        <w:t xml:space="preserve">Both methods give the same total, $7,531,100; only the presentation differs. </w:t>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receivables   ·   reconciliation   ·   encourages   ·   methods   ·   receipts   ·   adjusted   ·   suppliers</w:t>
            </w:r>
          </w:p>
        </w:tc>
      </w:tr>
    </w:tbl>
    <w:p/>
    <w:p>
      <w:pPr>
        <w:spacing w:before="44" w:after="10"/>
      </w:pPr>
      <w:r>
        <w:rPr>
          <w:b/>
          <w:bCs/>
          <w:color w:val="353A7C"/>
          <w:sz w:val="18"/>
          <w:szCs w:val="18"/>
        </w:rPr>
        <w:t xml:space="preserve">Orontes Foods Inc. — operating activities by the direct method, 2025</w:t>
      </w:r>
    </w:p>
    <w:p>
      <w:pPr>
        <w:spacing w:before="0" w:after="12"/>
      </w:pPr>
      <w:r>
        <w:rPr>
          <w:color w:val="6B7280"/>
          <w:sz w:val="15"/>
          <w:szCs w:val="15"/>
        </w:rPr>
        <w:t xml:space="preserve">The parts add up to the total; the bars are to scale.</w:t>
      </w:r>
    </w:p>
    <w:p>
      <w:pPr>
        <w:spacing w:after="40" w:before="90"/>
        <w:jc w:val="center"/>
      </w:pPr>
      <w:r>
        <w:drawing>
          <wp:inline distT="0" distB="0" distL="0" distR="0">
            <wp:extent cx="5734050" cy="24973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8" cstate="none"/>
                    <a:srcRect/>
                    <a:stretch>
                      <a:fillRect/>
                    </a:stretch>
                  </pic:blipFill>
                  <pic:spPr bwMode="auto">
                    <a:xfrm>
                      <a:off x="0" y="0"/>
                      <a:ext cx="5734050" cy="2497325"/>
                    </a:xfrm>
                    <a:prstGeom prst="rect">
                      <a:avLst/>
                    </a:prstGeom>
                  </pic:spPr>
                </pic:pic>
              </a:graphicData>
            </a:graphic>
          </wp:inline>
        </w:drawing>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Income taxes paid   ·   Cash paid to suppliers and employees   ·   Cash received from customers</w:t>
            </w:r>
          </w:p>
        </w:tc>
      </w:tr>
    </w:tbl>
    <w:p/>
    <w:p>
      <w:pPr>
        <w:spacing w:before="44" w:after="14"/>
      </w:pPr>
      <w:r>
        <w:rPr>
          <w:b/>
          <w:bCs/>
          <w:color w:val="353A7C"/>
          <w:sz w:val="18"/>
          <w:szCs w:val="18"/>
        </w:rPr>
        <w:t xml:space="preserve">Summary 2</w:t>
      </w:r>
      <w:r>
        <w:rPr>
          <w:color w:val="6B7280"/>
          <w:sz w:val="16"/>
          <w:szCs w:val="16"/>
        </w:rPr>
        <w:t xml:space="preserve">      gaps 9–11</w:t>
      </w:r>
    </w:p>
    <w:p>
      <w:pPr>
        <w:spacing w:before="20" w:after="20" w:line="360" w:lineRule="auto"/>
        <w:ind w:left="200"/>
      </w:pPr>
      <w:r>
        <w:rPr>
          <w:sz w:val="19"/>
          <w:szCs w:val="19"/>
        </w:rPr>
        <w:t xml:space="preserve">A company using the </w:t>
      </w:r>
      <w:r>
        <w:rPr>
          <w:b/>
          <w:bCs/>
          <w:color w:val="8186EF"/>
          <w:sz w:val="15"/>
          <w:szCs w:val="15"/>
        </w:rPr>
        <w:t xml:space="preserve"> (9) </w:t>
      </w:r>
      <w:r>
        <w:rPr>
          <w:u w:val="single"/>
          <w:sz w:val="19"/>
          <w:szCs w:val="19"/>
        </w:rPr>
        <w:t xml:space="preserve">           </w:t>
      </w:r>
      <w:r>
        <w:rPr>
          <w:sz w:val="19"/>
          <w:szCs w:val="19"/>
        </w:rPr>
        <w:t xml:space="preserve"> </w:t>
      </w:r>
      <w:r>
        <w:rPr>
          <w:sz w:val="19"/>
          <w:szCs w:val="19"/>
        </w:rPr>
        <w:t xml:space="preserve"> method must disclose interest paid and income taxes paid. </w:t>
      </w:r>
      <w:r>
        <w:rPr>
          <w:sz w:val="19"/>
          <w:szCs w:val="19"/>
        </w:rPr>
        <w:t xml:space="preserve"/>
      </w:r>
      <w:r>
        <w:rPr>
          <w:b/>
          <w:bCs/>
          <w:color w:val="8186EF"/>
          <w:sz w:val="15"/>
          <w:szCs w:val="15"/>
        </w:rPr>
        <w:t xml:space="preserve"> (10) </w:t>
      </w:r>
      <w:r>
        <w:rPr>
          <w:u w:val="single"/>
          <w:sz w:val="19"/>
          <w:szCs w:val="19"/>
        </w:rPr>
        <w:t xml:space="preserve">           </w:t>
      </w:r>
      <w:r>
        <w:rPr>
          <w:sz w:val="19"/>
          <w:szCs w:val="19"/>
        </w:rPr>
        <w:t xml:space="preserve"> </w:t>
      </w:r>
      <w:r>
        <w:rPr>
          <w:sz w:val="19"/>
          <w:szCs w:val="19"/>
        </w:rPr>
        <w:t xml:space="preserve"> paid $390,000 of interest and $839,700 of income taxes. </w:t>
      </w:r>
      <w:r>
        <w:rPr>
          <w:sz w:val="19"/>
          <w:szCs w:val="19"/>
        </w:rPr>
        <w:t xml:space="preserve">Taxes paid are the current tax expense of $889,700 less the $50,000 </w:t>
      </w:r>
      <w:r>
        <w:rPr>
          <w:b/>
          <w:bCs/>
          <w:color w:val="8186EF"/>
          <w:sz w:val="15"/>
          <w:szCs w:val="15"/>
        </w:rPr>
        <w:t xml:space="preserve"> (11) </w:t>
      </w:r>
      <w:r>
        <w:rPr>
          <w:u w:val="single"/>
          <w:sz w:val="19"/>
          <w:szCs w:val="19"/>
        </w:rPr>
        <w:t xml:space="preserve">           </w:t>
      </w:r>
      <w:r>
        <w:rPr>
          <w:sz w:val="19"/>
          <w:szCs w:val="19"/>
        </w:rPr>
        <w:t xml:space="preserve"> </w:t>
      </w:r>
      <w:r>
        <w:rPr>
          <w:sz w:val="19"/>
          <w:szCs w:val="19"/>
        </w:rPr>
        <w:t xml:space="preserve"> in taxes payable. </w:t>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receipts   ·   indirect   ·   increase   ·   Orontes</w:t>
            </w:r>
          </w:p>
        </w:tc>
      </w:tr>
    </w:tbl>
    <w:p/>
    <w:p>
      <w:pPr>
        <w:pageBreakBefore w:val="true"/>
        <w:spacing w:after="0"/>
      </w:pPr>
      <w:r>
        <w:rPr>
          <w:sz w:val="2"/>
        </w:rPr>
        <w:t xml:space="preserve"> </w:t>
      </w:r>
    </w:p>
    <w:p>
      <w:pPr>
        <w:spacing w:before="44" w:after="10"/>
      </w:pPr>
      <w:r>
        <w:rPr>
          <w:b/>
          <w:bCs/>
          <w:color w:val="353A7C"/>
          <w:sz w:val="18"/>
          <w:szCs w:val="18"/>
        </w:rPr>
        <w:t xml:space="preserve">The English this section uses, and its Arabic</w:t>
      </w:r>
    </w:p>
    <w:p>
      <w:pPr>
        <w:spacing w:before="0" w:after="12"/>
      </w:pPr>
      <w:r>
        <w:rPr>
          <w:color w:val="6B7280"/>
          <w:sz w:val="15"/>
          <w:szCs w:val="15"/>
        </w:rPr>
        <w:t xml:space="preserve">Each term sits against what it means.</w:t>
      </w:r>
    </w:p>
    <w:p>
      <w:pPr>
        <w:spacing w:after="40" w:before="90"/>
        <w:jc w:val="center"/>
      </w:pPr>
      <w:r>
        <w:drawing>
          <wp:inline distT="0" distB="0" distL="0" distR="0">
            <wp:extent cx="5734050" cy="19314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9" cstate="none"/>
                    <a:srcRect/>
                    <a:stretch>
                      <a:fillRect/>
                    </a:stretch>
                  </pic:blipFill>
                  <pic:spPr bwMode="auto">
                    <a:xfrm>
                      <a:off x="0" y="0"/>
                      <a:ext cx="5734050" cy="1931475"/>
                    </a:xfrm>
                    <a:prstGeom prst="rect">
                      <a:avLst/>
                    </a:prstGeom>
                  </pic:spPr>
                </pic:pic>
              </a:graphicData>
            </a:graphic>
          </wp:inline>
        </w:drawing>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الطريقة المباشرة   ·   operating activities   ·   indirect method</w:t>
            </w:r>
          </w:p>
        </w:tc>
      </w:tr>
    </w:tbl>
    <w:p/>
    <w:tbl>
      <w:tblPr>
        <w:tblW w:type="pct" w:w="100%"/>
        <w:tblLayout w:type="fixed"/>
        <w:tblBorders>
          <w:top w:val="single" w:color="353A7C" w:sz="6"/>
          <w:left w:val="single" w:color="353A7C" w:sz="6"/>
          <w:bottom w:val="single" w:color="353A7C" w:sz="6"/>
          <w:right w:val="single" w:color="353A7C" w:sz="6"/>
          <w:insideH w:val="single" w:color="353A7C" w:sz="6"/>
          <w:insideV w:val="single" w:color="353A7C" w:sz="6"/>
        </w:tblBorders>
      </w:tblPr>
      <w:tblGrid>
        <w:gridCol w:w="4636"/>
        <w:gridCol w:w="4964"/>
      </w:tblGrid>
      <w:tr>
        <w:tc>
          <w:tcPr>
            <w:tcW w:type="pct" w:w="5000"/>
            <w:gridSpan w:val="2"/>
            <w:shd w:fill="353A7C" w:val="clear"/>
            <w:tcMar>
              <w:top w:type="dxa" w:w="60"/>
              <w:left w:type="dxa" w:w="120"/>
              <w:bottom w:type="dxa" w:w="60"/>
              <w:right w:type="dxa" w:w="120"/>
            </w:tcMar>
          </w:tcPr>
          <w:p>
            <w:pPr>
              <w:spacing w:before="40" w:after="40"/>
            </w:pPr>
            <w:r>
              <w:rPr>
                <w:b/>
                <w:bCs/>
                <w:color w:val="FFFFFF"/>
                <w:sz w:val="17"/>
                <w:szCs w:val="17"/>
              </w:rPr>
              <w:t xml:space="preserve">The English this sheet uses, and its Arabic</w:t>
            </w:r>
          </w:p>
        </w:tc>
      </w:tr>
      <w:tr>
        <w:tc>
          <w:tcPr>
            <w:tcW w:type="pct" w:w="2415"/>
            <w:tcMar>
              <w:top w:type="dxa" w:w="50"/>
              <w:left w:type="dxa" w:w="110"/>
              <w:bottom w:type="dxa" w:w="50"/>
              <w:right w:type="dxa" w:w="110"/>
            </w:tcMar>
          </w:tcPr>
          <w:p>
            <w:pPr>
              <w:spacing w:before="26" w:after="26"/>
            </w:pPr>
            <w:r>
              <w:rPr>
                <w:b/>
                <w:bCs/>
                <w:color w:val="353A7C"/>
                <w:sz w:val="15"/>
                <w:szCs w:val="15"/>
              </w:rPr>
              <w:t xml:space="preserve">English (exam term)</w:t>
            </w:r>
          </w:p>
        </w:tc>
        <w:tc>
          <w:tcPr>
            <w:tcW w:type="pct" w:w="2585"/>
            <w:tcMar>
              <w:top w:type="dxa" w:w="50"/>
              <w:left w:type="dxa" w:w="110"/>
              <w:bottom w:type="dxa" w:w="50"/>
              <w:right w:type="dxa" w:w="110"/>
            </w:tcMar>
          </w:tcPr>
          <w:p>
            <w:pPr>
              <w:spacing w:before="26" w:after="26"/>
            </w:pPr>
            <w:r>
              <w:rPr>
                <w:b/>
                <w:bCs/>
                <w:color w:val="353A7C"/>
                <w:sz w:val="15"/>
                <w:szCs w:val="15"/>
              </w:rPr>
              <w:t xml:space="preserve">Arabic</w:t>
            </w:r>
          </w:p>
        </w:tc>
      </w:tr>
      <w:tr>
        <w:tc>
          <w:tcPr>
            <w:tcW w:type="pct" w:w="2415"/>
            <w:tcMar>
              <w:top w:type="dxa" w:w="50"/>
              <w:left w:type="dxa" w:w="110"/>
              <w:bottom w:type="dxa" w:w="50"/>
              <w:right w:type="dxa" w:w="110"/>
            </w:tcMar>
          </w:tcPr>
          <w:p>
            <w:pPr>
              <w:spacing w:before="26" w:after="26"/>
            </w:pPr>
            <w:r>
              <w:rPr>
                <w:color w:val="232733"/>
                <w:sz w:val="16"/>
                <w:szCs w:val="16"/>
              </w:rPr>
              <w:t xml:space="preserve">direct method</w:t>
            </w:r>
          </w:p>
        </w:tc>
        <w:tc>
          <w:tcPr>
            <w:tcW w:type="pct" w:w="2585"/>
            <w:tcMar>
              <w:top w:type="dxa" w:w="50"/>
              <w:left w:type="dxa" w:w="110"/>
              <w:bottom w:type="dxa" w:w="50"/>
              <w:right w:type="dxa" w:w="110"/>
            </w:tcMar>
          </w:tcPr>
          <w:p>
            <w:pPr>
              <w:spacing w:before="26" w:after="26"/>
            </w:pPr>
            <w:r>
              <w:rPr>
                <w:color w:val="232733"/>
                <w:sz w:val="16"/>
                <w:szCs w:val="16"/>
              </w:rPr>
              <w:t xml:space="preserve">الطريقة المباشرة</w:t>
            </w:r>
          </w:p>
        </w:tc>
      </w:tr>
    </w:tbl>
    <w:p/>
    <w:p>
      <w:pPr>
        <w:sectPr>
          <w:headerReference w:type="default" r:id="rIdHdr7"/>
          <w:pgSz w:w="11906" w:h="16838" w:orient="portrait"/>
          <w:pgMar w:top="1180" w:right="1000" w:bottom="900" w:left="1000" w:header="708" w:footer="708" w:gutter="0"/>
          <w:docGrid w:linePitch="360"/>
          <w:pgNumType w:start="1"/>
        </w:sectPr>
      </w:pPr>
    </w:p>
    <w:tbl>
      <w:tblPr>
        <w:tblW w:type="pct" w:w="100%"/>
        <w:tblLayout w:type="fixed"/>
        <w:tblBorders>
          <w:top w:val="single" w:color="353A7C" w:sz="8"/>
          <w:left w:val="single" w:color="353A7C" w:sz="8"/>
          <w:bottom w:val="single" w:color="353A7C" w:sz="8"/>
          <w:right w:val="single" w:color="353A7C" w:sz="8"/>
          <w:insideH w:val="single" w:color="353A7C" w:sz="8"/>
          <w:insideV w:val="single" w:color="353A7C" w:sz="8"/>
        </w:tblBorders>
      </w:tblPr>
      <w:tblGrid>
        <w:gridCol w:w="9600"/>
      </w:tblGrid>
      <w:tr>
        <w:tc>
          <w:tcPr>
            <w:tcW w:type="pct" w:w="5000"/>
            <w:shd w:fill="353A7C" w:val="clear"/>
            <w:tcMar>
              <w:top w:type="dxa" w:w="80"/>
              <w:left w:type="dxa" w:w="140"/>
              <w:bottom w:type="dxa" w:w="80"/>
              <w:right w:type="dxa" w:w="140"/>
            </w:tcMar>
          </w:tcPr>
          <w:p>
            <w:pPr>
              <w:spacing w:before="60" w:after="60"/>
            </w:pPr>
            <w:r>
              <w:rPr>
                <w:b/>
                <w:bCs/>
                <w:color w:val="FFFFFF"/>
                <w:sz w:val="21"/>
                <w:szCs w:val="21"/>
              </w:rPr>
              <w:t xml:space="preserve">Answer key · 5.4  The direct method and required disclosures</w:t>
            </w:r>
          </w:p>
        </w:tc>
      </w:tr>
    </w:tbl>
    <w:p/>
    <w:tbl>
      <w:tblPr>
        <w:tblW w:type="pct" w:w="100%"/>
        <w:tblLayout w:type="fixed"/>
      </w:tblPr>
      <w:tblGrid>
        <w:gridCol w:w="4800"/>
        <w:gridCol w:w="4800"/>
      </w:tblGrid>
      <w:tr>
        <w:tc>
          <w:tcPr>
            <w:tcW w:type="pct" w:w="2500"/>
            <w:tcMar>
              <w:top w:type="dxa" w:w="20"/>
              <w:left w:type="dxa" w:w="80"/>
              <w:bottom w:type="dxa" w:w="20"/>
              <w:right w:type="dxa" w:w="80"/>
            </w:tcMar>
          </w:tcPr>
          <w:p>
            <w:pPr>
              <w:spacing w:before="12" w:after="12"/>
            </w:pPr>
            <w:r>
              <w:rPr>
                <w:b/>
                <w:bCs/>
                <w:color w:val="8186EF"/>
                <w:sz w:val="16"/>
                <w:szCs w:val="16"/>
              </w:rPr>
              <w:t xml:space="preserve">1  </w:t>
            </w:r>
            <w:r>
              <w:rPr>
                <w:sz w:val="16"/>
                <w:szCs w:val="16"/>
              </w:rPr>
              <w:t xml:space="preserve">receipts</w:t>
            </w:r>
          </w:p>
        </w:tc>
        <w:tc>
          <w:tcPr>
            <w:tcW w:type="pct" w:w="2500"/>
            <w:tcMar>
              <w:top w:type="dxa" w:w="20"/>
              <w:left w:type="dxa" w:w="80"/>
              <w:bottom w:type="dxa" w:w="20"/>
              <w:right w:type="dxa" w:w="80"/>
            </w:tcMar>
          </w:tcPr>
          <w:p>
            <w:pPr>
              <w:spacing w:before="12" w:after="12"/>
            </w:pPr>
            <w:r>
              <w:rPr>
                <w:b/>
                <w:bCs/>
                <w:color w:val="8186EF"/>
                <w:sz w:val="16"/>
                <w:szCs w:val="16"/>
              </w:rPr>
              <w:t xml:space="preserve">8  </w:t>
            </w:r>
            <w:r>
              <w:rPr>
                <w:sz w:val="16"/>
                <w:szCs w:val="16"/>
              </w:rPr>
              <w:t xml:space="preserve">Income taxes paid</w:t>
            </w:r>
          </w:p>
        </w:tc>
      </w:tr>
      <w:tr>
        <w:tc>
          <w:tcPr>
            <w:tcW w:type="pct" w:w="2500"/>
            <w:tcMar>
              <w:top w:type="dxa" w:w="20"/>
              <w:left w:type="dxa" w:w="80"/>
              <w:bottom w:type="dxa" w:w="20"/>
              <w:right w:type="dxa" w:w="80"/>
            </w:tcMar>
          </w:tcPr>
          <w:p>
            <w:pPr>
              <w:spacing w:before="12" w:after="12"/>
            </w:pPr>
            <w:r>
              <w:rPr>
                <w:b/>
                <w:bCs/>
                <w:color w:val="8186EF"/>
                <w:sz w:val="16"/>
                <w:szCs w:val="16"/>
              </w:rPr>
              <w:t xml:space="preserve">2  </w:t>
            </w:r>
            <w:r>
              <w:rPr>
                <w:sz w:val="16"/>
                <w:szCs w:val="16"/>
              </w:rPr>
              <w:t xml:space="preserve">suppliers</w:t>
            </w:r>
          </w:p>
        </w:tc>
        <w:tc>
          <w:tcPr>
            <w:tcW w:type="pct" w:w="2500"/>
            <w:tcMar>
              <w:top w:type="dxa" w:w="20"/>
              <w:left w:type="dxa" w:w="80"/>
              <w:bottom w:type="dxa" w:w="20"/>
              <w:right w:type="dxa" w:w="80"/>
            </w:tcMar>
          </w:tcPr>
          <w:p>
            <w:pPr>
              <w:spacing w:before="12" w:after="12"/>
            </w:pPr>
            <w:r>
              <w:rPr>
                <w:b/>
                <w:bCs/>
                <w:color w:val="8186EF"/>
                <w:sz w:val="16"/>
                <w:szCs w:val="16"/>
              </w:rPr>
              <w:t xml:space="preserve">9  </w:t>
            </w:r>
            <w:r>
              <w:rPr>
                <w:sz w:val="16"/>
                <w:szCs w:val="16"/>
              </w:rPr>
              <w:t xml:space="preserve">indirect</w:t>
            </w:r>
          </w:p>
        </w:tc>
      </w:tr>
      <w:tr>
        <w:tc>
          <w:tcPr>
            <w:tcW w:type="pct" w:w="2500"/>
            <w:tcMar>
              <w:top w:type="dxa" w:w="20"/>
              <w:left w:type="dxa" w:w="80"/>
              <w:bottom w:type="dxa" w:w="20"/>
              <w:right w:type="dxa" w:w="80"/>
            </w:tcMar>
          </w:tcPr>
          <w:p>
            <w:pPr>
              <w:spacing w:before="12" w:after="12"/>
            </w:pPr>
            <w:r>
              <w:rPr>
                <w:b/>
                <w:bCs/>
                <w:color w:val="8186EF"/>
                <w:sz w:val="16"/>
                <w:szCs w:val="16"/>
              </w:rPr>
              <w:t xml:space="preserve">3  </w:t>
            </w:r>
            <w:r>
              <w:rPr>
                <w:sz w:val="16"/>
                <w:szCs w:val="16"/>
              </w:rPr>
              <w:t xml:space="preserve">encourages</w:t>
            </w:r>
          </w:p>
        </w:tc>
        <w:tc>
          <w:tcPr>
            <w:tcW w:type="pct" w:w="2500"/>
            <w:tcMar>
              <w:top w:type="dxa" w:w="20"/>
              <w:left w:type="dxa" w:w="80"/>
              <w:bottom w:type="dxa" w:w="20"/>
              <w:right w:type="dxa" w:w="80"/>
            </w:tcMar>
          </w:tcPr>
          <w:p>
            <w:pPr>
              <w:spacing w:before="12" w:after="12"/>
            </w:pPr>
            <w:r>
              <w:rPr>
                <w:b/>
                <w:bCs/>
                <w:color w:val="8186EF"/>
                <w:sz w:val="16"/>
                <w:szCs w:val="16"/>
              </w:rPr>
              <w:t xml:space="preserve">10  </w:t>
            </w:r>
            <w:r>
              <w:rPr>
                <w:sz w:val="16"/>
                <w:szCs w:val="16"/>
              </w:rPr>
              <w:t xml:space="preserve">Orontes</w:t>
            </w:r>
          </w:p>
        </w:tc>
      </w:tr>
      <w:tr>
        <w:tc>
          <w:tcPr>
            <w:tcW w:type="pct" w:w="2500"/>
            <w:tcMar>
              <w:top w:type="dxa" w:w="20"/>
              <w:left w:type="dxa" w:w="80"/>
              <w:bottom w:type="dxa" w:w="20"/>
              <w:right w:type="dxa" w:w="80"/>
            </w:tcMar>
          </w:tcPr>
          <w:p>
            <w:pPr>
              <w:spacing w:before="12" w:after="12"/>
            </w:pPr>
            <w:r>
              <w:rPr>
                <w:b/>
                <w:bCs/>
                <w:color w:val="8186EF"/>
                <w:sz w:val="16"/>
                <w:szCs w:val="16"/>
              </w:rPr>
              <w:t xml:space="preserve">4  </w:t>
            </w:r>
            <w:r>
              <w:rPr>
                <w:sz w:val="16"/>
                <w:szCs w:val="16"/>
              </w:rPr>
              <w:t xml:space="preserve">reconciliation</w:t>
            </w:r>
          </w:p>
        </w:tc>
        <w:tc>
          <w:tcPr>
            <w:tcW w:type="pct" w:w="2500"/>
            <w:tcMar>
              <w:top w:type="dxa" w:w="20"/>
              <w:left w:type="dxa" w:w="80"/>
              <w:bottom w:type="dxa" w:w="20"/>
              <w:right w:type="dxa" w:w="80"/>
            </w:tcMar>
          </w:tcPr>
          <w:p>
            <w:pPr>
              <w:spacing w:before="12" w:after="12"/>
            </w:pPr>
            <w:r>
              <w:rPr>
                <w:b/>
                <w:bCs/>
                <w:color w:val="8186EF"/>
                <w:sz w:val="16"/>
                <w:szCs w:val="16"/>
              </w:rPr>
              <w:t xml:space="preserve">11  </w:t>
            </w:r>
            <w:r>
              <w:rPr>
                <w:sz w:val="16"/>
                <w:szCs w:val="16"/>
              </w:rPr>
              <w:t xml:space="preserve">increase</w:t>
            </w:r>
          </w:p>
        </w:tc>
      </w:tr>
      <w:tr>
        <w:tc>
          <w:tcPr>
            <w:tcW w:type="pct" w:w="2500"/>
            <w:tcMar>
              <w:top w:type="dxa" w:w="20"/>
              <w:left w:type="dxa" w:w="80"/>
              <w:bottom w:type="dxa" w:w="20"/>
              <w:right w:type="dxa" w:w="80"/>
            </w:tcMar>
          </w:tcPr>
          <w:p>
            <w:pPr>
              <w:spacing w:before="12" w:after="12"/>
            </w:pPr>
            <w:r>
              <w:rPr>
                <w:b/>
                <w:bCs/>
                <w:color w:val="8186EF"/>
                <w:sz w:val="16"/>
                <w:szCs w:val="16"/>
              </w:rPr>
              <w:t xml:space="preserve">5  </w:t>
            </w:r>
            <w:r>
              <w:rPr>
                <w:sz w:val="16"/>
                <w:szCs w:val="16"/>
              </w:rPr>
              <w:t xml:space="preserve">adjusted</w:t>
            </w:r>
          </w:p>
        </w:tc>
        <w:tc>
          <w:tcPr>
            <w:tcW w:type="pct" w:w="2500"/>
            <w:tcMar>
              <w:top w:type="dxa" w:w="20"/>
              <w:left w:type="dxa" w:w="80"/>
              <w:bottom w:type="dxa" w:w="20"/>
              <w:right w:type="dxa" w:w="80"/>
            </w:tcMar>
          </w:tcPr>
          <w:p>
            <w:pPr>
              <w:spacing w:before="12" w:after="12"/>
            </w:pPr>
            <w:r>
              <w:rPr>
                <w:b/>
                <w:bCs/>
                <w:color w:val="8186EF"/>
                <w:sz w:val="16"/>
                <w:szCs w:val="16"/>
              </w:rPr>
              <w:t xml:space="preserve">12  </w:t>
            </w:r>
            <w:r>
              <w:rPr>
                <w:sz w:val="16"/>
                <w:szCs w:val="16"/>
              </w:rPr>
              <w:t xml:space="preserve">operating activities</w:t>
            </w:r>
          </w:p>
        </w:tc>
      </w:tr>
      <w:tr>
        <w:tc>
          <w:tcPr>
            <w:tcW w:type="pct" w:w="2500"/>
            <w:tcMar>
              <w:top w:type="dxa" w:w="20"/>
              <w:left w:type="dxa" w:w="80"/>
              <w:bottom w:type="dxa" w:w="20"/>
              <w:right w:type="dxa" w:w="80"/>
            </w:tcMar>
          </w:tcPr>
          <w:p>
            <w:pPr>
              <w:spacing w:before="12" w:after="12"/>
            </w:pPr>
            <w:r>
              <w:rPr>
                <w:b/>
                <w:bCs/>
                <w:color w:val="8186EF"/>
                <w:sz w:val="16"/>
                <w:szCs w:val="16"/>
              </w:rPr>
              <w:t xml:space="preserve">6  </w:t>
            </w:r>
            <w:r>
              <w:rPr>
                <w:sz w:val="16"/>
                <w:szCs w:val="16"/>
              </w:rPr>
              <w:t xml:space="preserve">receivables</w:t>
            </w:r>
          </w:p>
        </w:tc>
        <w:tc>
          <w:tcPr>
            <w:tcW w:type="pct" w:w="2500"/>
            <w:tcMar>
              <w:top w:type="dxa" w:w="20"/>
              <w:left w:type="dxa" w:w="80"/>
              <w:bottom w:type="dxa" w:w="20"/>
              <w:right w:type="dxa" w:w="80"/>
            </w:tcMar>
          </w:tcPr>
          <w:p>
            <w:pPr>
              <w:spacing w:before="12" w:after="12"/>
            </w:pPr>
            <w:r>
              <w:rPr>
                <w:b/>
                <w:bCs/>
                <w:color w:val="8186EF"/>
                <w:sz w:val="16"/>
                <w:szCs w:val="16"/>
              </w:rPr>
              <w:t xml:space="preserve">13  </w:t>
            </w:r>
            <w:r>
              <w:rPr>
                <w:sz w:val="16"/>
                <w:szCs w:val="16"/>
              </w:rPr>
              <w:t xml:space="preserve">indirect method</w:t>
            </w:r>
          </w:p>
        </w:tc>
      </w:tr>
      <w:tr>
        <w:tc>
          <w:tcPr>
            <w:tcW w:type="pct" w:w="2500"/>
            <w:tcMar>
              <w:top w:type="dxa" w:w="20"/>
              <w:left w:type="dxa" w:w="80"/>
              <w:bottom w:type="dxa" w:w="20"/>
              <w:right w:type="dxa" w:w="80"/>
            </w:tcMar>
          </w:tcPr>
          <w:p>
            <w:pPr>
              <w:spacing w:before="12" w:after="12"/>
            </w:pPr>
            <w:r>
              <w:rPr>
                <w:b/>
                <w:bCs/>
                <w:color w:val="8186EF"/>
                <w:sz w:val="16"/>
                <w:szCs w:val="16"/>
              </w:rPr>
              <w:t xml:space="preserve">7  </w:t>
            </w:r>
            <w:r>
              <w:rPr>
                <w:sz w:val="16"/>
                <w:szCs w:val="16"/>
              </w:rPr>
              <w:t xml:space="preserve">Cash paid to suppliers and employees</w:t>
            </w:r>
          </w:p>
        </w:tc>
        <w:tc>
          <w:tcPr>
            <w:tcW w:type="pct" w:w="2500"/>
            <w:tcMar>
              <w:top w:type="dxa" w:w="20"/>
              <w:left w:type="dxa" w:w="80"/>
              <w:bottom w:type="dxa" w:w="20"/>
              <w:right w:type="dxa" w:w="80"/>
            </w:tcMar>
          </w:tcPr>
          <w:p>
            <w:pPr>
              <w:spacing w:before="24" w:after="24"/>
            </w:pPr>
            <w:r>
              <w:rPr>
                <w:sz w:val="16"/>
                <w:szCs w:val="16"/>
              </w:rPr>
              <w:t xml:space="preserve"/>
            </w:r>
          </w:p>
        </w:tc>
      </w:tr>
    </w:tbl>
    <w:p/>
    <w:p>
      <w:pPr>
        <w:spacing w:before="50" w:after="14"/>
      </w:pPr>
      <w:r>
        <w:rPr>
          <w:b/>
          <w:bCs/>
          <w:color w:val="353A7C"/>
          <w:sz w:val="18"/>
          <w:szCs w:val="18"/>
        </w:rPr>
        <w:t xml:space="preserve">the summaries in full</w:t>
      </w:r>
    </w:p>
    <w:p>
      <w:pPr>
        <w:spacing w:before="20" w:after="20"/>
        <w:ind w:left="240" w:hanging="240"/>
      </w:pPr>
      <w:r>
        <w:rPr>
          <w:b/>
          <w:bCs/>
          <w:color w:val="353A7C"/>
          <w:sz w:val="15"/>
          <w:szCs w:val="15"/>
        </w:rPr>
        <w:t xml:space="preserve">Summary 1   </w:t>
      </w:r>
      <w:r>
        <w:rPr>
          <w:color w:val="6B7280"/>
          <w:sz w:val="15"/>
          <w:szCs w:val="15"/>
        </w:rPr>
        <w:t xml:space="preserve">The direct method shows the main classes of operating receipts and payments, such as cash from customers and cash paid to suppliers. The FASB encourages it, but few companies use it. A company that uses it must still show the reconciliation of net income to operating cash flow. Cash from customers is sales adjusted for the change in receivables and customer deposits. Both methods give the same total, $7,531,100; only the presentation differs.</w:t>
      </w:r>
    </w:p>
    <w:p>
      <w:pPr>
        <w:spacing w:before="20" w:after="20"/>
        <w:ind w:left="240" w:hanging="240"/>
      </w:pPr>
      <w:r>
        <w:rPr>
          <w:b/>
          <w:bCs/>
          <w:color w:val="353A7C"/>
          <w:sz w:val="15"/>
          <w:szCs w:val="15"/>
        </w:rPr>
        <w:t xml:space="preserve">Summary 2   </w:t>
      </w:r>
      <w:r>
        <w:rPr>
          <w:color w:val="6B7280"/>
          <w:sz w:val="15"/>
          <w:szCs w:val="15"/>
        </w:rPr>
        <w:t xml:space="preserve">A company using the indirect method must disclose interest paid and income taxes paid. Orontes paid $390,000 of interest and $839,700 of income taxes. Taxes paid are the current tax expense of $889,700 less the $50,000 increase in taxes payable.</w:t>
      </w:r>
    </w:p>
    <w:p>
      <w:pPr>
        <w:sectPr>
          <w:headerReference w:type="default" r:id="rIdHdr8"/>
          <w:pgSz w:w="11906" w:h="16838" w:orient="portrait"/>
          <w:pgMar w:top="1180" w:right="1000" w:bottom="900" w:left="1000" w:header="708" w:footer="708" w:gutter="0"/>
          <w:docGrid w:linePitch="360"/>
          <w:pgNumType w:start="1"/>
        </w:sectPr>
      </w:pPr>
    </w:p>
    <w:tbl>
      <w:tblPr>
        <w:tblW w:type="pct" w:w="100%"/>
        <w:tblLayout w:type="fixed"/>
        <w:tblBorders>
          <w:top w:val="single" w:color="353A7C" w:sz="8"/>
          <w:left w:val="single" w:color="353A7C" w:sz="8"/>
          <w:bottom w:val="single" w:color="353A7C" w:sz="8"/>
          <w:right w:val="single" w:color="353A7C" w:sz="8"/>
          <w:insideH w:val="single" w:color="353A7C" w:sz="8"/>
          <w:insideV w:val="single" w:color="353A7C" w:sz="8"/>
        </w:tblBorders>
      </w:tblPr>
      <w:tblGrid>
        <w:gridCol w:w="9600"/>
      </w:tblGrid>
      <w:tr>
        <w:tc>
          <w:tcPr>
            <w:tcW w:type="pct" w:w="5000"/>
            <w:shd w:fill="353A7C" w:val="clear"/>
            <w:tcMar>
              <w:top w:type="dxa" w:w="80"/>
              <w:left w:type="dxa" w:w="140"/>
              <w:bottom w:type="dxa" w:w="80"/>
              <w:right w:type="dxa" w:w="140"/>
            </w:tcMar>
          </w:tcPr>
          <w:p>
            <w:pPr>
              <w:spacing w:before="50" w:after="14"/>
            </w:pPr>
            <w:r>
              <w:rPr>
                <w:b/>
                <w:bCs/>
                <w:color w:val="FFFFFF"/>
                <w:sz w:val="22"/>
                <w:szCs w:val="22"/>
              </w:rPr>
              <w:t xml:space="preserve">5.5  Limitations and links between the four statements</w:t>
            </w:r>
          </w:p>
          <w:p>
            <w:pPr>
              <w:spacing w:before="0" w:after="46"/>
            </w:pPr>
            <w:r>
              <w:rPr>
                <w:color w:val="E8EAF6"/>
                <w:sz w:val="16"/>
                <w:szCs w:val="16"/>
              </w:rPr>
              <w:t xml:space="preserve">Chapter 5 · section 5.5</w:t>
            </w:r>
          </w:p>
        </w:tc>
      </w:tr>
    </w:tbl>
    <w:p/>
    <w:p>
      <w:pPr>
        <w:spacing w:before="10" w:after="40"/>
      </w:pPr>
      <w:r>
        <w:rPr>
          <w:color w:val="6B7280"/>
          <w:sz w:val="17"/>
          <w:szCs w:val="17"/>
        </w:rPr>
        <w:t xml:space="preserve">Fill every gap. Each word list holds one word more than there are gaps.</w:t>
      </w:r>
    </w:p>
    <w:p>
      <w:pPr>
        <w:spacing w:before="44" w:after="14"/>
      </w:pPr>
      <w:r>
        <w:rPr>
          <w:b/>
          <w:bCs/>
          <w:color w:val="353A7C"/>
          <w:sz w:val="18"/>
          <w:szCs w:val="18"/>
        </w:rPr>
        <w:t xml:space="preserve">Summary 1</w:t>
      </w:r>
      <w:r>
        <w:rPr>
          <w:color w:val="6B7280"/>
          <w:sz w:val="16"/>
          <w:szCs w:val="16"/>
        </w:rPr>
        <w:t xml:space="preserve">      gaps 1–12</w:t>
      </w:r>
    </w:p>
    <w:p>
      <w:pPr>
        <w:spacing w:before="20" w:after="20" w:line="360" w:lineRule="auto"/>
        <w:ind w:left="200"/>
      </w:pPr>
      <w:r>
        <w:rPr>
          <w:sz w:val="19"/>
          <w:szCs w:val="19"/>
        </w:rPr>
        <w:t xml:space="preserve">Cash flows are harder to </w:t>
      </w:r>
      <w:r>
        <w:rPr>
          <w:b/>
          <w:bCs/>
          <w:color w:val="8186EF"/>
          <w:sz w:val="15"/>
          <w:szCs w:val="15"/>
        </w:rPr>
        <w:t xml:space="preserve"> (1) </w:t>
      </w:r>
      <w:r>
        <w:rPr>
          <w:u w:val="single"/>
          <w:sz w:val="19"/>
          <w:szCs w:val="19"/>
        </w:rPr>
        <w:t xml:space="preserve">           </w:t>
      </w:r>
      <w:r>
        <w:rPr>
          <w:sz w:val="19"/>
          <w:szCs w:val="19"/>
        </w:rPr>
        <w:t xml:space="preserve"> </w:t>
      </w:r>
      <w:r>
        <w:rPr>
          <w:sz w:val="19"/>
          <w:szCs w:val="19"/>
        </w:rPr>
        <w:t xml:space="preserve"> than profits, but not </w:t>
      </w:r>
      <w:r>
        <w:rPr>
          <w:b/>
          <w:bCs/>
          <w:color w:val="8186EF"/>
          <w:sz w:val="15"/>
          <w:szCs w:val="15"/>
        </w:rPr>
        <w:t xml:space="preserve"> (2) </w:t>
      </w:r>
      <w:r>
        <w:rPr>
          <w:u w:val="single"/>
          <w:sz w:val="19"/>
          <w:szCs w:val="19"/>
        </w:rPr>
        <w:t xml:space="preserve">            </w:t>
      </w:r>
      <w:r>
        <w:rPr>
          <w:sz w:val="19"/>
          <w:szCs w:val="19"/>
        </w:rPr>
        <w:t xml:space="preserve"> </w:t>
      </w:r>
      <w:r>
        <w:rPr>
          <w:sz w:val="19"/>
          <w:szCs w:val="19"/>
        </w:rPr>
        <w:t xml:space="preserve">. </w:t>
      </w:r>
      <w:r>
        <w:rPr>
          <w:sz w:val="19"/>
          <w:szCs w:val="19"/>
        </w:rPr>
        <w:t xml:space="preserve">A company can raise operating cash near year-end by delaying payments to </w:t>
      </w:r>
      <w:r>
        <w:rPr>
          <w:b/>
          <w:bCs/>
          <w:color w:val="8186EF"/>
          <w:sz w:val="15"/>
          <w:szCs w:val="15"/>
        </w:rPr>
        <w:t xml:space="preserve"> (3) </w:t>
      </w:r>
      <w:r>
        <w:rPr>
          <w:u w:val="single"/>
          <w:sz w:val="19"/>
          <w:szCs w:val="19"/>
        </w:rPr>
        <w:t xml:space="preserve">           </w:t>
      </w:r>
      <w:r>
        <w:rPr>
          <w:sz w:val="19"/>
          <w:szCs w:val="19"/>
        </w:rPr>
        <w:t xml:space="preserve"> </w:t>
      </w:r>
      <w:r>
        <w:rPr>
          <w:sz w:val="19"/>
          <w:szCs w:val="19"/>
        </w:rPr>
        <w:t xml:space="preserve"> or by selling </w:t>
      </w:r>
      <w:r>
        <w:rPr>
          <w:b/>
          <w:bCs/>
          <w:color w:val="8186EF"/>
          <w:sz w:val="15"/>
          <w:szCs w:val="15"/>
        </w:rPr>
        <w:t xml:space="preserve"> (4) </w:t>
      </w:r>
      <w:r>
        <w:rPr>
          <w:u w:val="single"/>
          <w:sz w:val="19"/>
          <w:szCs w:val="19"/>
        </w:rPr>
        <w:t xml:space="preserve">             </w:t>
      </w:r>
      <w:r>
        <w:rPr>
          <w:sz w:val="19"/>
          <w:szCs w:val="19"/>
        </w:rPr>
        <w:t xml:space="preserve"> </w:t>
      </w:r>
      <w:r>
        <w:rPr>
          <w:sz w:val="19"/>
          <w:szCs w:val="19"/>
        </w:rPr>
        <w:t xml:space="preserve">. </w:t>
      </w:r>
      <w:r>
        <w:rPr>
          <w:sz w:val="19"/>
          <w:szCs w:val="19"/>
        </w:rPr>
        <w:t xml:space="preserve">The statement also shows only one year, and it is not a </w:t>
      </w:r>
      <w:r>
        <w:rPr>
          <w:b/>
          <w:bCs/>
          <w:color w:val="8186EF"/>
          <w:sz w:val="15"/>
          <w:szCs w:val="15"/>
        </w:rPr>
        <w:t xml:space="preserve"> (5) </w:t>
      </w:r>
      <w:r>
        <w:rPr>
          <w:u w:val="single"/>
          <w:sz w:val="19"/>
          <w:szCs w:val="19"/>
        </w:rPr>
        <w:t xml:space="preserve">           </w:t>
      </w:r>
      <w:r>
        <w:rPr>
          <w:sz w:val="19"/>
          <w:szCs w:val="19"/>
        </w:rPr>
        <w:t xml:space="preserve"> </w:t>
      </w:r>
      <w:r>
        <w:rPr>
          <w:sz w:val="19"/>
          <w:szCs w:val="19"/>
        </w:rPr>
        <w:t xml:space="preserve"> of profit. </w:t>
      </w:r>
      <w:r>
        <w:rPr>
          <w:sz w:val="19"/>
          <w:szCs w:val="19"/>
        </w:rPr>
        <w:t xml:space="preserve"/>
      </w:r>
      <w:r>
        <w:rPr>
          <w:b/>
          <w:bCs/>
          <w:color w:val="8186EF"/>
          <w:sz w:val="15"/>
          <w:szCs w:val="15"/>
        </w:rPr>
        <w:t xml:space="preserve"> (6) </w:t>
      </w:r>
      <w:r>
        <w:rPr>
          <w:u w:val="single"/>
          <w:sz w:val="19"/>
          <w:szCs w:val="19"/>
        </w:rPr>
        <w:t xml:space="preserve">           </w:t>
      </w:r>
      <w:r>
        <w:rPr>
          <w:sz w:val="19"/>
          <w:szCs w:val="19"/>
        </w:rPr>
        <w:t xml:space="preserve"> </w:t>
      </w:r>
      <w:r>
        <w:rPr>
          <w:sz w:val="19"/>
          <w:szCs w:val="19"/>
        </w:rPr>
        <w:t xml:space="preserve"> noncash deals, such as buying a </w:t>
      </w:r>
      <w:r>
        <w:rPr>
          <w:b/>
          <w:bCs/>
          <w:color w:val="8186EF"/>
          <w:sz w:val="15"/>
          <w:szCs w:val="15"/>
        </w:rPr>
        <w:t xml:space="preserve"> (7) </w:t>
      </w:r>
      <w:r>
        <w:rPr>
          <w:u w:val="single"/>
          <w:sz w:val="19"/>
          <w:szCs w:val="19"/>
        </w:rPr>
        <w:t xml:space="preserve">           </w:t>
      </w:r>
      <w:r>
        <w:rPr>
          <w:sz w:val="19"/>
          <w:szCs w:val="19"/>
        </w:rPr>
        <w:t xml:space="preserve"> </w:t>
      </w:r>
      <w:r>
        <w:rPr>
          <w:sz w:val="19"/>
          <w:szCs w:val="19"/>
        </w:rPr>
        <w:t xml:space="preserve"> with a mortgage, appear only in the notes. </w:t>
      </w:r>
      <w:r>
        <w:rPr>
          <w:sz w:val="19"/>
          <w:szCs w:val="19"/>
        </w:rPr>
        <w:t xml:space="preserve">Some </w:t>
      </w:r>
      <w:r>
        <w:rPr>
          <w:b/>
          <w:bCs/>
          <w:color w:val="8186EF"/>
          <w:sz w:val="15"/>
          <w:szCs w:val="15"/>
        </w:rPr>
        <w:t xml:space="preserve"> (8) </w:t>
      </w:r>
      <w:r>
        <w:rPr>
          <w:u w:val="single"/>
          <w:sz w:val="19"/>
          <w:szCs w:val="19"/>
        </w:rPr>
        <w:t xml:space="preserve">                 </w:t>
      </w:r>
      <w:r>
        <w:rPr>
          <w:sz w:val="19"/>
          <w:szCs w:val="19"/>
        </w:rPr>
        <w:t xml:space="preserve"> </w:t>
      </w:r>
      <w:r>
        <w:rPr>
          <w:sz w:val="19"/>
          <w:szCs w:val="19"/>
        </w:rPr>
        <w:t xml:space="preserve"> are also arbitrary: interest paid is operating under U.S. GAAP but may be </w:t>
      </w:r>
      <w:r>
        <w:rPr>
          <w:b/>
          <w:bCs/>
          <w:color w:val="8186EF"/>
          <w:sz w:val="15"/>
          <w:szCs w:val="15"/>
        </w:rPr>
        <w:t xml:space="preserve"> (9) </w:t>
      </w:r>
      <w:r>
        <w:rPr>
          <w:u w:val="single"/>
          <w:sz w:val="19"/>
          <w:szCs w:val="19"/>
        </w:rPr>
        <w:t xml:space="preserve">           </w:t>
      </w:r>
      <w:r>
        <w:rPr>
          <w:sz w:val="19"/>
          <w:szCs w:val="19"/>
        </w:rPr>
        <w:t xml:space="preserve"> </w:t>
      </w:r>
      <w:r>
        <w:rPr>
          <w:sz w:val="19"/>
          <w:szCs w:val="19"/>
        </w:rPr>
        <w:t xml:space="preserve"> under IFRS, which makes companies harder to compare. </w:t>
      </w:r>
      <w:r>
        <w:rPr>
          <w:sz w:val="19"/>
          <w:szCs w:val="19"/>
        </w:rPr>
        <w:t xml:space="preserve"/>
      </w:r>
      <w:r>
        <w:rPr>
          <w:b/>
          <w:bCs/>
          <w:color w:val="8186EF"/>
          <w:sz w:val="15"/>
          <w:szCs w:val="15"/>
        </w:rPr>
        <w:t xml:space="preserve"> (10) </w:t>
      </w:r>
      <w:r>
        <w:rPr>
          <w:u w:val="single"/>
          <w:sz w:val="19"/>
          <w:szCs w:val="19"/>
        </w:rPr>
        <w:t xml:space="preserve">           </w:t>
      </w:r>
      <w:r>
        <w:rPr>
          <w:sz w:val="19"/>
          <w:szCs w:val="19"/>
        </w:rPr>
        <w:t xml:space="preserve"> </w:t>
      </w:r>
      <w:r>
        <w:rPr>
          <w:sz w:val="19"/>
          <w:szCs w:val="19"/>
        </w:rPr>
        <w:t xml:space="preserve">, one year of cash flows can </w:t>
      </w:r>
      <w:r>
        <w:rPr>
          <w:b/>
          <w:bCs/>
          <w:color w:val="8186EF"/>
          <w:sz w:val="15"/>
          <w:szCs w:val="15"/>
        </w:rPr>
        <w:t xml:space="preserve"> (11) </w:t>
      </w:r>
      <w:r>
        <w:rPr>
          <w:u w:val="single"/>
          <w:sz w:val="19"/>
          <w:szCs w:val="19"/>
        </w:rPr>
        <w:t xml:space="preserve">           </w:t>
      </w:r>
      <w:r>
        <w:rPr>
          <w:sz w:val="19"/>
          <w:szCs w:val="19"/>
        </w:rPr>
        <w:t xml:space="preserve"> </w:t>
      </w:r>
      <w:r>
        <w:rPr>
          <w:sz w:val="19"/>
          <w:szCs w:val="19"/>
        </w:rPr>
        <w:t xml:space="preserve">. </w:t>
      </w:r>
      <w:r>
        <w:rPr>
          <w:sz w:val="19"/>
          <w:szCs w:val="19"/>
        </w:rPr>
        <w:t xml:space="preserve">A company that stops </w:t>
      </w:r>
      <w:r>
        <w:rPr>
          <w:b/>
          <w:bCs/>
          <w:color w:val="8186EF"/>
          <w:sz w:val="15"/>
          <w:szCs w:val="15"/>
        </w:rPr>
        <w:t xml:space="preserve"> (12) </w:t>
      </w:r>
      <w:r>
        <w:rPr>
          <w:u w:val="single"/>
          <w:sz w:val="19"/>
          <w:szCs w:val="19"/>
        </w:rPr>
        <w:t xml:space="preserve">           </w:t>
      </w:r>
      <w:r>
        <w:rPr>
          <w:sz w:val="19"/>
          <w:szCs w:val="19"/>
        </w:rPr>
        <w:t xml:space="preserve"> </w:t>
      </w:r>
      <w:r>
        <w:rPr>
          <w:sz w:val="19"/>
          <w:szCs w:val="19"/>
        </w:rPr>
        <w:t xml:space="preserve"> will show strong cash flow for a while, even if its future is weak. </w:t>
      </w:r>
      <w:r>
        <w:rPr>
          <w:sz w:val="19"/>
          <w:szCs w:val="19"/>
        </w:rPr>
        <w:t xml:space="preserve">Net income starts the statement of cash flows and increases retained earnings. </w:t>
      </w:r>
      <w:r>
        <w:rPr>
          <w:sz w:val="19"/>
          <w:szCs w:val="19"/>
        </w:rPr>
        <w:t xml:space="preserve">Changes in balance sheet accounts drive the working-capital adjustments. </w:t>
      </w:r>
      <w:r>
        <w:rPr>
          <w:sz w:val="19"/>
          <w:szCs w:val="19"/>
        </w:rPr>
        <w:t xml:space="preserve">Closing cash equals the cash on the balance sheet. </w:t>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building   ·   manage   ·   mislead   ·   measure   ·   suppliers   ·   classifications   ·   impossible   ·   investing   ·   Finally   ·   jurisdiction   ·   receivables   ·   Important   ·   financing</w:t>
            </w:r>
          </w:p>
        </w:tc>
      </w:tr>
    </w:tbl>
    <w:p/>
    <w:p>
      <w:pPr>
        <w:spacing w:before="44" w:after="14"/>
      </w:pPr>
      <w:r>
        <w:rPr>
          <w:b/>
          <w:bCs/>
          <w:color w:val="353A7C"/>
          <w:sz w:val="18"/>
          <w:szCs w:val="18"/>
        </w:rPr>
        <w:t xml:space="preserve">Summary 2</w:t>
      </w:r>
      <w:r>
        <w:rPr>
          <w:color w:val="6B7280"/>
          <w:sz w:val="16"/>
          <w:szCs w:val="16"/>
        </w:rPr>
        <w:t xml:space="preserve">      gaps 13–19</w:t>
      </w:r>
    </w:p>
    <w:p>
      <w:pPr>
        <w:spacing w:before="20" w:after="20" w:line="360" w:lineRule="auto"/>
        <w:ind w:left="200"/>
      </w:pPr>
      <w:r>
        <w:rPr>
          <w:sz w:val="19"/>
          <w:szCs w:val="19"/>
        </w:rPr>
        <w:t xml:space="preserve">The links also help you find </w:t>
      </w:r>
      <w:r>
        <w:rPr>
          <w:b/>
          <w:bCs/>
          <w:color w:val="8186EF"/>
          <w:sz w:val="15"/>
          <w:szCs w:val="15"/>
        </w:rPr>
        <w:t xml:space="preserve"> (13) </w:t>
      </w:r>
      <w:r>
        <w:rPr>
          <w:u w:val="single"/>
          <w:sz w:val="19"/>
          <w:szCs w:val="19"/>
        </w:rPr>
        <w:t xml:space="preserve">           </w:t>
      </w:r>
      <w:r>
        <w:rPr>
          <w:sz w:val="19"/>
          <w:szCs w:val="19"/>
        </w:rPr>
        <w:t xml:space="preserve"> </w:t>
      </w:r>
      <w:r>
        <w:rPr>
          <w:sz w:val="19"/>
          <w:szCs w:val="19"/>
        </w:rPr>
        <w:t xml:space="preserve"> that are not given. </w:t>
      </w:r>
      <w:r>
        <w:rPr>
          <w:sz w:val="19"/>
          <w:szCs w:val="19"/>
        </w:rPr>
        <w:t xml:space="preserve">Orontes </w:t>
      </w:r>
      <w:r>
        <w:rPr>
          <w:b/>
          <w:bCs/>
          <w:color w:val="8186EF"/>
          <w:sz w:val="15"/>
          <w:szCs w:val="15"/>
        </w:rPr>
        <w:t xml:space="preserve"> (14) </w:t>
      </w:r>
      <w:r>
        <w:rPr>
          <w:u w:val="single"/>
          <w:sz w:val="19"/>
          <w:szCs w:val="19"/>
        </w:rPr>
        <w:t xml:space="preserve">           </w:t>
      </w:r>
      <w:r>
        <w:rPr>
          <w:sz w:val="19"/>
          <w:szCs w:val="19"/>
        </w:rPr>
        <w:t xml:space="preserve"> </w:t>
      </w:r>
      <w:r>
        <w:rPr>
          <w:sz w:val="19"/>
          <w:szCs w:val="19"/>
        </w:rPr>
        <w:t xml:space="preserve"> dividends of $450,000, but dividends </w:t>
      </w:r>
      <w:r>
        <w:rPr>
          <w:b/>
          <w:bCs/>
          <w:color w:val="8186EF"/>
          <w:sz w:val="15"/>
          <w:szCs w:val="15"/>
        </w:rPr>
        <w:t xml:space="preserve"> (15) </w:t>
      </w:r>
      <w:r>
        <w:rPr>
          <w:u w:val="single"/>
          <w:sz w:val="19"/>
          <w:szCs w:val="19"/>
        </w:rPr>
        <w:t xml:space="preserve">           </w:t>
      </w:r>
      <w:r>
        <w:rPr>
          <w:sz w:val="19"/>
          <w:szCs w:val="19"/>
        </w:rPr>
        <w:t xml:space="preserve"> </w:t>
      </w:r>
      <w:r>
        <w:rPr>
          <w:sz w:val="19"/>
          <w:szCs w:val="19"/>
        </w:rPr>
        <w:t xml:space="preserve"> rose by $400,000, so dividends paid were only $50,000. </w:t>
      </w:r>
      <w:r>
        <w:rPr>
          <w:sz w:val="19"/>
          <w:szCs w:val="19"/>
        </w:rPr>
        <w:t xml:space="preserve">That is the amount in the </w:t>
      </w:r>
      <w:r>
        <w:rPr>
          <w:b/>
          <w:bCs/>
          <w:color w:val="8186EF"/>
          <w:sz w:val="15"/>
          <w:szCs w:val="15"/>
        </w:rPr>
        <w:t xml:space="preserve"> (16) </w:t>
      </w:r>
      <w:r>
        <w:rPr>
          <w:u w:val="single"/>
          <w:sz w:val="19"/>
          <w:szCs w:val="19"/>
        </w:rPr>
        <w:t xml:space="preserve">           </w:t>
      </w:r>
      <w:r>
        <w:rPr>
          <w:sz w:val="19"/>
          <w:szCs w:val="19"/>
        </w:rPr>
        <w:t xml:space="preserve"> </w:t>
      </w:r>
      <w:r>
        <w:rPr>
          <w:sz w:val="19"/>
          <w:szCs w:val="19"/>
        </w:rPr>
        <w:t xml:space="preserve"> section. </w:t>
      </w:r>
      <w:r>
        <w:rPr>
          <w:sz w:val="19"/>
          <w:szCs w:val="19"/>
        </w:rPr>
        <w:t xml:space="preserve">In August 2026 the FASB proposed new </w:t>
      </w:r>
      <w:r>
        <w:rPr>
          <w:b/>
          <w:bCs/>
          <w:color w:val="8186EF"/>
          <w:sz w:val="15"/>
          <w:szCs w:val="15"/>
        </w:rPr>
        <w:t xml:space="preserve"> (17) </w:t>
      </w:r>
      <w:r>
        <w:rPr>
          <w:u w:val="single"/>
          <w:sz w:val="19"/>
          <w:szCs w:val="19"/>
        </w:rPr>
        <w:t xml:space="preserve">             </w:t>
      </w:r>
      <w:r>
        <w:rPr>
          <w:sz w:val="19"/>
          <w:szCs w:val="19"/>
        </w:rPr>
        <w:t xml:space="preserve"> </w:t>
      </w:r>
      <w:r>
        <w:rPr>
          <w:sz w:val="19"/>
          <w:szCs w:val="19"/>
        </w:rPr>
        <w:t xml:space="preserve"> about the parts of cash equivalents and about some </w:t>
      </w:r>
      <w:r>
        <w:rPr>
          <w:b/>
          <w:bCs/>
          <w:color w:val="8186EF"/>
          <w:sz w:val="15"/>
          <w:szCs w:val="15"/>
        </w:rPr>
        <w:t xml:space="preserve"> (18) </w:t>
      </w:r>
      <w:r>
        <w:rPr>
          <w:u w:val="single"/>
          <w:sz w:val="19"/>
          <w:szCs w:val="19"/>
        </w:rPr>
        <w:t xml:space="preserve">           </w:t>
      </w:r>
      <w:r>
        <w:rPr>
          <w:sz w:val="19"/>
          <w:szCs w:val="19"/>
        </w:rPr>
        <w:t xml:space="preserve"> </w:t>
      </w:r>
      <w:r>
        <w:rPr>
          <w:sz w:val="19"/>
          <w:szCs w:val="19"/>
        </w:rPr>
        <w:t xml:space="preserve"> assets. </w:t>
      </w:r>
      <w:r>
        <w:rPr>
          <w:sz w:val="19"/>
          <w:szCs w:val="19"/>
        </w:rPr>
        <w:t xml:space="preserve">It is only a proposal; the </w:t>
      </w:r>
      <w:r>
        <w:rPr>
          <w:b/>
          <w:bCs/>
          <w:color w:val="8186EF"/>
          <w:sz w:val="15"/>
          <w:szCs w:val="15"/>
        </w:rPr>
        <w:t xml:space="preserve"> (19) </w:t>
      </w:r>
      <w:r>
        <w:rPr>
          <w:u w:val="single"/>
          <w:sz w:val="19"/>
          <w:szCs w:val="19"/>
        </w:rPr>
        <w:t xml:space="preserve">            </w:t>
      </w:r>
      <w:r>
        <w:rPr>
          <w:sz w:val="19"/>
          <w:szCs w:val="19"/>
        </w:rPr>
        <w:t xml:space="preserve"> </w:t>
      </w:r>
      <w:r>
        <w:rPr>
          <w:sz w:val="19"/>
          <w:szCs w:val="19"/>
        </w:rPr>
        <w:t xml:space="preserve"> of cash equivalents does not change. </w:t>
      </w:r>
      <w:r>
        <w:rPr>
          <w:sz w:val="19"/>
          <w:szCs w:val="19"/>
        </w:rPr>
        <w:t xml:space="preserve">ASU 2023-09 already requires income taxes paid by jurisdiction; know this at awareness level. </w:t>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declared   ·   definition   ·   amounts   ·   financing   ·   digital   ·   working-capital   ·   disclosures   ·   payable</w:t>
            </w:r>
          </w:p>
        </w:tc>
      </w:tr>
    </w:tbl>
    <w:p/>
    <w:tbl>
      <w:tblPr>
        <w:tblW w:type="pct" w:w="100%"/>
        <w:tblLayout w:type="fixed"/>
        <w:tblBorders>
          <w:top w:val="single" w:color="353A7C" w:sz="4"/>
          <w:left w:val="single" w:color="353A7C" w:sz="4"/>
          <w:bottom w:val="single" w:color="353A7C" w:sz="4"/>
          <w:right w:val="single" w:color="353A7C" w:sz="4"/>
          <w:insideH w:val="single" w:color="353A7C" w:sz="4"/>
          <w:insideV w:val="single" w:color="353A7C" w:sz="4"/>
        </w:tblBorders>
      </w:tblPr>
      <w:tblGrid>
        <w:gridCol w:w="9600"/>
      </w:tblGrid>
      <w:tr>
        <w:tc>
          <w:tcPr>
            <w:tcW w:type="pct" w:w="5000"/>
            <w:shd w:fill="F2F4FB" w:val="clear"/>
            <w:tcMar>
              <w:top w:type="dxa" w:w="50"/>
              <w:left w:type="dxa" w:w="110"/>
              <w:bottom w:type="dxa" w:w="50"/>
              <w:right w:type="dxa" w:w="110"/>
            </w:tcMar>
          </w:tcPr>
          <w:p>
            <w:pPr>
              <w:spacing w:before="30" w:after="30"/>
            </w:pPr>
            <w:r>
              <w:rPr>
                <w:b/>
                <w:bCs/>
                <w:color w:val="353A7C"/>
                <w:sz w:val="19"/>
                <w:szCs w:val="19"/>
              </w:rPr>
              <w:t xml:space="preserve">Tableau de financement</w:t>
            </w:r>
          </w:p>
        </w:tc>
      </w:tr>
    </w:tbl>
    <w:p/>
    <w:p>
      <w:pPr>
        <w:pageBreakBefore w:val="true"/>
        <w:spacing w:after="0"/>
      </w:pPr>
      <w:r>
        <w:rPr>
          <w:sz w:val="2"/>
        </w:rPr>
        <w:t xml:space="preserve"> </w:t>
      </w:r>
    </w:p>
    <w:tbl>
      <w:tblPr>
        <w:tblW w:type="pct" w:w="100%"/>
        <w:tblLayout w:type="fixed"/>
        <w:tblBorders>
          <w:top w:val="single" w:color="353A7C" w:sz="6"/>
          <w:left w:val="single" w:color="353A7C" w:sz="6"/>
          <w:bottom w:val="single" w:color="353A7C" w:sz="6"/>
          <w:right w:val="single" w:color="353A7C" w:sz="6"/>
          <w:insideH w:val="single" w:color="353A7C" w:sz="6"/>
          <w:insideV w:val="single" w:color="353A7C" w:sz="6"/>
        </w:tblBorders>
      </w:tblPr>
      <w:tblGrid>
        <w:gridCol w:w="4224"/>
        <w:gridCol w:w="3555"/>
        <w:gridCol w:w="1821"/>
      </w:tblGrid>
      <w:tr>
        <w:tc>
          <w:tcPr>
            <w:tcW w:type="pct" w:w="5000"/>
            <w:gridSpan w:val="3"/>
            <w:shd w:fill="353A7C" w:val="clear"/>
            <w:tcMar>
              <w:top w:type="dxa" w:w="60"/>
              <w:left w:type="dxa" w:w="120"/>
              <w:bottom w:type="dxa" w:w="60"/>
              <w:right w:type="dxa" w:w="120"/>
            </w:tcMar>
          </w:tcPr>
          <w:p>
            <w:pPr>
              <w:spacing w:before="40" w:after="40"/>
            </w:pPr>
            <w:r>
              <w:rPr>
                <w:b/>
                <w:bCs/>
                <w:color w:val="FFFFFF"/>
                <w:sz w:val="17"/>
                <w:szCs w:val="17"/>
              </w:rPr>
              <w:t xml:space="preserve">Tableau de financement</w:t>
            </w:r>
          </w:p>
        </w:tc>
      </w:tr>
      <w:tr>
        <w:tc>
          <w:tcPr>
            <w:tcW w:type="pct" w:w="2200"/>
            <w:shd w:fill="353A7C" w:val="clear"/>
            <w:tcMar>
              <w:top w:type="dxa" w:w="50"/>
              <w:left w:type="dxa" w:w="110"/>
              <w:bottom w:type="dxa" w:w="50"/>
              <w:right w:type="dxa" w:w="110"/>
            </w:tcMar>
          </w:tcPr>
          <w:p>
            <w:pPr>
              <w:spacing w:before="30" w:after="30"/>
            </w:pPr>
            <w:r>
              <w:rPr>
                <w:b/>
                <w:bCs/>
                <w:color w:val="FFFFFF"/>
                <w:sz w:val="15"/>
                <w:szCs w:val="15"/>
              </w:rPr>
              <w:t xml:space="preserve">Barada Wholesale (USD 000)</w:t>
            </w:r>
          </w:p>
        </w:tc>
        <w:tc>
          <w:tcPr>
            <w:tcW w:type="pct" w:w="1851"/>
            <w:shd w:fill="353A7C" w:val="clear"/>
            <w:tcMar>
              <w:top w:type="dxa" w:w="50"/>
              <w:left w:type="dxa" w:w="110"/>
              <w:bottom w:type="dxa" w:w="50"/>
              <w:right w:type="dxa" w:w="110"/>
            </w:tcMar>
          </w:tcPr>
          <w:p>
            <w:pPr>
              <w:spacing w:before="30" w:after="30"/>
            </w:pPr>
            <w:r>
              <w:rPr>
                <w:b/>
                <w:bCs/>
                <w:color w:val="FFFFFF"/>
                <w:sz w:val="15"/>
                <w:szCs w:val="15"/>
              </w:rPr>
              <w:t xml:space="preserve">Amount, or balance at Dec 31, 2025</w:t>
            </w:r>
          </w:p>
        </w:tc>
        <w:tc>
          <w:tcPr>
            <w:tcW w:type="pct" w:w="949"/>
            <w:shd w:fill="353A7C" w:val="clear"/>
            <w:tcMar>
              <w:top w:type="dxa" w:w="50"/>
              <w:left w:type="dxa" w:w="110"/>
              <w:bottom w:type="dxa" w:w="50"/>
              <w:right w:type="dxa" w:w="110"/>
            </w:tcMar>
          </w:tcPr>
          <w:p>
            <w:pPr>
              <w:spacing w:before="30" w:after="30"/>
            </w:pPr>
            <w:r>
              <w:rPr>
                <w:b/>
                <w:bCs/>
                <w:color w:val="FFFFFF"/>
                <w:sz w:val="15"/>
                <w:szCs w:val="15"/>
              </w:rPr>
              <w:t xml:space="preserve">Balance at Dec 31, 2026</w:t>
            </w:r>
          </w:p>
        </w:tc>
      </w:tr>
      <w:tr>
        <w:tc>
          <w:tcPr>
            <w:tcW w:type="pct" w:w="2200"/>
            <w:shd w:fill="FFFFFF" w:val="clear"/>
            <w:tcMar>
              <w:top w:type="dxa" w:w="50"/>
              <w:left w:type="dxa" w:w="110"/>
              <w:bottom w:type="dxa" w:w="50"/>
              <w:right w:type="dxa" w:w="110"/>
            </w:tcMar>
          </w:tcPr>
          <w:p>
            <w:pPr>
              <w:spacing w:before="46" w:after="46"/>
            </w:pPr>
            <w:r>
              <w:rPr>
                <w:b/>
                <w:bCs/>
                <w:color w:val="8186EF"/>
                <w:sz w:val="14"/>
                <w:szCs w:val="14"/>
              </w:rPr>
              <w:t xml:space="preserve">(20)</w:t>
            </w:r>
          </w:p>
        </w:tc>
        <w:tc>
          <w:tcPr>
            <w:tcW w:type="pct" w:w="1851"/>
            <w:tcMar>
              <w:top w:type="dxa" w:w="50"/>
              <w:left w:type="dxa" w:w="110"/>
              <w:bottom w:type="dxa" w:w="50"/>
              <w:right w:type="dxa" w:w="110"/>
            </w:tcMar>
          </w:tcPr>
          <w:p>
            <w:pPr>
              <w:spacing w:before="28" w:after="28"/>
            </w:pPr>
            <w:r>
              <w:rPr>
                <w:sz w:val="15"/>
                <w:szCs w:val="15"/>
              </w:rPr>
              <w:t xml:space="preserve"> </w:t>
            </w:r>
          </w:p>
        </w:tc>
        <w:tc>
          <w:tcPr>
            <w:tcW w:type="pct" w:w="949"/>
            <w:tcMar>
              <w:top w:type="dxa" w:w="50"/>
              <w:left w:type="dxa" w:w="110"/>
              <w:bottom w:type="dxa" w:w="50"/>
              <w:right w:type="dxa" w:w="110"/>
            </w:tcMar>
          </w:tcPr>
          <w:p>
            <w:pPr>
              <w:spacing w:before="28" w:after="28"/>
            </w:pPr>
            <w:r>
              <w:rPr>
                <w:sz w:val="15"/>
                <w:szCs w:val="15"/>
              </w:rPr>
              <w:t xml:space="preserve"> </w:t>
            </w:r>
          </w:p>
        </w:tc>
      </w:tr>
      <w:tr>
        <w:tc>
          <w:tcPr>
            <w:tcW w:type="pct" w:w="2200"/>
            <w:shd w:fill="FBFAF6" w:val="clear"/>
            <w:tcMar>
              <w:top w:type="dxa" w:w="50"/>
              <w:left w:type="dxa" w:w="110"/>
              <w:bottom w:type="dxa" w:w="50"/>
              <w:right w:type="dxa" w:w="110"/>
            </w:tcMar>
          </w:tcPr>
          <w:p>
            <w:pPr>
              <w:spacing w:before="28" w:after="28"/>
            </w:pPr>
            <w:r>
              <w:rPr>
                <w:sz w:val="15"/>
                <w:szCs w:val="15"/>
              </w:rPr>
              <w:t xml:space="preserve">Net income</w:t>
            </w:r>
          </w:p>
        </w:tc>
        <w:tc>
          <w:tcPr>
            <w:tcW w:type="pct" w:w="1851"/>
            <w:shd w:fill="FBFAF6" w:val="clear"/>
            <w:tcMar>
              <w:top w:type="dxa" w:w="50"/>
              <w:left w:type="dxa" w:w="110"/>
              <w:bottom w:type="dxa" w:w="50"/>
              <w:right w:type="dxa" w:w="110"/>
            </w:tcMar>
          </w:tcPr>
          <w:p>
            <w:pPr>
              <w:spacing w:before="28" w:after="28"/>
            </w:pPr>
            <w:r>
              <w:rPr>
                <w:sz w:val="15"/>
                <w:szCs w:val="15"/>
              </w:rPr>
              <w:t xml:space="preserve">165</w:t>
            </w:r>
          </w:p>
        </w:tc>
        <w:tc>
          <w:tcPr>
            <w:tcW w:type="pct" w:w="949"/>
            <w:shd w:fill="FBFAF6" w:val="clear"/>
            <w:tcMar>
              <w:top w:type="dxa" w:w="50"/>
              <w:left w:type="dxa" w:w="110"/>
              <w:bottom w:type="dxa" w:w="50"/>
              <w:right w:type="dxa" w:w="110"/>
            </w:tcMar>
          </w:tcPr>
          <w:p>
            <w:pPr>
              <w:spacing w:before="28" w:after="28"/>
            </w:pPr>
            <w:r>
              <w:rPr>
                <w:sz w:val="15"/>
                <w:szCs w:val="15"/>
              </w:rPr>
              <w:t xml:space="preserve"> </w:t>
            </w:r>
          </w:p>
        </w:tc>
      </w:tr>
      <w:tr>
        <w:tc>
          <w:tcPr>
            <w:tcW w:type="pct" w:w="2200"/>
            <w:tcMar>
              <w:top w:type="dxa" w:w="50"/>
              <w:left w:type="dxa" w:w="110"/>
              <w:bottom w:type="dxa" w:w="50"/>
              <w:right w:type="dxa" w:w="110"/>
            </w:tcMar>
          </w:tcPr>
          <w:p>
            <w:pPr>
              <w:spacing w:before="28" w:after="28"/>
            </w:pPr>
            <w:r>
              <w:rPr>
                <w:sz w:val="15"/>
                <w:szCs w:val="15"/>
              </w:rPr>
              <w:t xml:space="preserve">Depreciation expense</w:t>
            </w:r>
          </w:p>
        </w:tc>
        <w:tc>
          <w:tcPr>
            <w:tcW w:type="pct" w:w="1851"/>
            <w:tcMar>
              <w:top w:type="dxa" w:w="50"/>
              <w:left w:type="dxa" w:w="110"/>
              <w:bottom w:type="dxa" w:w="50"/>
              <w:right w:type="dxa" w:w="110"/>
            </w:tcMar>
          </w:tcPr>
          <w:p>
            <w:pPr>
              <w:spacing w:before="28" w:after="28"/>
            </w:pPr>
            <w:r>
              <w:rPr>
                <w:sz w:val="15"/>
                <w:szCs w:val="15"/>
              </w:rPr>
              <w:t xml:space="preserve">300</w:t>
            </w:r>
          </w:p>
        </w:tc>
        <w:tc>
          <w:tcPr>
            <w:tcW w:type="pct" w:w="949"/>
            <w:tcMar>
              <w:top w:type="dxa" w:w="50"/>
              <w:left w:type="dxa" w:w="110"/>
              <w:bottom w:type="dxa" w:w="50"/>
              <w:right w:type="dxa" w:w="110"/>
            </w:tcMar>
          </w:tcPr>
          <w:p>
            <w:pPr>
              <w:spacing w:before="28" w:after="28"/>
            </w:pPr>
            <w:r>
              <w:rPr>
                <w:sz w:val="15"/>
                <w:szCs w:val="15"/>
              </w:rPr>
              <w:t xml:space="preserve"> </w:t>
            </w:r>
          </w:p>
        </w:tc>
      </w:tr>
      <w:tr>
        <w:tc>
          <w:tcPr>
            <w:tcW w:type="pct" w:w="2200"/>
            <w:shd w:fill="FBFAF6" w:val="clear"/>
            <w:tcMar>
              <w:top w:type="dxa" w:w="50"/>
              <w:left w:type="dxa" w:w="110"/>
              <w:bottom w:type="dxa" w:w="50"/>
              <w:right w:type="dxa" w:w="110"/>
            </w:tcMar>
          </w:tcPr>
          <w:p>
            <w:pPr>
              <w:spacing w:before="28" w:after="28"/>
            </w:pPr>
            <w:r>
              <w:rPr>
                <w:sz w:val="15"/>
                <w:szCs w:val="15"/>
              </w:rPr>
              <w:t xml:space="preserve">Gain on sale of equipment</w:t>
            </w:r>
          </w:p>
        </w:tc>
        <w:tc>
          <w:tcPr>
            <w:tcW w:type="pct" w:w="1851"/>
            <w:shd w:fill="FBFAF6" w:val="clear"/>
            <w:tcMar>
              <w:top w:type="dxa" w:w="50"/>
              <w:left w:type="dxa" w:w="110"/>
              <w:bottom w:type="dxa" w:w="50"/>
              <w:right w:type="dxa" w:w="110"/>
            </w:tcMar>
          </w:tcPr>
          <w:p>
            <w:pPr>
              <w:spacing w:before="28" w:after="28"/>
            </w:pPr>
            <w:r>
              <w:rPr>
                <w:sz w:val="15"/>
                <w:szCs w:val="15"/>
              </w:rPr>
              <w:t xml:space="preserve">20</w:t>
            </w:r>
          </w:p>
        </w:tc>
        <w:tc>
          <w:tcPr>
            <w:tcW w:type="pct" w:w="949"/>
            <w:shd w:fill="FBFAF6" w:val="clear"/>
            <w:tcMar>
              <w:top w:type="dxa" w:w="50"/>
              <w:left w:type="dxa" w:w="110"/>
              <w:bottom w:type="dxa" w:w="50"/>
              <w:right w:type="dxa" w:w="110"/>
            </w:tcMar>
          </w:tcPr>
          <w:p>
            <w:pPr>
              <w:spacing w:before="28" w:after="28"/>
            </w:pPr>
            <w:r>
              <w:rPr>
                <w:sz w:val="15"/>
                <w:szCs w:val="15"/>
              </w:rPr>
              <w:t xml:space="preserve"> </w:t>
            </w:r>
          </w:p>
        </w:tc>
      </w:tr>
      <w:tr>
        <w:tc>
          <w:tcPr>
            <w:tcW w:type="pct" w:w="2200"/>
            <w:tcMar>
              <w:top w:type="dxa" w:w="50"/>
              <w:left w:type="dxa" w:w="110"/>
              <w:bottom w:type="dxa" w:w="50"/>
              <w:right w:type="dxa" w:w="110"/>
            </w:tcMar>
          </w:tcPr>
          <w:p>
            <w:pPr>
              <w:spacing w:before="28" w:after="28"/>
            </w:pPr>
            <w:r>
              <w:rPr>
                <w:sz w:val="15"/>
                <w:szCs w:val="15"/>
              </w:rPr>
              <w:t xml:space="preserve">Loss on sale of the catering-supply division</w:t>
            </w:r>
          </w:p>
        </w:tc>
        <w:tc>
          <w:tcPr>
            <w:tcW w:type="pct" w:w="1851"/>
            <w:tcMar>
              <w:top w:type="dxa" w:w="50"/>
              <w:left w:type="dxa" w:w="110"/>
              <w:bottom w:type="dxa" w:w="50"/>
              <w:right w:type="dxa" w:w="110"/>
            </w:tcMar>
          </w:tcPr>
          <w:p>
            <w:pPr>
              <w:spacing w:before="28" w:after="28"/>
            </w:pPr>
            <w:r>
              <w:rPr>
                <w:sz w:val="15"/>
                <w:szCs w:val="15"/>
              </w:rPr>
              <w:t xml:space="preserve">40</w:t>
            </w:r>
          </w:p>
        </w:tc>
        <w:tc>
          <w:tcPr>
            <w:tcW w:type="pct" w:w="949"/>
            <w:tcMar>
              <w:top w:type="dxa" w:w="50"/>
              <w:left w:type="dxa" w:w="110"/>
              <w:bottom w:type="dxa" w:w="50"/>
              <w:right w:type="dxa" w:w="110"/>
            </w:tcMar>
          </w:tcPr>
          <w:p>
            <w:pPr>
              <w:spacing w:before="28" w:after="28"/>
            </w:pPr>
            <w:r>
              <w:rPr>
                <w:sz w:val="15"/>
                <w:szCs w:val="15"/>
              </w:rPr>
              <w:t xml:space="preserve"> </w:t>
            </w:r>
          </w:p>
        </w:tc>
      </w:tr>
      <w:tr>
        <w:tc>
          <w:tcPr>
            <w:tcW w:type="pct" w:w="2200"/>
            <w:shd w:fill="FBFAF6" w:val="clear"/>
            <w:tcMar>
              <w:top w:type="dxa" w:w="50"/>
              <w:left w:type="dxa" w:w="110"/>
              <w:bottom w:type="dxa" w:w="50"/>
              <w:right w:type="dxa" w:w="110"/>
            </w:tcMar>
          </w:tcPr>
          <w:p>
            <w:pPr>
              <w:spacing w:before="28" w:after="28"/>
            </w:pPr>
            <w:r>
              <w:rPr>
                <w:sz w:val="15"/>
                <w:szCs w:val="15"/>
              </w:rPr>
              <w:t xml:space="preserve">Balances</w:t>
            </w:r>
          </w:p>
        </w:tc>
        <w:tc>
          <w:tcPr>
            <w:tcW w:type="pct" w:w="1851"/>
            <w:shd w:fill="FBFAF6" w:val="clear"/>
            <w:tcMar>
              <w:top w:type="dxa" w:w="50"/>
              <w:left w:type="dxa" w:w="110"/>
              <w:bottom w:type="dxa" w:w="50"/>
              <w:right w:type="dxa" w:w="110"/>
            </w:tcMar>
          </w:tcPr>
          <w:p>
            <w:pPr>
              <w:spacing w:before="28" w:after="28"/>
            </w:pPr>
            <w:r>
              <w:rPr>
                <w:sz w:val="15"/>
                <w:szCs w:val="15"/>
              </w:rPr>
              <w:t xml:space="preserve"> </w:t>
            </w:r>
          </w:p>
        </w:tc>
        <w:tc>
          <w:tcPr>
            <w:tcW w:type="pct" w:w="949"/>
            <w:shd w:fill="FBFAF6" w:val="clear"/>
            <w:tcMar>
              <w:top w:type="dxa" w:w="50"/>
              <w:left w:type="dxa" w:w="110"/>
              <w:bottom w:type="dxa" w:w="50"/>
              <w:right w:type="dxa" w:w="110"/>
            </w:tcMar>
          </w:tcPr>
          <w:p>
            <w:pPr>
              <w:spacing w:before="28" w:after="28"/>
            </w:pPr>
            <w:r>
              <w:rPr>
                <w:sz w:val="15"/>
                <w:szCs w:val="15"/>
              </w:rPr>
              <w:t xml:space="preserve"> </w:t>
            </w:r>
          </w:p>
        </w:tc>
      </w:tr>
      <w:tr>
        <w:tc>
          <w:tcPr>
            <w:tcW w:type="pct" w:w="2200"/>
            <w:shd w:fill="FFFFFF" w:val="clear"/>
            <w:tcMar>
              <w:top w:type="dxa" w:w="50"/>
              <w:left w:type="dxa" w:w="110"/>
              <w:bottom w:type="dxa" w:w="50"/>
              <w:right w:type="dxa" w:w="110"/>
            </w:tcMar>
          </w:tcPr>
          <w:p>
            <w:pPr>
              <w:spacing w:before="46" w:after="46"/>
            </w:pPr>
            <w:r>
              <w:rPr>
                <w:b/>
                <w:bCs/>
                <w:color w:val="8186EF"/>
                <w:sz w:val="14"/>
                <w:szCs w:val="14"/>
              </w:rPr>
              <w:t xml:space="preserve">(21)</w:t>
            </w:r>
          </w:p>
        </w:tc>
        <w:tc>
          <w:tcPr>
            <w:tcW w:type="pct" w:w="1851"/>
            <w:tcMar>
              <w:top w:type="dxa" w:w="50"/>
              <w:left w:type="dxa" w:w="110"/>
              <w:bottom w:type="dxa" w:w="50"/>
              <w:right w:type="dxa" w:w="110"/>
            </w:tcMar>
          </w:tcPr>
          <w:p>
            <w:pPr>
              <w:spacing w:before="28" w:after="28"/>
            </w:pPr>
            <w:r>
              <w:rPr>
                <w:sz w:val="15"/>
                <w:szCs w:val="15"/>
              </w:rPr>
              <w:t xml:space="preserve">280</w:t>
            </w:r>
          </w:p>
        </w:tc>
        <w:tc>
          <w:tcPr>
            <w:tcW w:type="pct" w:w="949"/>
            <w:tcMar>
              <w:top w:type="dxa" w:w="50"/>
              <w:left w:type="dxa" w:w="110"/>
              <w:bottom w:type="dxa" w:w="50"/>
              <w:right w:type="dxa" w:w="110"/>
            </w:tcMar>
          </w:tcPr>
          <w:p>
            <w:pPr>
              <w:spacing w:before="28" w:after="28"/>
            </w:pPr>
            <w:r>
              <w:rPr>
                <w:sz w:val="15"/>
                <w:szCs w:val="15"/>
              </w:rPr>
              <w:t xml:space="preserve">310</w:t>
            </w:r>
          </w:p>
        </w:tc>
      </w:tr>
      <w:tr>
        <w:tc>
          <w:tcPr>
            <w:tcW w:type="pct" w:w="2200"/>
            <w:shd w:fill="FFFFFF" w:val="clear"/>
            <w:tcMar>
              <w:top w:type="dxa" w:w="50"/>
              <w:left w:type="dxa" w:w="110"/>
              <w:bottom w:type="dxa" w:w="50"/>
              <w:right w:type="dxa" w:w="110"/>
            </w:tcMar>
          </w:tcPr>
          <w:p>
            <w:pPr>
              <w:spacing w:before="46" w:after="46"/>
            </w:pPr>
            <w:r>
              <w:rPr>
                <w:b/>
                <w:bCs/>
                <w:color w:val="8186EF"/>
                <w:sz w:val="14"/>
                <w:szCs w:val="14"/>
              </w:rPr>
              <w:t xml:space="preserve">(22)</w:t>
            </w:r>
          </w:p>
        </w:tc>
        <w:tc>
          <w:tcPr>
            <w:tcW w:type="pct" w:w="1851"/>
            <w:shd w:fill="FBFAF6" w:val="clear"/>
            <w:tcMar>
              <w:top w:type="dxa" w:w="50"/>
              <w:left w:type="dxa" w:w="110"/>
              <w:bottom w:type="dxa" w:w="50"/>
              <w:right w:type="dxa" w:w="110"/>
            </w:tcMar>
          </w:tcPr>
          <w:p>
            <w:pPr>
              <w:spacing w:before="28" w:after="28"/>
            </w:pPr>
            <w:r>
              <w:rPr>
                <w:sz w:val="15"/>
                <w:szCs w:val="15"/>
              </w:rPr>
              <w:t xml:space="preserve">420</w:t>
            </w:r>
          </w:p>
        </w:tc>
        <w:tc>
          <w:tcPr>
            <w:tcW w:type="pct" w:w="949"/>
            <w:shd w:fill="FBFAF6" w:val="clear"/>
            <w:tcMar>
              <w:top w:type="dxa" w:w="50"/>
              <w:left w:type="dxa" w:w="110"/>
              <w:bottom w:type="dxa" w:w="50"/>
              <w:right w:type="dxa" w:w="110"/>
            </w:tcMar>
          </w:tcPr>
          <w:p>
            <w:pPr>
              <w:spacing w:before="28" w:after="28"/>
            </w:pPr>
            <w:r>
              <w:rPr>
                <w:sz w:val="15"/>
                <w:szCs w:val="15"/>
              </w:rPr>
              <w:t xml:space="preserve">390</w:t>
            </w:r>
          </w:p>
        </w:tc>
      </w:tr>
      <w:tr>
        <w:tc>
          <w:tcPr>
            <w:tcW w:type="pct" w:w="2200"/>
            <w:shd w:fill="FFFFFF" w:val="clear"/>
            <w:tcMar>
              <w:top w:type="dxa" w:w="50"/>
              <w:left w:type="dxa" w:w="110"/>
              <w:bottom w:type="dxa" w:w="50"/>
              <w:right w:type="dxa" w:w="110"/>
            </w:tcMar>
          </w:tcPr>
          <w:p>
            <w:pPr>
              <w:spacing w:before="46" w:after="46"/>
            </w:pPr>
            <w:r>
              <w:rPr>
                <w:b/>
                <w:bCs/>
                <w:color w:val="8186EF"/>
                <w:sz w:val="14"/>
                <w:szCs w:val="14"/>
              </w:rPr>
              <w:t xml:space="preserve">(23)</w:t>
            </w:r>
          </w:p>
        </w:tc>
        <w:tc>
          <w:tcPr>
            <w:tcW w:type="pct" w:w="1851"/>
            <w:tcMar>
              <w:top w:type="dxa" w:w="50"/>
              <w:left w:type="dxa" w:w="110"/>
              <w:bottom w:type="dxa" w:w="50"/>
              <w:right w:type="dxa" w:w="110"/>
            </w:tcMar>
          </w:tcPr>
          <w:p>
            <w:pPr>
              <w:spacing w:before="28" w:after="28"/>
            </w:pPr>
            <w:r>
              <w:rPr>
                <w:sz w:val="15"/>
                <w:szCs w:val="15"/>
              </w:rPr>
              <w:t xml:space="preserve">24</w:t>
            </w:r>
          </w:p>
        </w:tc>
        <w:tc>
          <w:tcPr>
            <w:tcW w:type="pct" w:w="949"/>
            <w:tcMar>
              <w:top w:type="dxa" w:w="50"/>
              <w:left w:type="dxa" w:w="110"/>
              <w:bottom w:type="dxa" w:w="50"/>
              <w:right w:type="dxa" w:w="110"/>
            </w:tcMar>
          </w:tcPr>
          <w:p>
            <w:pPr>
              <w:spacing w:before="28" w:after="28"/>
            </w:pPr>
            <w:r>
              <w:rPr>
                <w:sz w:val="15"/>
                <w:szCs w:val="15"/>
              </w:rPr>
              <w:t xml:space="preserve">26</w:t>
            </w:r>
          </w:p>
        </w:tc>
      </w:tr>
      <w:tr>
        <w:tc>
          <w:tcPr>
            <w:tcW w:type="pct" w:w="2200"/>
            <w:shd w:fill="FFFFFF" w:val="clear"/>
            <w:tcMar>
              <w:top w:type="dxa" w:w="50"/>
              <w:left w:type="dxa" w:w="110"/>
              <w:bottom w:type="dxa" w:w="50"/>
              <w:right w:type="dxa" w:w="110"/>
            </w:tcMar>
          </w:tcPr>
          <w:p>
            <w:pPr>
              <w:spacing w:before="46" w:after="46"/>
            </w:pPr>
            <w:r>
              <w:rPr>
                <w:b/>
                <w:bCs/>
                <w:color w:val="8186EF"/>
                <w:sz w:val="14"/>
                <w:szCs w:val="14"/>
              </w:rPr>
              <w:t xml:space="preserve">(24)</w:t>
            </w:r>
          </w:p>
        </w:tc>
        <w:tc>
          <w:tcPr>
            <w:tcW w:type="pct" w:w="1851"/>
            <w:shd w:fill="FBFAF6" w:val="clear"/>
            <w:tcMar>
              <w:top w:type="dxa" w:w="50"/>
              <w:left w:type="dxa" w:w="110"/>
              <w:bottom w:type="dxa" w:w="50"/>
              <w:right w:type="dxa" w:w="110"/>
            </w:tcMar>
          </w:tcPr>
          <w:p>
            <w:pPr>
              <w:spacing w:before="28" w:after="28"/>
            </w:pPr>
            <w:r>
              <w:rPr>
                <w:sz w:val="15"/>
                <w:szCs w:val="15"/>
              </w:rPr>
              <w:t xml:space="preserve">380</w:t>
            </w:r>
          </w:p>
        </w:tc>
        <w:tc>
          <w:tcPr>
            <w:tcW w:type="pct" w:w="949"/>
            <w:shd w:fill="FBFAF6" w:val="clear"/>
            <w:tcMar>
              <w:top w:type="dxa" w:w="50"/>
              <w:left w:type="dxa" w:w="110"/>
              <w:bottom w:type="dxa" w:w="50"/>
              <w:right w:type="dxa" w:w="110"/>
            </w:tcMar>
          </w:tcPr>
          <w:p>
            <w:pPr>
              <w:spacing w:before="28" w:after="28"/>
            </w:pPr>
            <w:r>
              <w:rPr>
                <w:sz w:val="15"/>
                <w:szCs w:val="15"/>
              </w:rPr>
              <w:t xml:space="preserve">410</w:t>
            </w:r>
          </w:p>
        </w:tc>
      </w:tr>
      <w:tr>
        <w:tc>
          <w:tcPr>
            <w:tcW w:type="pct" w:w="2200"/>
            <w:shd w:fill="FFFFFF" w:val="clear"/>
            <w:tcMar>
              <w:top w:type="dxa" w:w="50"/>
              <w:left w:type="dxa" w:w="110"/>
              <w:bottom w:type="dxa" w:w="50"/>
              <w:right w:type="dxa" w:w="110"/>
            </w:tcMar>
          </w:tcPr>
          <w:p>
            <w:pPr>
              <w:spacing w:before="46" w:after="46"/>
            </w:pPr>
            <w:r>
              <w:rPr>
                <w:b/>
                <w:bCs/>
                <w:color w:val="8186EF"/>
                <w:sz w:val="14"/>
                <w:szCs w:val="14"/>
              </w:rPr>
              <w:t xml:space="preserve">(25)</w:t>
            </w:r>
          </w:p>
        </w:tc>
        <w:tc>
          <w:tcPr>
            <w:tcW w:type="pct" w:w="1851"/>
            <w:tcMar>
              <w:top w:type="dxa" w:w="50"/>
              <w:left w:type="dxa" w:w="110"/>
              <w:bottom w:type="dxa" w:w="50"/>
              <w:right w:type="dxa" w:w="110"/>
            </w:tcMar>
          </w:tcPr>
          <w:p>
            <w:pPr>
              <w:spacing w:before="28" w:after="28"/>
            </w:pPr>
            <w:r>
              <w:rPr>
                <w:sz w:val="15"/>
                <w:szCs w:val="15"/>
              </w:rPr>
              <w:t xml:space="preserve">0</w:t>
            </w:r>
          </w:p>
        </w:tc>
        <w:tc>
          <w:tcPr>
            <w:tcW w:type="pct" w:w="949"/>
            <w:tcMar>
              <w:top w:type="dxa" w:w="50"/>
              <w:left w:type="dxa" w:w="110"/>
              <w:bottom w:type="dxa" w:w="50"/>
              <w:right w:type="dxa" w:w="110"/>
            </w:tcMar>
          </w:tcPr>
          <w:p>
            <w:pPr>
              <w:spacing w:before="28" w:after="28"/>
            </w:pPr>
            <w:r>
              <w:rPr>
                <w:sz w:val="15"/>
                <w:szCs w:val="15"/>
              </w:rPr>
              <w:t xml:space="preserve">30</w:t>
            </w:r>
          </w:p>
        </w:tc>
      </w:tr>
      <w:tr>
        <w:tc>
          <w:tcPr>
            <w:tcW w:type="pct" w:w="2200"/>
            <w:shd w:fill="FFFFFF" w:val="clear"/>
            <w:tcMar>
              <w:top w:type="dxa" w:w="50"/>
              <w:left w:type="dxa" w:w="110"/>
              <w:bottom w:type="dxa" w:w="50"/>
              <w:right w:type="dxa" w:w="110"/>
            </w:tcMar>
          </w:tcPr>
          <w:p>
            <w:pPr>
              <w:spacing w:before="46" w:after="46"/>
            </w:pPr>
            <w:r>
              <w:rPr>
                <w:b/>
                <w:bCs/>
                <w:color w:val="8186EF"/>
                <w:sz w:val="14"/>
                <w:szCs w:val="14"/>
              </w:rPr>
              <w:t xml:space="preserve">(26)</w:t>
            </w:r>
          </w:p>
        </w:tc>
        <w:tc>
          <w:tcPr>
            <w:tcW w:type="pct" w:w="1851"/>
            <w:shd w:fill="FBFAF6" w:val="clear"/>
            <w:tcMar>
              <w:top w:type="dxa" w:w="50"/>
              <w:left w:type="dxa" w:w="110"/>
              <w:bottom w:type="dxa" w:w="50"/>
              <w:right w:type="dxa" w:w="110"/>
            </w:tcMar>
          </w:tcPr>
          <w:p>
            <w:pPr>
              <w:spacing w:before="28" w:after="28"/>
            </w:pPr>
            <w:r>
              <w:rPr>
                <w:sz w:val="15"/>
                <w:szCs w:val="15"/>
              </w:rPr>
              <w:t xml:space="preserve">1,050</w:t>
            </w:r>
          </w:p>
        </w:tc>
        <w:tc>
          <w:tcPr>
            <w:tcW w:type="pct" w:w="949"/>
            <w:shd w:fill="FBFAF6" w:val="clear"/>
            <w:tcMar>
              <w:top w:type="dxa" w:w="50"/>
              <w:left w:type="dxa" w:w="110"/>
              <w:bottom w:type="dxa" w:w="50"/>
              <w:right w:type="dxa" w:w="110"/>
            </w:tcMar>
          </w:tcPr>
          <w:p>
            <w:pPr>
              <w:spacing w:before="28" w:after="28"/>
            </w:pPr>
            <w:r>
              <w:rPr>
                <w:sz w:val="15"/>
                <w:szCs w:val="15"/>
              </w:rPr>
              <w:t xml:space="preserve">?</w:t>
            </w:r>
          </w:p>
        </w:tc>
      </w:tr>
      <w:tr>
        <w:tc>
          <w:tcPr>
            <w:tcW w:type="pct" w:w="2200"/>
            <w:tcMar>
              <w:top w:type="dxa" w:w="50"/>
              <w:left w:type="dxa" w:w="110"/>
              <w:bottom w:type="dxa" w:w="50"/>
              <w:right w:type="dxa" w:w="110"/>
            </w:tcMar>
          </w:tcPr>
          <w:p>
            <w:pPr>
              <w:spacing w:before="28" w:after="28"/>
            </w:pPr>
            <w:r>
              <w:rPr>
                <w:sz w:val="15"/>
                <w:szCs w:val="15"/>
              </w:rPr>
              <w:t xml:space="preserve">Other 2026 cash information</w:t>
            </w:r>
          </w:p>
        </w:tc>
        <w:tc>
          <w:tcPr>
            <w:tcW w:type="pct" w:w="1851"/>
            <w:tcMar>
              <w:top w:type="dxa" w:w="50"/>
              <w:left w:type="dxa" w:w="110"/>
              <w:bottom w:type="dxa" w:w="50"/>
              <w:right w:type="dxa" w:w="110"/>
            </w:tcMar>
          </w:tcPr>
          <w:p>
            <w:pPr>
              <w:spacing w:before="28" w:after="28"/>
            </w:pPr>
            <w:r>
              <w:rPr>
                <w:sz w:val="15"/>
                <w:szCs w:val="15"/>
              </w:rPr>
              <w:t xml:space="preserve"> </w:t>
            </w:r>
          </w:p>
        </w:tc>
        <w:tc>
          <w:tcPr>
            <w:tcW w:type="pct" w:w="949"/>
            <w:tcMar>
              <w:top w:type="dxa" w:w="50"/>
              <w:left w:type="dxa" w:w="110"/>
              <w:bottom w:type="dxa" w:w="50"/>
              <w:right w:type="dxa" w:w="110"/>
            </w:tcMar>
          </w:tcPr>
          <w:p>
            <w:pPr>
              <w:spacing w:before="28" w:after="28"/>
            </w:pPr>
            <w:r>
              <w:rPr>
                <w:sz w:val="15"/>
                <w:szCs w:val="15"/>
              </w:rPr>
              <w:t xml:space="preserve"> </w:t>
            </w:r>
          </w:p>
        </w:tc>
      </w:tr>
      <w:tr>
        <w:tc>
          <w:tcPr>
            <w:tcW w:type="pct" w:w="2200"/>
            <w:shd w:fill="FBFAF6" w:val="clear"/>
            <w:tcMar>
              <w:top w:type="dxa" w:w="50"/>
              <w:left w:type="dxa" w:w="110"/>
              <w:bottom w:type="dxa" w:w="50"/>
              <w:right w:type="dxa" w:w="110"/>
            </w:tcMar>
          </w:tcPr>
          <w:p>
            <w:pPr>
              <w:spacing w:before="28" w:after="28"/>
            </w:pPr>
            <w:r>
              <w:rPr>
                <w:sz w:val="15"/>
                <w:szCs w:val="15"/>
              </w:rPr>
              <w:t xml:space="preserve">Proceeds from sale of equipment</w:t>
            </w:r>
          </w:p>
        </w:tc>
        <w:tc>
          <w:tcPr>
            <w:tcW w:type="pct" w:w="1851"/>
            <w:shd w:fill="FBFAF6" w:val="clear"/>
            <w:tcMar>
              <w:top w:type="dxa" w:w="50"/>
              <w:left w:type="dxa" w:w="110"/>
              <w:bottom w:type="dxa" w:w="50"/>
              <w:right w:type="dxa" w:w="110"/>
            </w:tcMar>
          </w:tcPr>
          <w:p>
            <w:pPr>
              <w:spacing w:before="28" w:after="28"/>
            </w:pPr>
            <w:r>
              <w:rPr>
                <w:sz w:val="15"/>
                <w:szCs w:val="15"/>
              </w:rPr>
              <w:t xml:space="preserve">70</w:t>
            </w:r>
          </w:p>
        </w:tc>
        <w:tc>
          <w:tcPr>
            <w:tcW w:type="pct" w:w="949"/>
            <w:shd w:fill="FBFAF6" w:val="clear"/>
            <w:tcMar>
              <w:top w:type="dxa" w:w="50"/>
              <w:left w:type="dxa" w:w="110"/>
              <w:bottom w:type="dxa" w:w="50"/>
              <w:right w:type="dxa" w:w="110"/>
            </w:tcMar>
          </w:tcPr>
          <w:p>
            <w:pPr>
              <w:spacing w:before="28" w:after="28"/>
            </w:pPr>
            <w:r>
              <w:rPr>
                <w:sz w:val="15"/>
                <w:szCs w:val="15"/>
              </w:rPr>
              <w:t xml:space="preserve"> </w:t>
            </w:r>
          </w:p>
        </w:tc>
      </w:tr>
      <w:tr>
        <w:tc>
          <w:tcPr>
            <w:tcW w:type="pct" w:w="2200"/>
            <w:shd w:fill="FFFFFF" w:val="clear"/>
            <w:tcMar>
              <w:top w:type="dxa" w:w="50"/>
              <w:left w:type="dxa" w:w="110"/>
              <w:bottom w:type="dxa" w:w="50"/>
              <w:right w:type="dxa" w:w="110"/>
            </w:tcMar>
          </w:tcPr>
          <w:p>
            <w:pPr>
              <w:spacing w:before="46" w:after="46"/>
            </w:pPr>
            <w:r>
              <w:rPr>
                <w:b/>
                <w:bCs/>
                <w:color w:val="8186EF"/>
                <w:sz w:val="14"/>
                <w:szCs w:val="14"/>
              </w:rPr>
              <w:t xml:space="preserve">(27)</w:t>
            </w:r>
          </w:p>
        </w:tc>
        <w:tc>
          <w:tcPr>
            <w:tcW w:type="pct" w:w="1851"/>
            <w:tcMar>
              <w:top w:type="dxa" w:w="50"/>
              <w:left w:type="dxa" w:w="110"/>
              <w:bottom w:type="dxa" w:w="50"/>
              <w:right w:type="dxa" w:w="110"/>
            </w:tcMar>
          </w:tcPr>
          <w:p>
            <w:pPr>
              <w:spacing w:before="28" w:after="28"/>
            </w:pPr>
            <w:r>
              <w:rPr>
                <w:sz w:val="15"/>
                <w:szCs w:val="15"/>
              </w:rPr>
              <w:t xml:space="preserve">150</w:t>
            </w:r>
          </w:p>
        </w:tc>
        <w:tc>
          <w:tcPr>
            <w:tcW w:type="pct" w:w="949"/>
            <w:tcMar>
              <w:top w:type="dxa" w:w="50"/>
              <w:left w:type="dxa" w:w="110"/>
              <w:bottom w:type="dxa" w:w="50"/>
              <w:right w:type="dxa" w:w="110"/>
            </w:tcMar>
          </w:tcPr>
          <w:p>
            <w:pPr>
              <w:spacing w:before="28" w:after="28"/>
            </w:pPr>
            <w:r>
              <w:rPr>
                <w:sz w:val="15"/>
                <w:szCs w:val="15"/>
              </w:rPr>
              <w:t xml:space="preserve"> </w:t>
            </w:r>
          </w:p>
        </w:tc>
      </w:tr>
      <w:tr>
        <w:tc>
          <w:tcPr>
            <w:tcW w:type="pct" w:w="2200"/>
            <w:shd w:fill="FFFFFF" w:val="clear"/>
            <w:tcMar>
              <w:top w:type="dxa" w:w="50"/>
              <w:left w:type="dxa" w:w="110"/>
              <w:bottom w:type="dxa" w:w="50"/>
              <w:right w:type="dxa" w:w="110"/>
            </w:tcMar>
          </w:tcPr>
          <w:p>
            <w:pPr>
              <w:spacing w:before="46" w:after="46"/>
            </w:pPr>
            <w:r>
              <w:rPr>
                <w:b/>
                <w:bCs/>
                <w:color w:val="8186EF"/>
                <w:sz w:val="14"/>
                <w:szCs w:val="14"/>
              </w:rPr>
              <w:t xml:space="preserve">(28)</w:t>
            </w:r>
          </w:p>
        </w:tc>
        <w:tc>
          <w:tcPr>
            <w:tcW w:type="pct" w:w="1851"/>
            <w:shd w:fill="FBFAF6" w:val="clear"/>
            <w:tcMar>
              <w:top w:type="dxa" w:w="50"/>
              <w:left w:type="dxa" w:w="110"/>
              <w:bottom w:type="dxa" w:w="50"/>
              <w:right w:type="dxa" w:w="110"/>
            </w:tcMar>
          </w:tcPr>
          <w:p>
            <w:pPr>
              <w:spacing w:before="28" w:after="28"/>
            </w:pPr>
            <w:r>
              <w:rPr>
                <w:sz w:val="15"/>
                <w:szCs w:val="15"/>
              </w:rPr>
              <w:t xml:space="preserve">200</w:t>
            </w:r>
          </w:p>
        </w:tc>
        <w:tc>
          <w:tcPr>
            <w:tcW w:type="pct" w:w="949"/>
            <w:shd w:fill="FBFAF6" w:val="clear"/>
            <w:tcMar>
              <w:top w:type="dxa" w:w="50"/>
              <w:left w:type="dxa" w:w="110"/>
              <w:bottom w:type="dxa" w:w="50"/>
              <w:right w:type="dxa" w:w="110"/>
            </w:tcMar>
          </w:tcPr>
          <w:p>
            <w:pPr>
              <w:spacing w:before="28" w:after="28"/>
            </w:pPr>
            <w:r>
              <w:rPr>
                <w:sz w:val="15"/>
                <w:szCs w:val="15"/>
              </w:rPr>
              <w:t xml:space="preserve"> </w:t>
            </w:r>
          </w:p>
        </w:tc>
      </w:tr>
      <w:tr>
        <w:tc>
          <w:tcPr>
            <w:tcW w:type="pct" w:w="2200"/>
            <w:tcMar>
              <w:top w:type="dxa" w:w="50"/>
              <w:left w:type="dxa" w:w="110"/>
              <w:bottom w:type="dxa" w:w="50"/>
              <w:right w:type="dxa" w:w="110"/>
            </w:tcMar>
          </w:tcPr>
          <w:p>
            <w:pPr>
              <w:spacing w:before="28" w:after="28"/>
            </w:pPr>
            <w:r>
              <w:rPr>
                <w:sz w:val="15"/>
                <w:szCs w:val="15"/>
              </w:rPr>
              <w:t xml:space="preserve">Note installment repaid (Chapter 2, M1)</w:t>
            </w:r>
          </w:p>
        </w:tc>
        <w:tc>
          <w:tcPr>
            <w:tcW w:type="pct" w:w="1851"/>
            <w:tcMar>
              <w:top w:type="dxa" w:w="50"/>
              <w:left w:type="dxa" w:w="110"/>
              <w:bottom w:type="dxa" w:w="50"/>
              <w:right w:type="dxa" w:w="110"/>
            </w:tcMar>
          </w:tcPr>
          <w:p>
            <w:pPr>
              <w:spacing w:before="28" w:after="28"/>
            </w:pPr>
            <w:r>
              <w:rPr>
                <w:sz w:val="15"/>
                <w:szCs w:val="15"/>
              </w:rPr>
              <w:t xml:space="preserve">300</w:t>
            </w:r>
          </w:p>
        </w:tc>
        <w:tc>
          <w:tcPr>
            <w:tcW w:type="pct" w:w="949"/>
            <w:tcMar>
              <w:top w:type="dxa" w:w="50"/>
              <w:left w:type="dxa" w:w="110"/>
              <w:bottom w:type="dxa" w:w="50"/>
              <w:right w:type="dxa" w:w="110"/>
            </w:tcMar>
          </w:tcPr>
          <w:p>
            <w:pPr>
              <w:spacing w:before="28" w:after="28"/>
            </w:pPr>
            <w:r>
              <w:rPr>
                <w:sz w:val="15"/>
                <w:szCs w:val="15"/>
              </w:rPr>
              <w:t xml:space="preserve"> </w:t>
            </w:r>
          </w:p>
        </w:tc>
      </w:tr>
      <w:tr>
        <w:tc>
          <w:tcPr>
            <w:tcW w:type="pct" w:w="2200"/>
            <w:shd w:fill="FBFAF6" w:val="clear"/>
            <w:tcMar>
              <w:top w:type="dxa" w:w="50"/>
              <w:left w:type="dxa" w:w="110"/>
              <w:bottom w:type="dxa" w:w="50"/>
              <w:right w:type="dxa" w:w="110"/>
            </w:tcMar>
          </w:tcPr>
          <w:p>
            <w:pPr>
              <w:spacing w:before="28" w:after="28"/>
            </w:pPr>
            <w:r>
              <w:rPr>
                <w:sz w:val="15"/>
                <w:szCs w:val="15"/>
              </w:rPr>
              <w:t xml:space="preserve">Dividend paid (declared in 2025)</w:t>
            </w:r>
          </w:p>
        </w:tc>
        <w:tc>
          <w:tcPr>
            <w:tcW w:type="pct" w:w="1851"/>
            <w:shd w:fill="FBFAF6" w:val="clear"/>
            <w:tcMar>
              <w:top w:type="dxa" w:w="50"/>
              <w:left w:type="dxa" w:w="110"/>
              <w:bottom w:type="dxa" w:w="50"/>
              <w:right w:type="dxa" w:w="110"/>
            </w:tcMar>
          </w:tcPr>
          <w:p>
            <w:pPr>
              <w:spacing w:before="28" w:after="28"/>
            </w:pPr>
            <w:r>
              <w:rPr>
                <w:sz w:val="15"/>
                <w:szCs w:val="15"/>
              </w:rPr>
              <w:t xml:space="preserve">50</w:t>
            </w:r>
          </w:p>
        </w:tc>
        <w:tc>
          <w:tcPr>
            <w:tcW w:type="pct" w:w="949"/>
            <w:shd w:fill="FBFAF6" w:val="clear"/>
            <w:tcMar>
              <w:top w:type="dxa" w:w="50"/>
              <w:left w:type="dxa" w:w="110"/>
              <w:bottom w:type="dxa" w:w="50"/>
              <w:right w:type="dxa" w:w="110"/>
            </w:tcMar>
          </w:tcPr>
          <w:p>
            <w:pPr>
              <w:spacing w:before="28" w:after="28"/>
            </w:pPr>
            <w:r>
              <w:rPr>
                <w:sz w:val="15"/>
                <w:szCs w:val="15"/>
              </w:rPr>
              <w:t xml:space="preserve"> </w:t>
            </w:r>
          </w:p>
        </w:tc>
      </w:tr>
      <w:tr>
        <w:tc>
          <w:tcPr>
            <w:tcW w:type="pct" w:w="2200"/>
            <w:tcMar>
              <w:top w:type="dxa" w:w="50"/>
              <w:left w:type="dxa" w:w="110"/>
              <w:bottom w:type="dxa" w:w="50"/>
              <w:right w:type="dxa" w:w="110"/>
            </w:tcMar>
          </w:tcPr>
          <w:p>
            <w:pPr>
              <w:spacing w:before="28" w:after="28"/>
            </w:pPr>
            <w:r>
              <w:rPr>
                <w:sz w:val="15"/>
                <w:szCs w:val="15"/>
              </w:rPr>
              <w:t xml:space="preserve">Treasury stock bought (Chapter 4, E1)</w:t>
            </w:r>
          </w:p>
        </w:tc>
        <w:tc>
          <w:tcPr>
            <w:tcW w:type="pct" w:w="1851"/>
            <w:tcMar>
              <w:top w:type="dxa" w:w="50"/>
              <w:left w:type="dxa" w:w="110"/>
              <w:bottom w:type="dxa" w:w="50"/>
              <w:right w:type="dxa" w:w="110"/>
            </w:tcMar>
          </w:tcPr>
          <w:p>
            <w:pPr>
              <w:spacing w:before="28" w:after="28"/>
            </w:pPr>
            <w:r>
              <w:rPr>
                <w:sz w:val="15"/>
                <w:szCs w:val="15"/>
              </w:rPr>
              <w:t xml:space="preserve">480</w:t>
            </w:r>
          </w:p>
        </w:tc>
        <w:tc>
          <w:tcPr>
            <w:tcW w:type="pct" w:w="949"/>
            <w:tcMar>
              <w:top w:type="dxa" w:w="50"/>
              <w:left w:type="dxa" w:w="110"/>
              <w:bottom w:type="dxa" w:w="50"/>
              <w:right w:type="dxa" w:w="110"/>
            </w:tcMar>
          </w:tcPr>
          <w:p>
            <w:pPr>
              <w:spacing w:before="28" w:after="28"/>
            </w:pPr>
            <w:r>
              <w:rPr>
                <w:sz w:val="15"/>
                <w:szCs w:val="15"/>
              </w:rPr>
              <w:t xml:space="preserve"> </w:t>
            </w:r>
          </w:p>
        </w:tc>
      </w:tr>
      <w:tr>
        <w:tc>
          <w:tcPr>
            <w:tcW w:type="pct" w:w="2200"/>
            <w:shd w:fill="FBFAF6" w:val="clear"/>
            <w:tcMar>
              <w:top w:type="dxa" w:w="50"/>
              <w:left w:type="dxa" w:w="110"/>
              <w:bottom w:type="dxa" w:w="50"/>
              <w:right w:type="dxa" w:w="110"/>
            </w:tcMar>
          </w:tcPr>
          <w:p>
            <w:pPr>
              <w:spacing w:before="28" w:after="28"/>
            </w:pPr>
            <w:r>
              <w:rPr>
                <w:sz w:val="15"/>
                <w:szCs w:val="15"/>
              </w:rPr>
              <w:t xml:space="preserve">Treasury stock reissued (E2 and E3)</w:t>
            </w:r>
          </w:p>
        </w:tc>
        <w:tc>
          <w:tcPr>
            <w:tcW w:type="pct" w:w="1851"/>
            <w:shd w:fill="FBFAF6" w:val="clear"/>
            <w:tcMar>
              <w:top w:type="dxa" w:w="50"/>
              <w:left w:type="dxa" w:w="110"/>
              <w:bottom w:type="dxa" w:w="50"/>
              <w:right w:type="dxa" w:w="110"/>
            </w:tcMar>
          </w:tcPr>
          <w:p>
            <w:pPr>
              <w:spacing w:before="28" w:after="28"/>
            </w:pPr>
            <w:r>
              <w:rPr>
                <w:sz w:val="15"/>
                <w:szCs w:val="15"/>
              </w:rPr>
              <w:t xml:space="preserve">200</w:t>
            </w:r>
          </w:p>
        </w:tc>
        <w:tc>
          <w:tcPr>
            <w:tcW w:type="pct" w:w="949"/>
            <w:shd w:fill="FBFAF6" w:val="clear"/>
            <w:tcMar>
              <w:top w:type="dxa" w:w="50"/>
              <w:left w:type="dxa" w:w="110"/>
              <w:bottom w:type="dxa" w:w="50"/>
              <w:right w:type="dxa" w:w="110"/>
            </w:tcMar>
          </w:tcPr>
          <w:p>
            <w:pPr>
              <w:spacing w:before="28" w:after="28"/>
            </w:pPr>
            <w:r>
              <w:rPr>
                <w:sz w:val="15"/>
                <w:szCs w:val="15"/>
              </w:rPr>
              <w:t xml:space="preserve"> </w:t>
            </w:r>
          </w:p>
        </w:tc>
      </w:tr>
      <w:tr>
        <w:tc>
          <w:tcPr>
            <w:tcW w:type="pct" w:w="2200"/>
            <w:tcMar>
              <w:top w:type="dxa" w:w="50"/>
              <w:left w:type="dxa" w:w="110"/>
              <w:bottom w:type="dxa" w:w="50"/>
              <w:right w:type="dxa" w:w="110"/>
            </w:tcMar>
          </w:tcPr>
          <w:p>
            <w:pPr>
              <w:spacing w:before="28" w:after="28"/>
            </w:pPr>
            <w:r>
              <w:rPr>
                <w:sz w:val="15"/>
                <w:szCs w:val="15"/>
              </w:rPr>
              <w:t xml:space="preserve">Cash dividend declared December 15, 2026, payable January 2027</w:t>
            </w:r>
          </w:p>
        </w:tc>
        <w:tc>
          <w:tcPr>
            <w:tcW w:type="pct" w:w="1851"/>
            <w:tcMar>
              <w:top w:type="dxa" w:w="50"/>
              <w:left w:type="dxa" w:w="110"/>
              <w:bottom w:type="dxa" w:w="50"/>
              <w:right w:type="dxa" w:w="110"/>
            </w:tcMar>
          </w:tcPr>
          <w:p>
            <w:pPr>
              <w:spacing w:before="28" w:after="28"/>
            </w:pPr>
            <w:r>
              <w:rPr>
                <w:sz w:val="15"/>
                <w:szCs w:val="15"/>
              </w:rPr>
              <w:t xml:space="preserve">121</w:t>
            </w:r>
          </w:p>
        </w:tc>
        <w:tc>
          <w:tcPr>
            <w:tcW w:type="pct" w:w="949"/>
            <w:tcMar>
              <w:top w:type="dxa" w:w="50"/>
              <w:left w:type="dxa" w:w="110"/>
              <w:bottom w:type="dxa" w:w="50"/>
              <w:right w:type="dxa" w:w="110"/>
            </w:tcMar>
          </w:tcPr>
          <w:p>
            <w:pPr>
              <w:spacing w:before="28" w:after="28"/>
            </w:pPr>
            <w:r>
              <w:rPr>
                <w:sz w:val="15"/>
                <w:szCs w:val="15"/>
              </w:rPr>
              <w:t xml:space="preserve"> </w:t>
            </w:r>
          </w:p>
        </w:tc>
      </w:tr>
    </w:tbl>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Income taxes payable   ·   Investing   ·   Prepaid rent   ·   Income statement items, 2026   ·   Inventory   ·   Accounts payable   ·   Accounts receivable, net   ·   Proceeds from sale of the division   ·   Purchases of equipment   ·   Cash</w:t>
            </w:r>
          </w:p>
        </w:tc>
      </w:tr>
    </w:tbl>
    <w:p/>
    <w:tbl>
      <w:tblPr>
        <w:tblW w:type="pct" w:w="100%"/>
        <w:tblLayout w:type="fixed"/>
        <w:tblBorders>
          <w:top w:val="single" w:color="353A7C" w:sz="6"/>
          <w:left w:val="single" w:color="353A7C" w:sz="6"/>
          <w:bottom w:val="single" w:color="353A7C" w:sz="6"/>
          <w:right w:val="single" w:color="353A7C" w:sz="6"/>
          <w:insideH w:val="single" w:color="353A7C" w:sz="6"/>
          <w:insideV w:val="single" w:color="353A7C" w:sz="6"/>
        </w:tblBorders>
      </w:tblPr>
      <w:tblGrid>
        <w:gridCol w:w="4608"/>
        <w:gridCol w:w="4992"/>
      </w:tblGrid>
      <w:tr>
        <w:tc>
          <w:tcPr>
            <w:tcW w:type="pct" w:w="5000"/>
            <w:gridSpan w:val="2"/>
            <w:shd w:fill="353A7C" w:val="clear"/>
            <w:tcMar>
              <w:top w:type="dxa" w:w="60"/>
              <w:left w:type="dxa" w:w="120"/>
              <w:bottom w:type="dxa" w:w="60"/>
              <w:right w:type="dxa" w:w="120"/>
            </w:tcMar>
          </w:tcPr>
          <w:p>
            <w:pPr>
              <w:spacing w:before="40" w:after="40"/>
            </w:pPr>
            <w:r>
              <w:rPr>
                <w:b/>
                <w:bCs/>
                <w:color w:val="FFFFFF"/>
                <w:sz w:val="17"/>
                <w:szCs w:val="17"/>
              </w:rPr>
              <w:t xml:space="preserve">Item — Answer</w:t>
            </w:r>
          </w:p>
        </w:tc>
      </w:tr>
      <w:tr>
        <w:tc>
          <w:tcPr>
            <w:tcW w:type="pct" w:w="2400"/>
            <w:shd w:fill="353A7C" w:val="clear"/>
            <w:tcMar>
              <w:top w:type="dxa" w:w="50"/>
              <w:left w:type="dxa" w:w="110"/>
              <w:bottom w:type="dxa" w:w="50"/>
              <w:right w:type="dxa" w:w="110"/>
            </w:tcMar>
          </w:tcPr>
          <w:p>
            <w:pPr>
              <w:spacing w:before="30" w:after="30"/>
            </w:pPr>
            <w:r>
              <w:rPr>
                <w:b/>
                <w:bCs/>
                <w:color w:val="FFFFFF"/>
                <w:sz w:val="15"/>
                <w:szCs w:val="15"/>
              </w:rPr>
              <w:t xml:space="preserve">Item</w:t>
            </w:r>
          </w:p>
        </w:tc>
        <w:tc>
          <w:tcPr>
            <w:tcW w:type="pct" w:w="2600"/>
            <w:shd w:fill="353A7C" w:val="clear"/>
            <w:tcMar>
              <w:top w:type="dxa" w:w="50"/>
              <w:left w:type="dxa" w:w="110"/>
              <w:bottom w:type="dxa" w:w="50"/>
              <w:right w:type="dxa" w:w="110"/>
            </w:tcMar>
          </w:tcPr>
          <w:p>
            <w:pPr>
              <w:spacing w:before="30" w:after="30"/>
            </w:pPr>
            <w:r>
              <w:rPr>
                <w:b/>
                <w:bCs/>
                <w:color w:val="FFFFFF"/>
                <w:sz w:val="15"/>
                <w:szCs w:val="15"/>
              </w:rPr>
              <w:t xml:space="preserve">Answer</w:t>
            </w:r>
          </w:p>
        </w:tc>
      </w:tr>
      <w:tr>
        <w:tc>
          <w:tcPr>
            <w:tcW w:type="pct" w:w="2400"/>
            <w:tcMar>
              <w:top w:type="dxa" w:w="50"/>
              <w:left w:type="dxa" w:w="110"/>
              <w:bottom w:type="dxa" w:w="50"/>
              <w:right w:type="dxa" w:w="110"/>
            </w:tcMar>
          </w:tcPr>
          <w:p>
            <w:pPr>
              <w:spacing w:before="28" w:after="28"/>
            </w:pPr>
            <w:r>
              <w:rPr>
                <w:sz w:val="15"/>
                <w:szCs w:val="15"/>
              </w:rPr>
              <w:t xml:space="preserve">Interest paid on a bank loan</w:t>
            </w:r>
          </w:p>
        </w:tc>
        <w:tc>
          <w:tcPr>
            <w:tcW w:type="pct" w:w="2600"/>
            <w:shd w:fill="FFFFFF" w:val="clear"/>
            <w:tcMar>
              <w:top w:type="dxa" w:w="50"/>
              <w:left w:type="dxa" w:w="110"/>
              <w:bottom w:type="dxa" w:w="50"/>
              <w:right w:type="dxa" w:w="110"/>
            </w:tcMar>
          </w:tcPr>
          <w:p>
            <w:pPr>
              <w:spacing w:before="46" w:after="46"/>
            </w:pPr>
            <w:r>
              <w:rPr>
                <w:b/>
                <w:bCs/>
                <w:color w:val="8186EF"/>
                <w:sz w:val="14"/>
                <w:szCs w:val="14"/>
              </w:rPr>
              <w:t xml:space="preserve">(29)</w:t>
            </w:r>
          </w:p>
        </w:tc>
      </w:tr>
      <w:tr>
        <w:tc>
          <w:tcPr>
            <w:tcW w:type="pct" w:w="2400"/>
            <w:shd w:fill="FBFAF6" w:val="clear"/>
            <w:tcMar>
              <w:top w:type="dxa" w:w="50"/>
              <w:left w:type="dxa" w:w="110"/>
              <w:bottom w:type="dxa" w:w="50"/>
              <w:right w:type="dxa" w:w="110"/>
            </w:tcMar>
          </w:tcPr>
          <w:p>
            <w:pPr>
              <w:spacing w:before="28" w:after="28"/>
            </w:pPr>
            <w:r>
              <w:rPr>
                <w:sz w:val="15"/>
                <w:szCs w:val="15"/>
              </w:rPr>
              <w:t xml:space="preserve">Selling Jordan Glass shares</w:t>
            </w:r>
          </w:p>
        </w:tc>
        <w:tc>
          <w:tcPr>
            <w:tcW w:type="pct" w:w="2600"/>
            <w:shd w:fill="FBFAF6" w:val="clear"/>
            <w:tcMar>
              <w:top w:type="dxa" w:w="50"/>
              <w:left w:type="dxa" w:w="110"/>
              <w:bottom w:type="dxa" w:w="50"/>
              <w:right w:type="dxa" w:w="110"/>
            </w:tcMar>
          </w:tcPr>
          <w:p>
            <w:pPr>
              <w:spacing w:before="28" w:after="28"/>
            </w:pPr>
            <w:r>
              <w:rPr>
                <w:sz w:val="15"/>
                <w:szCs w:val="15"/>
              </w:rPr>
              <w:t xml:space="preserve">Investing: another company's </w:t>
            </w:r>
            <w:r>
              <w:rPr>
                <w:b/>
                <w:bCs/>
                <w:color w:val="8186EF"/>
                <w:sz w:val="14"/>
                <w:szCs w:val="14"/>
              </w:rPr>
              <w:t xml:space="preserve"> (30) </w:t>
            </w:r>
            <w:r>
              <w:rPr>
                <w:u w:val="single"/>
                <w:sz w:val="15"/>
                <w:szCs w:val="15"/>
              </w:rPr>
              <w:t xml:space="preserve">              </w:t>
            </w:r>
            <w:r>
              <w:rPr>
                <w:sz w:val="15"/>
                <w:szCs w:val="15"/>
              </w:rPr>
              <w:t xml:space="preserve"> </w:t>
            </w:r>
            <w:r>
              <w:rPr>
                <w:sz w:val="15"/>
                <w:szCs w:val="15"/>
              </w:rPr>
              <w:t xml:space="preserve">.</w:t>
            </w:r>
          </w:p>
        </w:tc>
      </w:tr>
      <w:tr>
        <w:tc>
          <w:tcPr>
            <w:tcW w:type="pct" w:w="2400"/>
            <w:tcMar>
              <w:top w:type="dxa" w:w="50"/>
              <w:left w:type="dxa" w:w="110"/>
              <w:bottom w:type="dxa" w:w="50"/>
              <w:right w:type="dxa" w:w="110"/>
            </w:tcMar>
          </w:tcPr>
          <w:p>
            <w:pPr>
              <w:spacing w:before="28" w:after="28"/>
            </w:pPr>
            <w:r>
              <w:rPr>
                <w:sz w:val="15"/>
                <w:szCs w:val="15"/>
              </w:rPr>
              <w:t xml:space="preserve">Land for a long-term note</w:t>
            </w:r>
          </w:p>
        </w:tc>
        <w:tc>
          <w:tcPr>
            <w:tcW w:type="pct" w:w="2600"/>
            <w:tcMar>
              <w:top w:type="dxa" w:w="50"/>
              <w:left w:type="dxa" w:w="110"/>
              <w:bottom w:type="dxa" w:w="50"/>
              <w:right w:type="dxa" w:w="110"/>
            </w:tcMar>
          </w:tcPr>
          <w:p>
            <w:pPr>
              <w:spacing w:before="28" w:after="28"/>
            </w:pPr>
            <w:r>
              <w:rPr>
                <w:sz w:val="15"/>
                <w:szCs w:val="15"/>
              </w:rPr>
              <w:t xml:space="preserve">Noncash investing and financing activity: disclosed, not in the body.</w:t>
            </w:r>
          </w:p>
        </w:tc>
      </w:tr>
      <w:tr>
        <w:tc>
          <w:tcPr>
            <w:tcW w:type="pct" w:w="2400"/>
            <w:shd w:fill="FBFAF6" w:val="clear"/>
            <w:tcMar>
              <w:top w:type="dxa" w:w="50"/>
              <w:left w:type="dxa" w:w="110"/>
              <w:bottom w:type="dxa" w:w="50"/>
              <w:right w:type="dxa" w:w="110"/>
            </w:tcMar>
          </w:tcPr>
          <w:p>
            <w:pPr>
              <w:spacing w:before="28" w:after="28"/>
            </w:pPr>
            <w:r>
              <w:rPr>
                <w:sz w:val="15"/>
                <w:szCs w:val="15"/>
              </w:rPr>
              <w:t xml:space="preserve">Buying back own shares</w:t>
            </w:r>
          </w:p>
        </w:tc>
        <w:tc>
          <w:tcPr>
            <w:tcW w:type="pct" w:w="2600"/>
            <w:shd w:fill="FBFAF6" w:val="clear"/>
            <w:tcMar>
              <w:top w:type="dxa" w:w="50"/>
              <w:left w:type="dxa" w:w="110"/>
              <w:bottom w:type="dxa" w:w="50"/>
              <w:right w:type="dxa" w:w="110"/>
            </w:tcMar>
          </w:tcPr>
          <w:p>
            <w:pPr>
              <w:spacing w:before="28" w:after="28"/>
            </w:pPr>
            <w:r>
              <w:rPr>
                <w:sz w:val="15"/>
                <w:szCs w:val="15"/>
              </w:rPr>
              <w:t xml:space="preserve">Financing: a transaction with owners.</w:t>
            </w:r>
          </w:p>
        </w:tc>
      </w:tr>
    </w:tbl>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Noncash investing and financing activity   ·   securities   ·   Operating (U.S. GAAP gives no choice).</w:t>
            </w:r>
          </w:p>
        </w:tc>
      </w:tr>
    </w:tbl>
    <w:p/>
    <w:p>
      <w:pPr>
        <w:pageBreakBefore w:val="true"/>
        <w:spacing w:after="0"/>
      </w:pPr>
      <w:r>
        <w:rPr>
          <w:sz w:val="2"/>
        </w:rPr>
        <w:t xml:space="preserve"> </w:t>
      </w:r>
    </w:p>
    <w:p>
      <w:pPr>
        <w:spacing w:before="44" w:after="10"/>
      </w:pPr>
      <w:r>
        <w:rPr>
          <w:b/>
          <w:bCs/>
          <w:color w:val="353A7C"/>
          <w:sz w:val="18"/>
          <w:szCs w:val="18"/>
        </w:rPr>
        <w:t xml:space="preserve">Cash flow — Category</w:t>
      </w:r>
    </w:p>
    <w:p>
      <w:pPr>
        <w:spacing w:before="0" w:after="12"/>
      </w:pPr>
      <w:r>
        <w:rPr>
          <w:color w:val="6B7280"/>
          <w:sz w:val="15"/>
          <w:szCs w:val="15"/>
        </w:rPr>
        <w:t xml:space="preserve">Every item belongs to exactly one group.</w:t>
      </w:r>
    </w:p>
    <w:p>
      <w:pPr>
        <w:spacing w:after="40" w:before="90"/>
        <w:jc w:val="center"/>
      </w:pPr>
      <w:r>
        <w:drawing>
          <wp:inline distT="0" distB="0" distL="0" distR="0">
            <wp:extent cx="5734050" cy="16146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0" cstate="none"/>
                    <a:srcRect/>
                    <a:stretch>
                      <a:fillRect/>
                    </a:stretch>
                  </pic:blipFill>
                  <pic:spPr bwMode="auto">
                    <a:xfrm>
                      <a:off x="0" y="0"/>
                      <a:ext cx="5734050" cy="1614600"/>
                    </a:xfrm>
                    <a:prstGeom prst="rect">
                      <a:avLst/>
                    </a:prstGeom>
                  </pic:spPr>
                </pic:pic>
              </a:graphicData>
            </a:graphic>
          </wp:inline>
        </w:drawing>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Dividend paid   ·   operating activities   ·   Interest paid</w:t>
            </w:r>
          </w:p>
        </w:tc>
      </w:tr>
    </w:tbl>
    <w:p/>
    <w:p>
      <w:pPr>
        <w:spacing w:before="44" w:after="10"/>
      </w:pPr>
      <w:r>
        <w:rPr>
          <w:b/>
          <w:bCs/>
          <w:color w:val="353A7C"/>
          <w:sz w:val="18"/>
          <w:szCs w:val="18"/>
        </w:rPr>
        <w:t xml:space="preserve">The English this section uses, and its Arabic</w:t>
      </w:r>
    </w:p>
    <w:p>
      <w:pPr>
        <w:spacing w:before="0" w:after="12"/>
      </w:pPr>
      <w:r>
        <w:rPr>
          <w:color w:val="6B7280"/>
          <w:sz w:val="15"/>
          <w:szCs w:val="15"/>
        </w:rPr>
        <w:t xml:space="preserve">Each term sits against what it means.</w:t>
      </w:r>
    </w:p>
    <w:p>
      <w:pPr>
        <w:spacing w:after="40" w:before="90"/>
        <w:jc w:val="center"/>
      </w:pPr>
      <w:r>
        <w:drawing>
          <wp:inline distT="0" distB="0" distL="0" distR="0">
            <wp:extent cx="5734050" cy="20748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1" cstate="none"/>
                    <a:srcRect/>
                    <a:stretch>
                      <a:fillRect/>
                    </a:stretch>
                  </pic:blipFill>
                  <pic:spPr bwMode="auto">
                    <a:xfrm>
                      <a:off x="0" y="0"/>
                      <a:ext cx="5734050" cy="2074825"/>
                    </a:xfrm>
                    <a:prstGeom prst="rect">
                      <a:avLst/>
                    </a:prstGeom>
                  </pic:spPr>
                </pic:pic>
              </a:graphicData>
            </a:graphic>
          </wp:inline>
        </w:drawing>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financing activities   ·   statement of cash flows   ·   operating activities</w:t>
            </w:r>
          </w:p>
        </w:tc>
      </w:tr>
    </w:tbl>
    <w:p/>
    <w:p>
      <w:pPr>
        <w:sectPr>
          <w:headerReference w:type="default" r:id="rIdHdr9"/>
          <w:pgSz w:w="11906" w:h="16838" w:orient="portrait"/>
          <w:pgMar w:top="1180" w:right="1000" w:bottom="900" w:left="1000" w:header="708" w:footer="708" w:gutter="0"/>
          <w:docGrid w:linePitch="360"/>
          <w:pgNumType w:start="1"/>
        </w:sectPr>
      </w:pPr>
    </w:p>
    <w:tbl>
      <w:tblPr>
        <w:tblW w:type="pct" w:w="100%"/>
        <w:tblLayout w:type="fixed"/>
        <w:tblBorders>
          <w:top w:val="single" w:color="353A7C" w:sz="8"/>
          <w:left w:val="single" w:color="353A7C" w:sz="8"/>
          <w:bottom w:val="single" w:color="353A7C" w:sz="8"/>
          <w:right w:val="single" w:color="353A7C" w:sz="8"/>
          <w:insideH w:val="single" w:color="353A7C" w:sz="8"/>
          <w:insideV w:val="single" w:color="353A7C" w:sz="8"/>
        </w:tblBorders>
      </w:tblPr>
      <w:tblGrid>
        <w:gridCol w:w="9600"/>
      </w:tblGrid>
      <w:tr>
        <w:tc>
          <w:tcPr>
            <w:tcW w:type="pct" w:w="5000"/>
            <w:shd w:fill="353A7C" w:val="clear"/>
            <w:tcMar>
              <w:top w:type="dxa" w:w="80"/>
              <w:left w:type="dxa" w:w="140"/>
              <w:bottom w:type="dxa" w:w="80"/>
              <w:right w:type="dxa" w:w="140"/>
            </w:tcMar>
          </w:tcPr>
          <w:p>
            <w:pPr>
              <w:spacing w:before="60" w:after="60"/>
            </w:pPr>
            <w:r>
              <w:rPr>
                <w:b/>
                <w:bCs/>
                <w:color w:val="FFFFFF"/>
                <w:sz w:val="21"/>
                <w:szCs w:val="21"/>
              </w:rPr>
              <w:t xml:space="preserve">Answer key · 5.5  Limitations and links between the four statements</w:t>
            </w:r>
          </w:p>
        </w:tc>
      </w:tr>
    </w:tbl>
    <w:p/>
    <w:tbl>
      <w:tblPr>
        <w:tblW w:type="pct" w:w="100%"/>
        <w:tblLayout w:type="fixed"/>
      </w:tblPr>
      <w:tblGrid>
        <w:gridCol w:w="4800"/>
        <w:gridCol w:w="4800"/>
      </w:tblGrid>
      <w:tr>
        <w:tc>
          <w:tcPr>
            <w:tcW w:type="pct" w:w="2500"/>
            <w:tcMar>
              <w:top w:type="dxa" w:w="20"/>
              <w:left w:type="dxa" w:w="80"/>
              <w:bottom w:type="dxa" w:w="20"/>
              <w:right w:type="dxa" w:w="80"/>
            </w:tcMar>
          </w:tcPr>
          <w:p>
            <w:pPr>
              <w:spacing w:before="12" w:after="12"/>
            </w:pPr>
            <w:r>
              <w:rPr>
                <w:b/>
                <w:bCs/>
                <w:color w:val="8186EF"/>
                <w:sz w:val="16"/>
                <w:szCs w:val="16"/>
              </w:rPr>
              <w:t xml:space="preserve">1  </w:t>
            </w:r>
            <w:r>
              <w:rPr>
                <w:sz w:val="16"/>
                <w:szCs w:val="16"/>
              </w:rPr>
              <w:t xml:space="preserve">manage</w:t>
            </w:r>
          </w:p>
        </w:tc>
        <w:tc>
          <w:tcPr>
            <w:tcW w:type="pct" w:w="2500"/>
            <w:tcMar>
              <w:top w:type="dxa" w:w="20"/>
              <w:left w:type="dxa" w:w="80"/>
              <w:bottom w:type="dxa" w:w="20"/>
              <w:right w:type="dxa" w:w="80"/>
            </w:tcMar>
          </w:tcPr>
          <w:p>
            <w:pPr>
              <w:spacing w:before="12" w:after="12"/>
            </w:pPr>
            <w:r>
              <w:rPr>
                <w:b/>
                <w:bCs/>
                <w:color w:val="8186EF"/>
                <w:sz w:val="16"/>
                <w:szCs w:val="16"/>
              </w:rPr>
              <w:t xml:space="preserve">18  </w:t>
            </w:r>
            <w:r>
              <w:rPr>
                <w:sz w:val="16"/>
                <w:szCs w:val="16"/>
              </w:rPr>
              <w:t xml:space="preserve">digital</w:t>
            </w:r>
          </w:p>
        </w:tc>
      </w:tr>
      <w:tr>
        <w:tc>
          <w:tcPr>
            <w:tcW w:type="pct" w:w="2500"/>
            <w:tcMar>
              <w:top w:type="dxa" w:w="20"/>
              <w:left w:type="dxa" w:w="80"/>
              <w:bottom w:type="dxa" w:w="20"/>
              <w:right w:type="dxa" w:w="80"/>
            </w:tcMar>
          </w:tcPr>
          <w:p>
            <w:pPr>
              <w:spacing w:before="12" w:after="12"/>
            </w:pPr>
            <w:r>
              <w:rPr>
                <w:b/>
                <w:bCs/>
                <w:color w:val="8186EF"/>
                <w:sz w:val="16"/>
                <w:szCs w:val="16"/>
              </w:rPr>
              <w:t xml:space="preserve">2  </w:t>
            </w:r>
            <w:r>
              <w:rPr>
                <w:sz w:val="16"/>
                <w:szCs w:val="16"/>
              </w:rPr>
              <w:t xml:space="preserve">impossible</w:t>
            </w:r>
          </w:p>
        </w:tc>
        <w:tc>
          <w:tcPr>
            <w:tcW w:type="pct" w:w="2500"/>
            <w:tcMar>
              <w:top w:type="dxa" w:w="20"/>
              <w:left w:type="dxa" w:w="80"/>
              <w:bottom w:type="dxa" w:w="20"/>
              <w:right w:type="dxa" w:w="80"/>
            </w:tcMar>
          </w:tcPr>
          <w:p>
            <w:pPr>
              <w:spacing w:before="12" w:after="12"/>
            </w:pPr>
            <w:r>
              <w:rPr>
                <w:b/>
                <w:bCs/>
                <w:color w:val="8186EF"/>
                <w:sz w:val="16"/>
                <w:szCs w:val="16"/>
              </w:rPr>
              <w:t xml:space="preserve">19  </w:t>
            </w:r>
            <w:r>
              <w:rPr>
                <w:sz w:val="16"/>
                <w:szCs w:val="16"/>
              </w:rPr>
              <w:t xml:space="preserve">definition</w:t>
            </w:r>
          </w:p>
        </w:tc>
      </w:tr>
      <w:tr>
        <w:tc>
          <w:tcPr>
            <w:tcW w:type="pct" w:w="2500"/>
            <w:tcMar>
              <w:top w:type="dxa" w:w="20"/>
              <w:left w:type="dxa" w:w="80"/>
              <w:bottom w:type="dxa" w:w="20"/>
              <w:right w:type="dxa" w:w="80"/>
            </w:tcMar>
          </w:tcPr>
          <w:p>
            <w:pPr>
              <w:spacing w:before="12" w:after="12"/>
            </w:pPr>
            <w:r>
              <w:rPr>
                <w:b/>
                <w:bCs/>
                <w:color w:val="8186EF"/>
                <w:sz w:val="16"/>
                <w:szCs w:val="16"/>
              </w:rPr>
              <w:t xml:space="preserve">3  </w:t>
            </w:r>
            <w:r>
              <w:rPr>
                <w:sz w:val="16"/>
                <w:szCs w:val="16"/>
              </w:rPr>
              <w:t xml:space="preserve">suppliers</w:t>
            </w:r>
          </w:p>
        </w:tc>
        <w:tc>
          <w:tcPr>
            <w:tcW w:type="pct" w:w="2500"/>
            <w:tcMar>
              <w:top w:type="dxa" w:w="20"/>
              <w:left w:type="dxa" w:w="80"/>
              <w:bottom w:type="dxa" w:w="20"/>
              <w:right w:type="dxa" w:w="80"/>
            </w:tcMar>
          </w:tcPr>
          <w:p>
            <w:pPr>
              <w:spacing w:before="12" w:after="12"/>
            </w:pPr>
            <w:r>
              <w:rPr>
                <w:b/>
                <w:bCs/>
                <w:color w:val="8186EF"/>
                <w:sz w:val="16"/>
                <w:szCs w:val="16"/>
              </w:rPr>
              <w:t xml:space="preserve">20  </w:t>
            </w:r>
            <w:r>
              <w:rPr>
                <w:sz w:val="16"/>
                <w:szCs w:val="16"/>
              </w:rPr>
              <w:t xml:space="preserve">Income statement items, 2026</w:t>
            </w:r>
          </w:p>
        </w:tc>
      </w:tr>
      <w:tr>
        <w:tc>
          <w:tcPr>
            <w:tcW w:type="pct" w:w="2500"/>
            <w:tcMar>
              <w:top w:type="dxa" w:w="20"/>
              <w:left w:type="dxa" w:w="80"/>
              <w:bottom w:type="dxa" w:w="20"/>
              <w:right w:type="dxa" w:w="80"/>
            </w:tcMar>
          </w:tcPr>
          <w:p>
            <w:pPr>
              <w:spacing w:before="12" w:after="12"/>
            </w:pPr>
            <w:r>
              <w:rPr>
                <w:b/>
                <w:bCs/>
                <w:color w:val="8186EF"/>
                <w:sz w:val="16"/>
                <w:szCs w:val="16"/>
              </w:rPr>
              <w:t xml:space="preserve">4  </w:t>
            </w:r>
            <w:r>
              <w:rPr>
                <w:sz w:val="16"/>
                <w:szCs w:val="16"/>
              </w:rPr>
              <w:t xml:space="preserve">receivables</w:t>
            </w:r>
          </w:p>
        </w:tc>
        <w:tc>
          <w:tcPr>
            <w:tcW w:type="pct" w:w="2500"/>
            <w:tcMar>
              <w:top w:type="dxa" w:w="20"/>
              <w:left w:type="dxa" w:w="80"/>
              <w:bottom w:type="dxa" w:w="20"/>
              <w:right w:type="dxa" w:w="80"/>
            </w:tcMar>
          </w:tcPr>
          <w:p>
            <w:pPr>
              <w:spacing w:before="12" w:after="12"/>
            </w:pPr>
            <w:r>
              <w:rPr>
                <w:b/>
                <w:bCs/>
                <w:color w:val="8186EF"/>
                <w:sz w:val="16"/>
                <w:szCs w:val="16"/>
              </w:rPr>
              <w:t xml:space="preserve">21  </w:t>
            </w:r>
            <w:r>
              <w:rPr>
                <w:sz w:val="16"/>
                <w:szCs w:val="16"/>
              </w:rPr>
              <w:t xml:space="preserve">Accounts receivable, net</w:t>
            </w:r>
          </w:p>
        </w:tc>
      </w:tr>
      <w:tr>
        <w:tc>
          <w:tcPr>
            <w:tcW w:type="pct" w:w="2500"/>
            <w:tcMar>
              <w:top w:type="dxa" w:w="20"/>
              <w:left w:type="dxa" w:w="80"/>
              <w:bottom w:type="dxa" w:w="20"/>
              <w:right w:type="dxa" w:w="80"/>
            </w:tcMar>
          </w:tcPr>
          <w:p>
            <w:pPr>
              <w:spacing w:before="12" w:after="12"/>
            </w:pPr>
            <w:r>
              <w:rPr>
                <w:b/>
                <w:bCs/>
                <w:color w:val="8186EF"/>
                <w:sz w:val="16"/>
                <w:szCs w:val="16"/>
              </w:rPr>
              <w:t xml:space="preserve">5  </w:t>
            </w:r>
            <w:r>
              <w:rPr>
                <w:sz w:val="16"/>
                <w:szCs w:val="16"/>
              </w:rPr>
              <w:t xml:space="preserve">measure</w:t>
            </w:r>
          </w:p>
        </w:tc>
        <w:tc>
          <w:tcPr>
            <w:tcW w:type="pct" w:w="2500"/>
            <w:tcMar>
              <w:top w:type="dxa" w:w="20"/>
              <w:left w:type="dxa" w:w="80"/>
              <w:bottom w:type="dxa" w:w="20"/>
              <w:right w:type="dxa" w:w="80"/>
            </w:tcMar>
          </w:tcPr>
          <w:p>
            <w:pPr>
              <w:spacing w:before="12" w:after="12"/>
            </w:pPr>
            <w:r>
              <w:rPr>
                <w:b/>
                <w:bCs/>
                <w:color w:val="8186EF"/>
                <w:sz w:val="16"/>
                <w:szCs w:val="16"/>
              </w:rPr>
              <w:t xml:space="preserve">22  </w:t>
            </w:r>
            <w:r>
              <w:rPr>
                <w:sz w:val="16"/>
                <w:szCs w:val="16"/>
              </w:rPr>
              <w:t xml:space="preserve">Inventory</w:t>
            </w:r>
          </w:p>
        </w:tc>
      </w:tr>
      <w:tr>
        <w:tc>
          <w:tcPr>
            <w:tcW w:type="pct" w:w="2500"/>
            <w:tcMar>
              <w:top w:type="dxa" w:w="20"/>
              <w:left w:type="dxa" w:w="80"/>
              <w:bottom w:type="dxa" w:w="20"/>
              <w:right w:type="dxa" w:w="80"/>
            </w:tcMar>
          </w:tcPr>
          <w:p>
            <w:pPr>
              <w:spacing w:before="12" w:after="12"/>
            </w:pPr>
            <w:r>
              <w:rPr>
                <w:b/>
                <w:bCs/>
                <w:color w:val="8186EF"/>
                <w:sz w:val="16"/>
                <w:szCs w:val="16"/>
              </w:rPr>
              <w:t xml:space="preserve">6  </w:t>
            </w:r>
            <w:r>
              <w:rPr>
                <w:sz w:val="16"/>
                <w:szCs w:val="16"/>
              </w:rPr>
              <w:t xml:space="preserve">Important</w:t>
            </w:r>
          </w:p>
        </w:tc>
        <w:tc>
          <w:tcPr>
            <w:tcW w:type="pct" w:w="2500"/>
            <w:tcMar>
              <w:top w:type="dxa" w:w="20"/>
              <w:left w:type="dxa" w:w="80"/>
              <w:bottom w:type="dxa" w:w="20"/>
              <w:right w:type="dxa" w:w="80"/>
            </w:tcMar>
          </w:tcPr>
          <w:p>
            <w:pPr>
              <w:spacing w:before="12" w:after="12"/>
            </w:pPr>
            <w:r>
              <w:rPr>
                <w:b/>
                <w:bCs/>
                <w:color w:val="8186EF"/>
                <w:sz w:val="16"/>
                <w:szCs w:val="16"/>
              </w:rPr>
              <w:t xml:space="preserve">23  </w:t>
            </w:r>
            <w:r>
              <w:rPr>
                <w:sz w:val="16"/>
                <w:szCs w:val="16"/>
              </w:rPr>
              <w:t xml:space="preserve">Prepaid rent</w:t>
            </w:r>
          </w:p>
        </w:tc>
      </w:tr>
      <w:tr>
        <w:tc>
          <w:tcPr>
            <w:tcW w:type="pct" w:w="2500"/>
            <w:tcMar>
              <w:top w:type="dxa" w:w="20"/>
              <w:left w:type="dxa" w:w="80"/>
              <w:bottom w:type="dxa" w:w="20"/>
              <w:right w:type="dxa" w:w="80"/>
            </w:tcMar>
          </w:tcPr>
          <w:p>
            <w:pPr>
              <w:spacing w:before="12" w:after="12"/>
            </w:pPr>
            <w:r>
              <w:rPr>
                <w:b/>
                <w:bCs/>
                <w:color w:val="8186EF"/>
                <w:sz w:val="16"/>
                <w:szCs w:val="16"/>
              </w:rPr>
              <w:t xml:space="preserve">7  </w:t>
            </w:r>
            <w:r>
              <w:rPr>
                <w:sz w:val="16"/>
                <w:szCs w:val="16"/>
              </w:rPr>
              <w:t xml:space="preserve">building</w:t>
            </w:r>
          </w:p>
        </w:tc>
        <w:tc>
          <w:tcPr>
            <w:tcW w:type="pct" w:w="2500"/>
            <w:tcMar>
              <w:top w:type="dxa" w:w="20"/>
              <w:left w:type="dxa" w:w="80"/>
              <w:bottom w:type="dxa" w:w="20"/>
              <w:right w:type="dxa" w:w="80"/>
            </w:tcMar>
          </w:tcPr>
          <w:p>
            <w:pPr>
              <w:spacing w:before="12" w:after="12"/>
            </w:pPr>
            <w:r>
              <w:rPr>
                <w:b/>
                <w:bCs/>
                <w:color w:val="8186EF"/>
                <w:sz w:val="16"/>
                <w:szCs w:val="16"/>
              </w:rPr>
              <w:t xml:space="preserve">24  </w:t>
            </w:r>
            <w:r>
              <w:rPr>
                <w:sz w:val="16"/>
                <w:szCs w:val="16"/>
              </w:rPr>
              <w:t xml:space="preserve">Accounts payable</w:t>
            </w:r>
          </w:p>
        </w:tc>
      </w:tr>
      <w:tr>
        <w:tc>
          <w:tcPr>
            <w:tcW w:type="pct" w:w="2500"/>
            <w:tcMar>
              <w:top w:type="dxa" w:w="20"/>
              <w:left w:type="dxa" w:w="80"/>
              <w:bottom w:type="dxa" w:w="20"/>
              <w:right w:type="dxa" w:w="80"/>
            </w:tcMar>
          </w:tcPr>
          <w:p>
            <w:pPr>
              <w:spacing w:before="12" w:after="12"/>
            </w:pPr>
            <w:r>
              <w:rPr>
                <w:b/>
                <w:bCs/>
                <w:color w:val="8186EF"/>
                <w:sz w:val="16"/>
                <w:szCs w:val="16"/>
              </w:rPr>
              <w:t xml:space="preserve">8  </w:t>
            </w:r>
            <w:r>
              <w:rPr>
                <w:sz w:val="16"/>
                <w:szCs w:val="16"/>
              </w:rPr>
              <w:t xml:space="preserve">classifications</w:t>
            </w:r>
          </w:p>
        </w:tc>
        <w:tc>
          <w:tcPr>
            <w:tcW w:type="pct" w:w="2500"/>
            <w:tcMar>
              <w:top w:type="dxa" w:w="20"/>
              <w:left w:type="dxa" w:w="80"/>
              <w:bottom w:type="dxa" w:w="20"/>
              <w:right w:type="dxa" w:w="80"/>
            </w:tcMar>
          </w:tcPr>
          <w:p>
            <w:pPr>
              <w:spacing w:before="12" w:after="12"/>
            </w:pPr>
            <w:r>
              <w:rPr>
                <w:b/>
                <w:bCs/>
                <w:color w:val="8186EF"/>
                <w:sz w:val="16"/>
                <w:szCs w:val="16"/>
              </w:rPr>
              <w:t xml:space="preserve">25  </w:t>
            </w:r>
            <w:r>
              <w:rPr>
                <w:sz w:val="16"/>
                <w:szCs w:val="16"/>
              </w:rPr>
              <w:t xml:space="preserve">Income taxes payable</w:t>
            </w:r>
          </w:p>
        </w:tc>
      </w:tr>
      <w:tr>
        <w:tc>
          <w:tcPr>
            <w:tcW w:type="pct" w:w="2500"/>
            <w:tcMar>
              <w:top w:type="dxa" w:w="20"/>
              <w:left w:type="dxa" w:w="80"/>
              <w:bottom w:type="dxa" w:w="20"/>
              <w:right w:type="dxa" w:w="80"/>
            </w:tcMar>
          </w:tcPr>
          <w:p>
            <w:pPr>
              <w:spacing w:before="12" w:after="12"/>
            </w:pPr>
            <w:r>
              <w:rPr>
                <w:b/>
                <w:bCs/>
                <w:color w:val="8186EF"/>
                <w:sz w:val="16"/>
                <w:szCs w:val="16"/>
              </w:rPr>
              <w:t xml:space="preserve">9  </w:t>
            </w:r>
            <w:r>
              <w:rPr>
                <w:sz w:val="16"/>
                <w:szCs w:val="16"/>
              </w:rPr>
              <w:t xml:space="preserve">financing</w:t>
            </w:r>
          </w:p>
        </w:tc>
        <w:tc>
          <w:tcPr>
            <w:tcW w:type="pct" w:w="2500"/>
            <w:tcMar>
              <w:top w:type="dxa" w:w="20"/>
              <w:left w:type="dxa" w:w="80"/>
              <w:bottom w:type="dxa" w:w="20"/>
              <w:right w:type="dxa" w:w="80"/>
            </w:tcMar>
          </w:tcPr>
          <w:p>
            <w:pPr>
              <w:spacing w:before="12" w:after="12"/>
            </w:pPr>
            <w:r>
              <w:rPr>
                <w:b/>
                <w:bCs/>
                <w:color w:val="8186EF"/>
                <w:sz w:val="16"/>
                <w:szCs w:val="16"/>
              </w:rPr>
              <w:t xml:space="preserve">26  </w:t>
            </w:r>
            <w:r>
              <w:rPr>
                <w:sz w:val="16"/>
                <w:szCs w:val="16"/>
              </w:rPr>
              <w:t xml:space="preserve">Cash</w:t>
            </w:r>
          </w:p>
        </w:tc>
      </w:tr>
      <w:tr>
        <w:tc>
          <w:tcPr>
            <w:tcW w:type="pct" w:w="2500"/>
            <w:tcMar>
              <w:top w:type="dxa" w:w="20"/>
              <w:left w:type="dxa" w:w="80"/>
              <w:bottom w:type="dxa" w:w="20"/>
              <w:right w:type="dxa" w:w="80"/>
            </w:tcMar>
          </w:tcPr>
          <w:p>
            <w:pPr>
              <w:spacing w:before="12" w:after="12"/>
            </w:pPr>
            <w:r>
              <w:rPr>
                <w:b/>
                <w:bCs/>
                <w:color w:val="8186EF"/>
                <w:sz w:val="16"/>
                <w:szCs w:val="16"/>
              </w:rPr>
              <w:t xml:space="preserve">10  </w:t>
            </w:r>
            <w:r>
              <w:rPr>
                <w:sz w:val="16"/>
                <w:szCs w:val="16"/>
              </w:rPr>
              <w:t xml:space="preserve">Finally</w:t>
            </w:r>
          </w:p>
        </w:tc>
        <w:tc>
          <w:tcPr>
            <w:tcW w:type="pct" w:w="2500"/>
            <w:tcMar>
              <w:top w:type="dxa" w:w="20"/>
              <w:left w:type="dxa" w:w="80"/>
              <w:bottom w:type="dxa" w:w="20"/>
              <w:right w:type="dxa" w:w="80"/>
            </w:tcMar>
          </w:tcPr>
          <w:p>
            <w:pPr>
              <w:spacing w:before="12" w:after="12"/>
            </w:pPr>
            <w:r>
              <w:rPr>
                <w:b/>
                <w:bCs/>
                <w:color w:val="8186EF"/>
                <w:sz w:val="16"/>
                <w:szCs w:val="16"/>
              </w:rPr>
              <w:t xml:space="preserve">27  </w:t>
            </w:r>
            <w:r>
              <w:rPr>
                <w:sz w:val="16"/>
                <w:szCs w:val="16"/>
              </w:rPr>
              <w:t xml:space="preserve">Proceeds from sale of the division</w:t>
            </w:r>
          </w:p>
        </w:tc>
      </w:tr>
      <w:tr>
        <w:tc>
          <w:tcPr>
            <w:tcW w:type="pct" w:w="2500"/>
            <w:tcMar>
              <w:top w:type="dxa" w:w="20"/>
              <w:left w:type="dxa" w:w="80"/>
              <w:bottom w:type="dxa" w:w="20"/>
              <w:right w:type="dxa" w:w="80"/>
            </w:tcMar>
          </w:tcPr>
          <w:p>
            <w:pPr>
              <w:spacing w:before="12" w:after="12"/>
            </w:pPr>
            <w:r>
              <w:rPr>
                <w:b/>
                <w:bCs/>
                <w:color w:val="8186EF"/>
                <w:sz w:val="16"/>
                <w:szCs w:val="16"/>
              </w:rPr>
              <w:t xml:space="preserve">11  </w:t>
            </w:r>
            <w:r>
              <w:rPr>
                <w:sz w:val="16"/>
                <w:szCs w:val="16"/>
              </w:rPr>
              <w:t xml:space="preserve">mislead</w:t>
            </w:r>
          </w:p>
        </w:tc>
        <w:tc>
          <w:tcPr>
            <w:tcW w:type="pct" w:w="2500"/>
            <w:tcMar>
              <w:top w:type="dxa" w:w="20"/>
              <w:left w:type="dxa" w:w="80"/>
              <w:bottom w:type="dxa" w:w="20"/>
              <w:right w:type="dxa" w:w="80"/>
            </w:tcMar>
          </w:tcPr>
          <w:p>
            <w:pPr>
              <w:spacing w:before="12" w:after="12"/>
            </w:pPr>
            <w:r>
              <w:rPr>
                <w:b/>
                <w:bCs/>
                <w:color w:val="8186EF"/>
                <w:sz w:val="16"/>
                <w:szCs w:val="16"/>
              </w:rPr>
              <w:t xml:space="preserve">28  </w:t>
            </w:r>
            <w:r>
              <w:rPr>
                <w:sz w:val="16"/>
                <w:szCs w:val="16"/>
              </w:rPr>
              <w:t xml:space="preserve">Purchases of equipment</w:t>
            </w:r>
          </w:p>
        </w:tc>
      </w:tr>
      <w:tr>
        <w:tc>
          <w:tcPr>
            <w:tcW w:type="pct" w:w="2500"/>
            <w:tcMar>
              <w:top w:type="dxa" w:w="20"/>
              <w:left w:type="dxa" w:w="80"/>
              <w:bottom w:type="dxa" w:w="20"/>
              <w:right w:type="dxa" w:w="80"/>
            </w:tcMar>
          </w:tcPr>
          <w:p>
            <w:pPr>
              <w:spacing w:before="12" w:after="12"/>
            </w:pPr>
            <w:r>
              <w:rPr>
                <w:b/>
                <w:bCs/>
                <w:color w:val="8186EF"/>
                <w:sz w:val="16"/>
                <w:szCs w:val="16"/>
              </w:rPr>
              <w:t xml:space="preserve">12  </w:t>
            </w:r>
            <w:r>
              <w:rPr>
                <w:sz w:val="16"/>
                <w:szCs w:val="16"/>
              </w:rPr>
              <w:t xml:space="preserve">investing</w:t>
            </w:r>
          </w:p>
        </w:tc>
        <w:tc>
          <w:tcPr>
            <w:tcW w:type="pct" w:w="2500"/>
            <w:tcMar>
              <w:top w:type="dxa" w:w="20"/>
              <w:left w:type="dxa" w:w="80"/>
              <w:bottom w:type="dxa" w:w="20"/>
              <w:right w:type="dxa" w:w="80"/>
            </w:tcMar>
          </w:tcPr>
          <w:p>
            <w:pPr>
              <w:spacing w:before="12" w:after="12"/>
            </w:pPr>
            <w:r>
              <w:rPr>
                <w:b/>
                <w:bCs/>
                <w:color w:val="8186EF"/>
                <w:sz w:val="16"/>
                <w:szCs w:val="16"/>
              </w:rPr>
              <w:t xml:space="preserve">29  </w:t>
            </w:r>
            <w:r>
              <w:rPr>
                <w:sz w:val="16"/>
                <w:szCs w:val="16"/>
              </w:rPr>
              <w:t xml:space="preserve">Operating (U.S. GAAP gives no choice).</w:t>
            </w:r>
          </w:p>
        </w:tc>
      </w:tr>
      <w:tr>
        <w:tc>
          <w:tcPr>
            <w:tcW w:type="pct" w:w="2500"/>
            <w:tcMar>
              <w:top w:type="dxa" w:w="20"/>
              <w:left w:type="dxa" w:w="80"/>
              <w:bottom w:type="dxa" w:w="20"/>
              <w:right w:type="dxa" w:w="80"/>
            </w:tcMar>
          </w:tcPr>
          <w:p>
            <w:pPr>
              <w:spacing w:before="12" w:after="12"/>
            </w:pPr>
            <w:r>
              <w:rPr>
                <w:b/>
                <w:bCs/>
                <w:color w:val="8186EF"/>
                <w:sz w:val="16"/>
                <w:szCs w:val="16"/>
              </w:rPr>
              <w:t xml:space="preserve">13  </w:t>
            </w:r>
            <w:r>
              <w:rPr>
                <w:sz w:val="16"/>
                <w:szCs w:val="16"/>
              </w:rPr>
              <w:t xml:space="preserve">amounts</w:t>
            </w:r>
          </w:p>
        </w:tc>
        <w:tc>
          <w:tcPr>
            <w:tcW w:type="pct" w:w="2500"/>
            <w:tcMar>
              <w:top w:type="dxa" w:w="20"/>
              <w:left w:type="dxa" w:w="80"/>
              <w:bottom w:type="dxa" w:w="20"/>
              <w:right w:type="dxa" w:w="80"/>
            </w:tcMar>
          </w:tcPr>
          <w:p>
            <w:pPr>
              <w:spacing w:before="12" w:after="12"/>
            </w:pPr>
            <w:r>
              <w:rPr>
                <w:b/>
                <w:bCs/>
                <w:color w:val="8186EF"/>
                <w:sz w:val="16"/>
                <w:szCs w:val="16"/>
              </w:rPr>
              <w:t xml:space="preserve">30  </w:t>
            </w:r>
            <w:r>
              <w:rPr>
                <w:sz w:val="16"/>
                <w:szCs w:val="16"/>
              </w:rPr>
              <w:t xml:space="preserve">securities</w:t>
            </w:r>
          </w:p>
        </w:tc>
      </w:tr>
      <w:tr>
        <w:tc>
          <w:tcPr>
            <w:tcW w:type="pct" w:w="2500"/>
            <w:tcMar>
              <w:top w:type="dxa" w:w="20"/>
              <w:left w:type="dxa" w:w="80"/>
              <w:bottom w:type="dxa" w:w="20"/>
              <w:right w:type="dxa" w:w="80"/>
            </w:tcMar>
          </w:tcPr>
          <w:p>
            <w:pPr>
              <w:spacing w:before="12" w:after="12"/>
            </w:pPr>
            <w:r>
              <w:rPr>
                <w:b/>
                <w:bCs/>
                <w:color w:val="8186EF"/>
                <w:sz w:val="16"/>
                <w:szCs w:val="16"/>
              </w:rPr>
              <w:t xml:space="preserve">14  </w:t>
            </w:r>
            <w:r>
              <w:rPr>
                <w:sz w:val="16"/>
                <w:szCs w:val="16"/>
              </w:rPr>
              <w:t xml:space="preserve">declared</w:t>
            </w:r>
          </w:p>
        </w:tc>
        <w:tc>
          <w:tcPr>
            <w:tcW w:type="pct" w:w="2500"/>
            <w:tcMar>
              <w:top w:type="dxa" w:w="20"/>
              <w:left w:type="dxa" w:w="80"/>
              <w:bottom w:type="dxa" w:w="20"/>
              <w:right w:type="dxa" w:w="80"/>
            </w:tcMar>
          </w:tcPr>
          <w:p>
            <w:pPr>
              <w:spacing w:before="12" w:after="12"/>
            </w:pPr>
            <w:r>
              <w:rPr>
                <w:b/>
                <w:bCs/>
                <w:color w:val="8186EF"/>
                <w:sz w:val="16"/>
                <w:szCs w:val="16"/>
              </w:rPr>
              <w:t xml:space="preserve">31  </w:t>
            </w:r>
            <w:r>
              <w:rPr>
                <w:sz w:val="16"/>
                <w:szCs w:val="16"/>
              </w:rPr>
              <w:t xml:space="preserve">Interest paid</w:t>
            </w:r>
          </w:p>
        </w:tc>
      </w:tr>
      <w:tr>
        <w:tc>
          <w:tcPr>
            <w:tcW w:type="pct" w:w="2500"/>
            <w:tcMar>
              <w:top w:type="dxa" w:w="20"/>
              <w:left w:type="dxa" w:w="80"/>
              <w:bottom w:type="dxa" w:w="20"/>
              <w:right w:type="dxa" w:w="80"/>
            </w:tcMar>
          </w:tcPr>
          <w:p>
            <w:pPr>
              <w:spacing w:before="12" w:after="12"/>
            </w:pPr>
            <w:r>
              <w:rPr>
                <w:b/>
                <w:bCs/>
                <w:color w:val="8186EF"/>
                <w:sz w:val="16"/>
                <w:szCs w:val="16"/>
              </w:rPr>
              <w:t xml:space="preserve">15  </w:t>
            </w:r>
            <w:r>
              <w:rPr>
                <w:sz w:val="16"/>
                <w:szCs w:val="16"/>
              </w:rPr>
              <w:t xml:space="preserve">payable</w:t>
            </w:r>
          </w:p>
        </w:tc>
        <w:tc>
          <w:tcPr>
            <w:tcW w:type="pct" w:w="2500"/>
            <w:tcMar>
              <w:top w:type="dxa" w:w="20"/>
              <w:left w:type="dxa" w:w="80"/>
              <w:bottom w:type="dxa" w:w="20"/>
              <w:right w:type="dxa" w:w="80"/>
            </w:tcMar>
          </w:tcPr>
          <w:p>
            <w:pPr>
              <w:spacing w:before="12" w:after="12"/>
            </w:pPr>
            <w:r>
              <w:rPr>
                <w:b/>
                <w:bCs/>
                <w:color w:val="8186EF"/>
                <w:sz w:val="16"/>
                <w:szCs w:val="16"/>
              </w:rPr>
              <w:t xml:space="preserve">32  </w:t>
            </w:r>
            <w:r>
              <w:rPr>
                <w:sz w:val="16"/>
                <w:szCs w:val="16"/>
              </w:rPr>
              <w:t xml:space="preserve">Dividend paid</w:t>
            </w:r>
          </w:p>
        </w:tc>
      </w:tr>
      <w:tr>
        <w:tc>
          <w:tcPr>
            <w:tcW w:type="pct" w:w="2500"/>
            <w:tcMar>
              <w:top w:type="dxa" w:w="20"/>
              <w:left w:type="dxa" w:w="80"/>
              <w:bottom w:type="dxa" w:w="20"/>
              <w:right w:type="dxa" w:w="80"/>
            </w:tcMar>
          </w:tcPr>
          <w:p>
            <w:pPr>
              <w:spacing w:before="12" w:after="12"/>
            </w:pPr>
            <w:r>
              <w:rPr>
                <w:b/>
                <w:bCs/>
                <w:color w:val="8186EF"/>
                <w:sz w:val="16"/>
                <w:szCs w:val="16"/>
              </w:rPr>
              <w:t xml:space="preserve">16  </w:t>
            </w:r>
            <w:r>
              <w:rPr>
                <w:sz w:val="16"/>
                <w:szCs w:val="16"/>
              </w:rPr>
              <w:t xml:space="preserve">financing</w:t>
            </w:r>
          </w:p>
        </w:tc>
        <w:tc>
          <w:tcPr>
            <w:tcW w:type="pct" w:w="2500"/>
            <w:tcMar>
              <w:top w:type="dxa" w:w="20"/>
              <w:left w:type="dxa" w:w="80"/>
              <w:bottom w:type="dxa" w:w="20"/>
              <w:right w:type="dxa" w:w="80"/>
            </w:tcMar>
          </w:tcPr>
          <w:p>
            <w:pPr>
              <w:spacing w:before="12" w:after="12"/>
            </w:pPr>
            <w:r>
              <w:rPr>
                <w:b/>
                <w:bCs/>
                <w:color w:val="8186EF"/>
                <w:sz w:val="16"/>
                <w:szCs w:val="16"/>
              </w:rPr>
              <w:t xml:space="preserve">33  </w:t>
            </w:r>
            <w:r>
              <w:rPr>
                <w:sz w:val="16"/>
                <w:szCs w:val="16"/>
              </w:rPr>
              <w:t xml:space="preserve">statement of cash flows</w:t>
            </w:r>
          </w:p>
        </w:tc>
      </w:tr>
      <w:tr>
        <w:tc>
          <w:tcPr>
            <w:tcW w:type="pct" w:w="2500"/>
            <w:tcMar>
              <w:top w:type="dxa" w:w="20"/>
              <w:left w:type="dxa" w:w="80"/>
              <w:bottom w:type="dxa" w:w="20"/>
              <w:right w:type="dxa" w:w="80"/>
            </w:tcMar>
          </w:tcPr>
          <w:p>
            <w:pPr>
              <w:spacing w:before="12" w:after="12"/>
            </w:pPr>
            <w:r>
              <w:rPr>
                <w:b/>
                <w:bCs/>
                <w:color w:val="8186EF"/>
                <w:sz w:val="16"/>
                <w:szCs w:val="16"/>
              </w:rPr>
              <w:t xml:space="preserve">17  </w:t>
            </w:r>
            <w:r>
              <w:rPr>
                <w:sz w:val="16"/>
                <w:szCs w:val="16"/>
              </w:rPr>
              <w:t xml:space="preserve">disclosures</w:t>
            </w:r>
          </w:p>
        </w:tc>
        <w:tc>
          <w:tcPr>
            <w:tcW w:type="pct" w:w="2500"/>
            <w:tcMar>
              <w:top w:type="dxa" w:w="20"/>
              <w:left w:type="dxa" w:w="80"/>
              <w:bottom w:type="dxa" w:w="20"/>
              <w:right w:type="dxa" w:w="80"/>
            </w:tcMar>
          </w:tcPr>
          <w:p>
            <w:pPr>
              <w:spacing w:before="12" w:after="12"/>
            </w:pPr>
            <w:r>
              <w:rPr>
                <w:b/>
                <w:bCs/>
                <w:color w:val="8186EF"/>
                <w:sz w:val="16"/>
                <w:szCs w:val="16"/>
              </w:rPr>
              <w:t xml:space="preserve">34  </w:t>
            </w:r>
            <w:r>
              <w:rPr>
                <w:sz w:val="16"/>
                <w:szCs w:val="16"/>
              </w:rPr>
              <w:t xml:space="preserve">operating activities</w:t>
            </w:r>
          </w:p>
        </w:tc>
      </w:tr>
    </w:tbl>
    <w:p/>
    <w:p>
      <w:pPr>
        <w:spacing w:before="50" w:after="14"/>
      </w:pPr>
      <w:r>
        <w:rPr>
          <w:b/>
          <w:bCs/>
          <w:color w:val="353A7C"/>
          <w:sz w:val="18"/>
          <w:szCs w:val="18"/>
        </w:rPr>
        <w:t xml:space="preserve">the summaries in full</w:t>
      </w:r>
    </w:p>
    <w:p>
      <w:pPr>
        <w:spacing w:before="20" w:after="20"/>
        <w:ind w:left="240" w:hanging="240"/>
      </w:pPr>
      <w:r>
        <w:rPr>
          <w:b/>
          <w:bCs/>
          <w:color w:val="353A7C"/>
          <w:sz w:val="15"/>
          <w:szCs w:val="15"/>
        </w:rPr>
        <w:t xml:space="preserve">Summary 1   </w:t>
      </w:r>
      <w:r>
        <w:rPr>
          <w:color w:val="6B7280"/>
          <w:sz w:val="15"/>
          <w:szCs w:val="15"/>
        </w:rPr>
        <w:t xml:space="preserve">Cash flows are harder to manage than profits, but not impossible. A company can raise operating cash near year-end by delaying payments to suppliers or by selling receivables. The statement also shows only one year, and it is not a measure of profit. Important noncash deals, such as buying a building with a mortgage, appear only in the notes. Some classifications are also arbitrary: interest paid is operating under U.S. GAAP but may be financing under IFRS, which makes companies harder to compare. Finally, one year of cash flows can mislead. A company that stops investing will show strong cash flow for a while, even if its future is weak. Net income starts the statement of cash flows and increases retained earnings. Changes in balance sheet accounts drive the working-capital adjustments. Closing cash equals the cash on the balance sheet.</w:t>
      </w:r>
    </w:p>
    <w:p>
      <w:pPr>
        <w:spacing w:before="20" w:after="20"/>
        <w:ind w:left="240" w:hanging="240"/>
      </w:pPr>
      <w:r>
        <w:rPr>
          <w:b/>
          <w:bCs/>
          <w:color w:val="353A7C"/>
          <w:sz w:val="15"/>
          <w:szCs w:val="15"/>
        </w:rPr>
        <w:t xml:space="preserve">Summary 2   </w:t>
      </w:r>
      <w:r>
        <w:rPr>
          <w:color w:val="6B7280"/>
          <w:sz w:val="15"/>
          <w:szCs w:val="15"/>
        </w:rPr>
        <w:t xml:space="preserve">The links also help you find amounts that are not given. Orontes declared dividends of $450,000, but dividends payable rose by $400,000, so dividends paid were only $50,000. That is the amount in the financing section. In August 2026 the FASB proposed new disclosures about the parts of cash equivalents and about some digital assets. It is only a proposal; the definition of cash equivalents does not change. ASU 2023-09 already requires income taxes paid by jurisdiction; know this at awareness level.</w:t>
      </w:r>
    </w:p>
    <w:p>
      <w:pPr>
        <w:sectPr>
          <w:headerReference w:type="default" r:id="rIdHdr10"/>
          <w:pgSz w:w="11906" w:h="16838" w:orient="portrait"/>
          <w:pgMar w:top="1180" w:right="1000" w:bottom="900" w:left="1000" w:header="708" w:footer="708" w:gutter="0"/>
          <w:docGrid w:linePitch="360"/>
          <w:pgNumType w:start="1"/>
        </w:sectPr>
      </w:pPr>
    </w:p>
    <w:sectPr>
      <w:headerReference w:type="default" r:id="rIdHdr10"/>
      <w:pgSz w:w="11906" w:h="16838" w:orient="portrait"/>
      <w:pgMar w:top="1180" w:right="1000" w:bottom="900" w:left="1000" w:header="708" w:footer="708" w:gutter="0"/>
      <w:docGrid w:linePitch="360"/>
      <w:pgNumType/>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openxmlformats.org/wordprocessingml/2006/main" xmlns:w15="http://schemas.openxmlformats.org/wordprocessingml/2006/main" xmlns:wpg="http://schemas.microsoft.com/office/word/2010/wordprocessingGroup" xmlns:wpi="http://schemas.microsoft.com/office/word/2010/wordprocessingInk" xmlns:wne="http://schemas.microsoft.com/office/word/2006/wordml" xmlns:wps="http://schemas.microsoft.com/office/word/2010/wordprocessingShape">
  <w:tbl>
    <w:tblPr>
      <w:tblW w:type="pct" w:w="100%"/>
      <w:tblBorders>
        <w:bottom w:val="single" w:color="DFE3EE" w:sz="8"/>
      </w:tblBorders>
    </w:tblPr>
    <w:tblGrid>
      <w:gridCol w:w="7400"/>
      <w:gridCol w:w="2000"/>
    </w:tblGrid>
    <w:tr>
      <w:tc>
        <w:tcPr>
          <w:tcW w:type="pct" w:w="3600"/>
          <w:tcMar>
            <w:top w:type="dxa" w:w="-30"/>
            <w:left w:type="dxa" w:w="30"/>
            <w:bottom w:type="dxa" w:w="-30"/>
            <w:right w:type="dxa" w:w="30"/>
          </w:tcMar>
        </w:tcPr>
        <w:p>
          <w:r>
            <w:rPr>
              <w:b/>
              <w:bCs/>
              <w:color w:val="23265A"/>
              <w:sz w:val="16"/>
              <w:szCs w:val="16"/>
            </w:rPr>
            <w:t xml:space="preserve">Summary handout 5.1 · Purpose and structure of the statement of cash flows</w:t>
          </w:r>
        </w:p>
      </w:tc>
      <w:tc>
        <w:tcPr>
          <w:tcW w:type="pct" w:w="1400"/>
          <w:tcMar>
            <w:top w:type="dxa" w:w="-30"/>
            <w:left w:type="dxa" w:w="30"/>
            <w:bottom w:type="dxa" w:w="-30"/>
            <w:right w:type="dxa" w:w="30"/>
          </w:tcMar>
        </w:tcPr>
        <w:p>
          <w:pPr>
            <w:jc w:val="right"/>
          </w:pPr>
          <w:r>
            <w:rPr>
              <w:color w:val="6B7280"/>
              <w:sz w:val="16"/>
              <w:szCs w:val="16"/>
            </w:rPr>
            <w:t xml:space="preserve">Handout 5.1 — Page </w:t>
          </w:r>
          <w:fldSimple w:instr=" PAGE ">
            <w:r>
              <w:rPr>
                <w:b/>
                <w:bCs/>
                <w:color w:val="23265A"/>
                <w:sz w:val="16"/>
                <w:szCs w:val="16"/>
              </w:rPr>
              <w:t xml:space="preserve">1</w:t>
            </w:r>
          </w:fldSimple>
          <w:r>
            <w:rPr>
              <w:color w:val="6B7280"/>
              <w:sz w:val="16"/>
              <w:szCs w:val="16"/>
            </w:rPr>
            <w:t xml:space="preserve"> of 2</w:t>
          </w:r>
        </w:p>
      </w:tc>
    </w:tr>
  </w:tbl>
  <w:p>
    <w:pPr>
      <w:spacing w:after="0"/>
    </w:pPr>
  </w:p>
</w:hdr>
</file>

<file path=word/header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openxmlformats.org/wordprocessingml/2006/main" xmlns:w15="http://schemas.openxmlformats.org/wordprocessingml/2006/main" xmlns:wpg="http://schemas.microsoft.com/office/word/2010/wordprocessingGroup" xmlns:wpi="http://schemas.microsoft.com/office/word/2010/wordprocessingInk" xmlns:wne="http://schemas.microsoft.com/office/word/2006/wordml" xmlns:wps="http://schemas.microsoft.com/office/word/2010/wordprocessingShape">
  <w:tbl>
    <w:tblPr>
      <w:tblW w:type="pct" w:w="100%"/>
      <w:tblBorders>
        <w:bottom w:val="single" w:color="DFE3EE" w:sz="8"/>
      </w:tblBorders>
    </w:tblPr>
    <w:tblGrid>
      <w:gridCol w:w="7400"/>
      <w:gridCol w:w="2000"/>
    </w:tblGrid>
    <w:tr>
      <w:tc>
        <w:tcPr>
          <w:tcW w:type="pct" w:w="3600"/>
          <w:tcMar>
            <w:top w:type="dxa" w:w="-30"/>
            <w:left w:type="dxa" w:w="30"/>
            <w:bottom w:type="dxa" w:w="-30"/>
            <w:right w:type="dxa" w:w="30"/>
          </w:tcMar>
        </w:tcPr>
        <w:p>
          <w:r>
            <w:rPr>
              <w:b/>
              <w:bCs/>
              <w:color w:val="23265A"/>
              <w:sz w:val="16"/>
              <w:szCs w:val="16"/>
            </w:rPr>
            <w:t xml:space="preserve">Answer key · 5.1</w:t>
          </w:r>
        </w:p>
      </w:tc>
      <w:tc>
        <w:tcPr>
          <w:tcW w:type="pct" w:w="1400"/>
          <w:tcMar>
            <w:top w:type="dxa" w:w="-30"/>
            <w:left w:type="dxa" w:w="30"/>
            <w:bottom w:type="dxa" w:w="-30"/>
            <w:right w:type="dxa" w:w="30"/>
          </w:tcMar>
        </w:tcPr>
        <w:p>
          <w:pPr>
            <w:jc w:val="right"/>
          </w:pPr>
          <w:r>
            <w:rPr>
              <w:color w:val="6B7280"/>
              <w:sz w:val="16"/>
              <w:szCs w:val="16"/>
            </w:rPr>
            <w:t xml:space="preserve">Answer key — Page </w:t>
          </w:r>
          <w:fldSimple w:instr=" PAGE ">
            <w:r>
              <w:rPr>
                <w:b/>
                <w:bCs/>
                <w:color w:val="23265A"/>
                <w:sz w:val="16"/>
                <w:szCs w:val="16"/>
              </w:rPr>
              <w:t xml:space="preserve">1</w:t>
            </w:r>
          </w:fldSimple>
          <w:r>
            <w:rPr>
              <w:color w:val="6B7280"/>
              <w:sz w:val="16"/>
              <w:szCs w:val="16"/>
            </w:rPr>
            <w:t xml:space="preserve"/>
          </w:r>
        </w:p>
      </w:tc>
    </w:tr>
  </w:tbl>
  <w:p>
    <w:pPr>
      <w:spacing w:after="0"/>
    </w:pPr>
  </w:p>
</w:hdr>
</file>

<file path=word/header3.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openxmlformats.org/wordprocessingml/2006/main" xmlns:w15="http://schemas.openxmlformats.org/wordprocessingml/2006/main" xmlns:wpg="http://schemas.microsoft.com/office/word/2010/wordprocessingGroup" xmlns:wpi="http://schemas.microsoft.com/office/word/2010/wordprocessingInk" xmlns:wne="http://schemas.microsoft.com/office/word/2006/wordml" xmlns:wps="http://schemas.microsoft.com/office/word/2010/wordprocessingShape">
  <w:tbl>
    <w:tblPr>
      <w:tblW w:type="pct" w:w="100%"/>
      <w:tblBorders>
        <w:bottom w:val="single" w:color="DFE3EE" w:sz="8"/>
      </w:tblBorders>
    </w:tblPr>
    <w:tblGrid>
      <w:gridCol w:w="7400"/>
      <w:gridCol w:w="2000"/>
    </w:tblGrid>
    <w:tr>
      <w:tc>
        <w:tcPr>
          <w:tcW w:type="pct" w:w="3600"/>
          <w:tcMar>
            <w:top w:type="dxa" w:w="-30"/>
            <w:left w:type="dxa" w:w="30"/>
            <w:bottom w:type="dxa" w:w="-30"/>
            <w:right w:type="dxa" w:w="30"/>
          </w:tcMar>
        </w:tcPr>
        <w:p>
          <w:r>
            <w:rPr>
              <w:b/>
              <w:bCs/>
              <w:color w:val="23265A"/>
              <w:sz w:val="16"/>
              <w:szCs w:val="16"/>
            </w:rPr>
            <w:t xml:space="preserve">Summary handout 5.2 · Classifying cash flows</w:t>
          </w:r>
        </w:p>
      </w:tc>
      <w:tc>
        <w:tcPr>
          <w:tcW w:type="pct" w:w="1400"/>
          <w:tcMar>
            <w:top w:type="dxa" w:w="-30"/>
            <w:left w:type="dxa" w:w="30"/>
            <w:bottom w:type="dxa" w:w="-30"/>
            <w:right w:type="dxa" w:w="30"/>
          </w:tcMar>
        </w:tcPr>
        <w:p>
          <w:pPr>
            <w:jc w:val="right"/>
          </w:pPr>
          <w:r>
            <w:rPr>
              <w:color w:val="6B7280"/>
              <w:sz w:val="16"/>
              <w:szCs w:val="16"/>
            </w:rPr>
            <w:t xml:space="preserve">Handout 5.2 — Page </w:t>
          </w:r>
          <w:fldSimple w:instr=" PAGE ">
            <w:r>
              <w:rPr>
                <w:b/>
                <w:bCs/>
                <w:color w:val="23265A"/>
                <w:sz w:val="16"/>
                <w:szCs w:val="16"/>
              </w:rPr>
              <w:t xml:space="preserve">1</w:t>
            </w:r>
          </w:fldSimple>
          <w:r>
            <w:rPr>
              <w:color w:val="6B7280"/>
              <w:sz w:val="16"/>
              <w:szCs w:val="16"/>
            </w:rPr>
            <w:t xml:space="preserve"> of 3</w:t>
          </w:r>
        </w:p>
      </w:tc>
    </w:tr>
  </w:tbl>
  <w:p>
    <w:pPr>
      <w:spacing w:after="0"/>
    </w:pPr>
  </w:p>
</w:hdr>
</file>

<file path=word/header4.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openxmlformats.org/wordprocessingml/2006/main" xmlns:w15="http://schemas.openxmlformats.org/wordprocessingml/2006/main" xmlns:wpg="http://schemas.microsoft.com/office/word/2010/wordprocessingGroup" xmlns:wpi="http://schemas.microsoft.com/office/word/2010/wordprocessingInk" xmlns:wne="http://schemas.microsoft.com/office/word/2006/wordml" xmlns:wps="http://schemas.microsoft.com/office/word/2010/wordprocessingShape">
  <w:tbl>
    <w:tblPr>
      <w:tblW w:type="pct" w:w="100%"/>
      <w:tblBorders>
        <w:bottom w:val="single" w:color="DFE3EE" w:sz="8"/>
      </w:tblBorders>
    </w:tblPr>
    <w:tblGrid>
      <w:gridCol w:w="7400"/>
      <w:gridCol w:w="2000"/>
    </w:tblGrid>
    <w:tr>
      <w:tc>
        <w:tcPr>
          <w:tcW w:type="pct" w:w="3600"/>
          <w:tcMar>
            <w:top w:type="dxa" w:w="-30"/>
            <w:left w:type="dxa" w:w="30"/>
            <w:bottom w:type="dxa" w:w="-30"/>
            <w:right w:type="dxa" w:w="30"/>
          </w:tcMar>
        </w:tcPr>
        <w:p>
          <w:r>
            <w:rPr>
              <w:b/>
              <w:bCs/>
              <w:color w:val="23265A"/>
              <w:sz w:val="16"/>
              <w:szCs w:val="16"/>
            </w:rPr>
            <w:t xml:space="preserve">Answer key · 5.2</w:t>
          </w:r>
        </w:p>
      </w:tc>
      <w:tc>
        <w:tcPr>
          <w:tcW w:type="pct" w:w="1400"/>
          <w:tcMar>
            <w:top w:type="dxa" w:w="-30"/>
            <w:left w:type="dxa" w:w="30"/>
            <w:bottom w:type="dxa" w:w="-30"/>
            <w:right w:type="dxa" w:w="30"/>
          </w:tcMar>
        </w:tcPr>
        <w:p>
          <w:pPr>
            <w:jc w:val="right"/>
          </w:pPr>
          <w:r>
            <w:rPr>
              <w:color w:val="6B7280"/>
              <w:sz w:val="16"/>
              <w:szCs w:val="16"/>
            </w:rPr>
            <w:t xml:space="preserve">Answer key — Page </w:t>
          </w:r>
          <w:fldSimple w:instr=" PAGE ">
            <w:r>
              <w:rPr>
                <w:b/>
                <w:bCs/>
                <w:color w:val="23265A"/>
                <w:sz w:val="16"/>
                <w:szCs w:val="16"/>
              </w:rPr>
              <w:t xml:space="preserve">1</w:t>
            </w:r>
          </w:fldSimple>
          <w:r>
            <w:rPr>
              <w:color w:val="6B7280"/>
              <w:sz w:val="16"/>
              <w:szCs w:val="16"/>
            </w:rPr>
            <w:t xml:space="preserve"/>
          </w:r>
        </w:p>
      </w:tc>
    </w:tr>
  </w:tbl>
  <w:p>
    <w:pPr>
      <w:spacing w:after="0"/>
    </w:pPr>
  </w:p>
</w:hdr>
</file>

<file path=word/header5.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openxmlformats.org/wordprocessingml/2006/main" xmlns:w15="http://schemas.openxmlformats.org/wordprocessingml/2006/main" xmlns:wpg="http://schemas.microsoft.com/office/word/2010/wordprocessingGroup" xmlns:wpi="http://schemas.microsoft.com/office/word/2010/wordprocessingInk" xmlns:wne="http://schemas.microsoft.com/office/word/2006/wordml" xmlns:wps="http://schemas.microsoft.com/office/word/2010/wordprocessingShape">
  <w:tbl>
    <w:tblPr>
      <w:tblW w:type="pct" w:w="100%"/>
      <w:tblBorders>
        <w:bottom w:val="single" w:color="DFE3EE" w:sz="8"/>
      </w:tblBorders>
    </w:tblPr>
    <w:tblGrid>
      <w:gridCol w:w="7400"/>
      <w:gridCol w:w="2000"/>
    </w:tblGrid>
    <w:tr>
      <w:tc>
        <w:tcPr>
          <w:tcW w:type="pct" w:w="3600"/>
          <w:tcMar>
            <w:top w:type="dxa" w:w="-30"/>
            <w:left w:type="dxa" w:w="30"/>
            <w:bottom w:type="dxa" w:w="-30"/>
            <w:right w:type="dxa" w:w="30"/>
          </w:tcMar>
        </w:tcPr>
        <w:p>
          <w:r>
            <w:rPr>
              <w:b/>
              <w:bCs/>
              <w:color w:val="23265A"/>
              <w:sz w:val="16"/>
              <w:szCs w:val="16"/>
            </w:rPr>
            <w:t xml:space="preserve">Summary handout 5.3 · The indirect method</w:t>
          </w:r>
        </w:p>
      </w:tc>
      <w:tc>
        <w:tcPr>
          <w:tcW w:type="pct" w:w="1400"/>
          <w:tcMar>
            <w:top w:type="dxa" w:w="-30"/>
            <w:left w:type="dxa" w:w="30"/>
            <w:bottom w:type="dxa" w:w="-30"/>
            <w:right w:type="dxa" w:w="30"/>
          </w:tcMar>
        </w:tcPr>
        <w:p>
          <w:pPr>
            <w:jc w:val="right"/>
          </w:pPr>
          <w:r>
            <w:rPr>
              <w:color w:val="6B7280"/>
              <w:sz w:val="16"/>
              <w:szCs w:val="16"/>
            </w:rPr>
            <w:t xml:space="preserve">Handout 5.3 — Page </w:t>
          </w:r>
          <w:fldSimple w:instr=" PAGE ">
            <w:r>
              <w:rPr>
                <w:b/>
                <w:bCs/>
                <w:color w:val="23265A"/>
                <w:sz w:val="16"/>
                <w:szCs w:val="16"/>
              </w:rPr>
              <w:t xml:space="preserve">1</w:t>
            </w:r>
          </w:fldSimple>
          <w:r>
            <w:rPr>
              <w:color w:val="6B7280"/>
              <w:sz w:val="16"/>
              <w:szCs w:val="16"/>
            </w:rPr>
            <w:t xml:space="preserve"> of 2</w:t>
          </w:r>
        </w:p>
      </w:tc>
    </w:tr>
  </w:tbl>
  <w:p>
    <w:pPr>
      <w:spacing w:after="0"/>
    </w:pPr>
  </w:p>
</w:hdr>
</file>

<file path=word/header6.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openxmlformats.org/wordprocessingml/2006/main" xmlns:w15="http://schemas.openxmlformats.org/wordprocessingml/2006/main" xmlns:wpg="http://schemas.microsoft.com/office/word/2010/wordprocessingGroup" xmlns:wpi="http://schemas.microsoft.com/office/word/2010/wordprocessingInk" xmlns:wne="http://schemas.microsoft.com/office/word/2006/wordml" xmlns:wps="http://schemas.microsoft.com/office/word/2010/wordprocessingShape">
  <w:tbl>
    <w:tblPr>
      <w:tblW w:type="pct" w:w="100%"/>
      <w:tblBorders>
        <w:bottom w:val="single" w:color="DFE3EE" w:sz="8"/>
      </w:tblBorders>
    </w:tblPr>
    <w:tblGrid>
      <w:gridCol w:w="7400"/>
      <w:gridCol w:w="2000"/>
    </w:tblGrid>
    <w:tr>
      <w:tc>
        <w:tcPr>
          <w:tcW w:type="pct" w:w="3600"/>
          <w:tcMar>
            <w:top w:type="dxa" w:w="-30"/>
            <w:left w:type="dxa" w:w="30"/>
            <w:bottom w:type="dxa" w:w="-30"/>
            <w:right w:type="dxa" w:w="30"/>
          </w:tcMar>
        </w:tcPr>
        <w:p>
          <w:r>
            <w:rPr>
              <w:b/>
              <w:bCs/>
              <w:color w:val="23265A"/>
              <w:sz w:val="16"/>
              <w:szCs w:val="16"/>
            </w:rPr>
            <w:t xml:space="preserve">Answer key · 5.3</w:t>
          </w:r>
        </w:p>
      </w:tc>
      <w:tc>
        <w:tcPr>
          <w:tcW w:type="pct" w:w="1400"/>
          <w:tcMar>
            <w:top w:type="dxa" w:w="-30"/>
            <w:left w:type="dxa" w:w="30"/>
            <w:bottom w:type="dxa" w:w="-30"/>
            <w:right w:type="dxa" w:w="30"/>
          </w:tcMar>
        </w:tcPr>
        <w:p>
          <w:pPr>
            <w:jc w:val="right"/>
          </w:pPr>
          <w:r>
            <w:rPr>
              <w:color w:val="6B7280"/>
              <w:sz w:val="16"/>
              <w:szCs w:val="16"/>
            </w:rPr>
            <w:t xml:space="preserve">Answer key — Page </w:t>
          </w:r>
          <w:fldSimple w:instr=" PAGE ">
            <w:r>
              <w:rPr>
                <w:b/>
                <w:bCs/>
                <w:color w:val="23265A"/>
                <w:sz w:val="16"/>
                <w:szCs w:val="16"/>
              </w:rPr>
              <w:t xml:space="preserve">1</w:t>
            </w:r>
          </w:fldSimple>
          <w:r>
            <w:rPr>
              <w:color w:val="6B7280"/>
              <w:sz w:val="16"/>
              <w:szCs w:val="16"/>
            </w:rPr>
            <w:t xml:space="preserve"/>
          </w:r>
        </w:p>
      </w:tc>
    </w:tr>
  </w:tbl>
  <w:p>
    <w:pPr>
      <w:spacing w:after="0"/>
    </w:pPr>
  </w:p>
</w:hdr>
</file>

<file path=word/header7.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openxmlformats.org/wordprocessingml/2006/main" xmlns:w15="http://schemas.openxmlformats.org/wordprocessingml/2006/main" xmlns:wpg="http://schemas.microsoft.com/office/word/2010/wordprocessingGroup" xmlns:wpi="http://schemas.microsoft.com/office/word/2010/wordprocessingInk" xmlns:wne="http://schemas.microsoft.com/office/word/2006/wordml" xmlns:wps="http://schemas.microsoft.com/office/word/2010/wordprocessingShape">
  <w:tbl>
    <w:tblPr>
      <w:tblW w:type="pct" w:w="100%"/>
      <w:tblBorders>
        <w:bottom w:val="single" w:color="DFE3EE" w:sz="8"/>
      </w:tblBorders>
    </w:tblPr>
    <w:tblGrid>
      <w:gridCol w:w="7400"/>
      <w:gridCol w:w="2000"/>
    </w:tblGrid>
    <w:tr>
      <w:tc>
        <w:tcPr>
          <w:tcW w:type="pct" w:w="3600"/>
          <w:tcMar>
            <w:top w:type="dxa" w:w="-30"/>
            <w:left w:type="dxa" w:w="30"/>
            <w:bottom w:type="dxa" w:w="-30"/>
            <w:right w:type="dxa" w:w="30"/>
          </w:tcMar>
        </w:tcPr>
        <w:p>
          <w:r>
            <w:rPr>
              <w:b/>
              <w:bCs/>
              <w:color w:val="23265A"/>
              <w:sz w:val="16"/>
              <w:szCs w:val="16"/>
            </w:rPr>
            <w:t xml:space="preserve">Summary handout 5.4 · The direct method and required disclosures</w:t>
          </w:r>
        </w:p>
      </w:tc>
      <w:tc>
        <w:tcPr>
          <w:tcW w:type="pct" w:w="1400"/>
          <w:tcMar>
            <w:top w:type="dxa" w:w="-30"/>
            <w:left w:type="dxa" w:w="30"/>
            <w:bottom w:type="dxa" w:w="-30"/>
            <w:right w:type="dxa" w:w="30"/>
          </w:tcMar>
        </w:tcPr>
        <w:p>
          <w:pPr>
            <w:jc w:val="right"/>
          </w:pPr>
          <w:r>
            <w:rPr>
              <w:color w:val="6B7280"/>
              <w:sz w:val="16"/>
              <w:szCs w:val="16"/>
            </w:rPr>
            <w:t xml:space="preserve">Handout 5.4 — Page </w:t>
          </w:r>
          <w:fldSimple w:instr=" PAGE ">
            <w:r>
              <w:rPr>
                <w:b/>
                <w:bCs/>
                <w:color w:val="23265A"/>
                <w:sz w:val="16"/>
                <w:szCs w:val="16"/>
              </w:rPr>
              <w:t xml:space="preserve">1</w:t>
            </w:r>
          </w:fldSimple>
          <w:r>
            <w:rPr>
              <w:color w:val="6B7280"/>
              <w:sz w:val="16"/>
              <w:szCs w:val="16"/>
            </w:rPr>
            <w:t xml:space="preserve"> of 2</w:t>
          </w:r>
        </w:p>
      </w:tc>
    </w:tr>
  </w:tbl>
  <w:p>
    <w:pPr>
      <w:spacing w:after="0"/>
    </w:pPr>
  </w:p>
</w:hdr>
</file>

<file path=word/header8.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openxmlformats.org/wordprocessingml/2006/main" xmlns:w15="http://schemas.openxmlformats.org/wordprocessingml/2006/main" xmlns:wpg="http://schemas.microsoft.com/office/word/2010/wordprocessingGroup" xmlns:wpi="http://schemas.microsoft.com/office/word/2010/wordprocessingInk" xmlns:wne="http://schemas.microsoft.com/office/word/2006/wordml" xmlns:wps="http://schemas.microsoft.com/office/word/2010/wordprocessingShape">
  <w:tbl>
    <w:tblPr>
      <w:tblW w:type="pct" w:w="100%"/>
      <w:tblBorders>
        <w:bottom w:val="single" w:color="DFE3EE" w:sz="8"/>
      </w:tblBorders>
    </w:tblPr>
    <w:tblGrid>
      <w:gridCol w:w="7400"/>
      <w:gridCol w:w="2000"/>
    </w:tblGrid>
    <w:tr>
      <w:tc>
        <w:tcPr>
          <w:tcW w:type="pct" w:w="3600"/>
          <w:tcMar>
            <w:top w:type="dxa" w:w="-30"/>
            <w:left w:type="dxa" w:w="30"/>
            <w:bottom w:type="dxa" w:w="-30"/>
            <w:right w:type="dxa" w:w="30"/>
          </w:tcMar>
        </w:tcPr>
        <w:p>
          <w:r>
            <w:rPr>
              <w:b/>
              <w:bCs/>
              <w:color w:val="23265A"/>
              <w:sz w:val="16"/>
              <w:szCs w:val="16"/>
            </w:rPr>
            <w:t xml:space="preserve">Answer key · 5.4</w:t>
          </w:r>
        </w:p>
      </w:tc>
      <w:tc>
        <w:tcPr>
          <w:tcW w:type="pct" w:w="1400"/>
          <w:tcMar>
            <w:top w:type="dxa" w:w="-30"/>
            <w:left w:type="dxa" w:w="30"/>
            <w:bottom w:type="dxa" w:w="-30"/>
            <w:right w:type="dxa" w:w="30"/>
          </w:tcMar>
        </w:tcPr>
        <w:p>
          <w:pPr>
            <w:jc w:val="right"/>
          </w:pPr>
          <w:r>
            <w:rPr>
              <w:color w:val="6B7280"/>
              <w:sz w:val="16"/>
              <w:szCs w:val="16"/>
            </w:rPr>
            <w:t xml:space="preserve">Answer key — Page </w:t>
          </w:r>
          <w:fldSimple w:instr=" PAGE ">
            <w:r>
              <w:rPr>
                <w:b/>
                <w:bCs/>
                <w:color w:val="23265A"/>
                <w:sz w:val="16"/>
                <w:szCs w:val="16"/>
              </w:rPr>
              <w:t xml:space="preserve">1</w:t>
            </w:r>
          </w:fldSimple>
          <w:r>
            <w:rPr>
              <w:color w:val="6B7280"/>
              <w:sz w:val="16"/>
              <w:szCs w:val="16"/>
            </w:rPr>
            <w:t xml:space="preserve"/>
          </w:r>
        </w:p>
      </w:tc>
    </w:tr>
  </w:tbl>
  <w:p>
    <w:pPr>
      <w:spacing w:after="0"/>
    </w:pPr>
  </w:p>
</w:hdr>
</file>

<file path=word/header9.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openxmlformats.org/wordprocessingml/2006/main" xmlns:w15="http://schemas.openxmlformats.org/wordprocessingml/2006/main" xmlns:wpg="http://schemas.microsoft.com/office/word/2010/wordprocessingGroup" xmlns:wpi="http://schemas.microsoft.com/office/word/2010/wordprocessingInk" xmlns:wne="http://schemas.microsoft.com/office/word/2006/wordml" xmlns:wps="http://schemas.microsoft.com/office/word/2010/wordprocessingShape">
  <w:tbl>
    <w:tblPr>
      <w:tblW w:type="pct" w:w="100%"/>
      <w:tblBorders>
        <w:bottom w:val="single" w:color="DFE3EE" w:sz="8"/>
      </w:tblBorders>
    </w:tblPr>
    <w:tblGrid>
      <w:gridCol w:w="7400"/>
      <w:gridCol w:w="2000"/>
    </w:tblGrid>
    <w:tr>
      <w:tc>
        <w:tcPr>
          <w:tcW w:type="pct" w:w="3600"/>
          <w:tcMar>
            <w:top w:type="dxa" w:w="-30"/>
            <w:left w:type="dxa" w:w="30"/>
            <w:bottom w:type="dxa" w:w="-30"/>
            <w:right w:type="dxa" w:w="30"/>
          </w:tcMar>
        </w:tcPr>
        <w:p>
          <w:r>
            <w:rPr>
              <w:b/>
              <w:bCs/>
              <w:color w:val="23265A"/>
              <w:sz w:val="16"/>
              <w:szCs w:val="16"/>
            </w:rPr>
            <w:t xml:space="preserve">Summary handout 5.5 · Limitations and links between the four statements</w:t>
          </w:r>
        </w:p>
      </w:tc>
      <w:tc>
        <w:tcPr>
          <w:tcW w:type="pct" w:w="1400"/>
          <w:tcMar>
            <w:top w:type="dxa" w:w="-30"/>
            <w:left w:type="dxa" w:w="30"/>
            <w:bottom w:type="dxa" w:w="-30"/>
            <w:right w:type="dxa" w:w="30"/>
          </w:tcMar>
        </w:tcPr>
        <w:p>
          <w:pPr>
            <w:jc w:val="right"/>
          </w:pPr>
          <w:r>
            <w:rPr>
              <w:color w:val="6B7280"/>
              <w:sz w:val="16"/>
              <w:szCs w:val="16"/>
            </w:rPr>
            <w:t xml:space="preserve">Handout 5.5 — Page </w:t>
          </w:r>
          <w:fldSimple w:instr=" PAGE ">
            <w:r>
              <w:rPr>
                <w:b/>
                <w:bCs/>
                <w:color w:val="23265A"/>
                <w:sz w:val="16"/>
                <w:szCs w:val="16"/>
              </w:rPr>
              <w:t xml:space="preserve">1</w:t>
            </w:r>
          </w:fldSimple>
          <w:r>
            <w:rPr>
              <w:color w:val="6B7280"/>
              <w:sz w:val="16"/>
              <w:szCs w:val="16"/>
            </w:rPr>
            <w:t xml:space="preserve"> of 3</w:t>
          </w:r>
        </w:p>
      </w:tc>
    </w:tr>
  </w:tbl>
  <w:p>
    <w:pPr>
      <w:spacing w:after="0"/>
    </w:pPr>
  </w:p>
</w:hdr>
</file>

<file path=word/header10.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openxmlformats.org/wordprocessingml/2006/main" xmlns:w15="http://schemas.openxmlformats.org/wordprocessingml/2006/main" xmlns:wpg="http://schemas.microsoft.com/office/word/2010/wordprocessingGroup" xmlns:wpi="http://schemas.microsoft.com/office/word/2010/wordprocessingInk" xmlns:wne="http://schemas.microsoft.com/office/word/2006/wordml" xmlns:wps="http://schemas.microsoft.com/office/word/2010/wordprocessingShape">
  <w:tbl>
    <w:tblPr>
      <w:tblW w:type="pct" w:w="100%"/>
      <w:tblBorders>
        <w:bottom w:val="single" w:color="DFE3EE" w:sz="8"/>
      </w:tblBorders>
    </w:tblPr>
    <w:tblGrid>
      <w:gridCol w:w="7400"/>
      <w:gridCol w:w="2000"/>
    </w:tblGrid>
    <w:tr>
      <w:tc>
        <w:tcPr>
          <w:tcW w:type="pct" w:w="3600"/>
          <w:tcMar>
            <w:top w:type="dxa" w:w="-30"/>
            <w:left w:type="dxa" w:w="30"/>
            <w:bottom w:type="dxa" w:w="-30"/>
            <w:right w:type="dxa" w:w="30"/>
          </w:tcMar>
        </w:tcPr>
        <w:p>
          <w:r>
            <w:rPr>
              <w:b/>
              <w:bCs/>
              <w:color w:val="23265A"/>
              <w:sz w:val="16"/>
              <w:szCs w:val="16"/>
            </w:rPr>
            <w:t xml:space="preserve">Answer key · 5.5</w:t>
          </w:r>
        </w:p>
      </w:tc>
      <w:tc>
        <w:tcPr>
          <w:tcW w:type="pct" w:w="1400"/>
          <w:tcMar>
            <w:top w:type="dxa" w:w="-30"/>
            <w:left w:type="dxa" w:w="30"/>
            <w:bottom w:type="dxa" w:w="-30"/>
            <w:right w:type="dxa" w:w="30"/>
          </w:tcMar>
        </w:tcPr>
        <w:p>
          <w:pPr>
            <w:jc w:val="right"/>
          </w:pPr>
          <w:r>
            <w:rPr>
              <w:color w:val="6B7280"/>
              <w:sz w:val="16"/>
              <w:szCs w:val="16"/>
            </w:rPr>
            <w:t xml:space="preserve">Answer key — Page </w:t>
          </w:r>
          <w:fldSimple w:instr=" PAGE ">
            <w:r>
              <w:rPr>
                <w:b/>
                <w:bCs/>
                <w:color w:val="23265A"/>
                <w:sz w:val="16"/>
                <w:szCs w:val="16"/>
              </w:rPr>
              <w:t xml:space="preserve">1</w:t>
            </w:r>
          </w:fldSimple>
          <w:r>
            <w:rPr>
              <w:color w:val="6B7280"/>
              <w:sz w:val="16"/>
              <w:szCs w:val="16"/>
            </w:rPr>
            <w:t xml:space="preserve"/>
          </w:r>
        </w:p>
      </w:tc>
    </w:tr>
  </w:tbl>
  <w:p>
    <w:pPr>
      <w:spacing w:after="0"/>
    </w:pP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openxmlformats.org/wordprocessingml/2006/main" xmlns:w15="http://schemas.openxmlformats.org/wordprocessingml/2006/main" xmlns:wpg="http://schemas.microsoft.com/office/word/2010/wordprocessingGroup" xmlns:wpi="http://schemas.microsoft.com/office/word/2010/wordprocessingInk" xmlns:wne="http://schemas.microsoft.com/office/word/2006/wordml" xmlns:wps="http://schemas.microsoft.com/office/word/2010/wordprocessingShape">
  <w:defaultTabStop w:val="720"/>
  <w:compat>
    <w:compatSetting w:name="compatibilityMode" w:uri="http://schemas.microsoft.com/office/word" w:val="15"/>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document.xml.rels><?xml version="1.0" encoding="UTF-8" standalone="yes"?><Relationships xmlns="http://schemas.openxmlformats.org/package/2006/relationships"><Relationship Id="rIdstyles" Target="styles.xml" Type="http://schemas.openxmlformats.org/officeDocument/2006/relationships/styles"/><Relationship Id="rIdnumbering" Target="numbering.xml" Type="http://schemas.openxmlformats.org/officeDocument/2006/relationships/numbering"/><Relationship Id="rIdfontTable" Target="fontTable.xml" Type="http://schemas.openxmlformats.org/officeDocument/2006/relationships/fontTable"/><Relationship Id="rIdsettings" Target="settings.xml" Type="http://schemas.openxmlformats.org/officeDocument/2006/relationships/settings"/><Relationship Id="rId101" Target="media/c2ccdcef03ee4613a15991a3f896b6b54d951f4d.png" Type="http://schemas.openxmlformats.org/officeDocument/2006/relationships/image"/><Relationship Id="rId102" Target="media/f82deda45a82a14e264ea539b199d017d2b38e40.png" Type="http://schemas.openxmlformats.org/officeDocument/2006/relationships/image"/><Relationship Id="rId103" Target="media/cc9a644d92103316c913de4bde48f6c0a6ffc573.png" Type="http://schemas.openxmlformats.org/officeDocument/2006/relationships/image"/><Relationship Id="rId104" Target="media/609f0d9f0eb62dac0dfa2f268f8ad76b23f5b497.png" Type="http://schemas.openxmlformats.org/officeDocument/2006/relationships/image"/><Relationship Id="rId105" Target="media/cd050a3751879b5e2321c2fea9ec57d212e7bf58.png" Type="http://schemas.openxmlformats.org/officeDocument/2006/relationships/image"/><Relationship Id="rId106" Target="media/0e3dcc198ce4b402c04a40ded42335ed43da313a.png" Type="http://schemas.openxmlformats.org/officeDocument/2006/relationships/image"/><Relationship Id="rId107" Target="media/ac28cb4267294a1fdf891ef640e6c77a94e2cbd5.png" Type="http://schemas.openxmlformats.org/officeDocument/2006/relationships/image"/><Relationship Id="rId108" Target="media/8c672e97454a36d9691b12d235563ef1da1d15b6.png" Type="http://schemas.openxmlformats.org/officeDocument/2006/relationships/image"/><Relationship Id="rId109" Target="media/239c0173c4126a60d5ee1db365241eb70cf802c6.png" Type="http://schemas.openxmlformats.org/officeDocument/2006/relationships/image"/><Relationship Id="rId110" Target="media/cab6766e86a80cde24420a7e2dc600bcafcb956d.png" Type="http://schemas.openxmlformats.org/officeDocument/2006/relationships/image"/><Relationship Id="rId111" Target="media/4035911c48e5a5b36cd9edc4c9178e32832d9d51.png" Type="http://schemas.openxmlformats.org/officeDocument/2006/relationships/image"/><Relationship Id="rIdHdr1" Target="header1.xml" Type="http://schemas.openxmlformats.org/officeDocument/2006/relationships/header"/><Relationship Id="rIdHdr2" Target="header2.xml" Type="http://schemas.openxmlformats.org/officeDocument/2006/relationships/header"/><Relationship Id="rIdHdr3" Target="header3.xml" Type="http://schemas.openxmlformats.org/officeDocument/2006/relationships/header"/><Relationship Id="rIdHdr4" Target="header4.xml" Type="http://schemas.openxmlformats.org/officeDocument/2006/relationships/header"/><Relationship Id="rIdHdr5" Target="header5.xml" Type="http://schemas.openxmlformats.org/officeDocument/2006/relationships/header"/><Relationship Id="rIdHdr6" Target="header6.xml" Type="http://schemas.openxmlformats.org/officeDocument/2006/relationships/header"/><Relationship Id="rIdHdr7" Target="header7.xml" Type="http://schemas.openxmlformats.org/officeDocument/2006/relationships/header"/><Relationship Id="rIdHdr8" Target="header8.xml" Type="http://schemas.openxmlformats.org/officeDocument/2006/relationships/header"/><Relationship Id="rIdHdr9" Target="header9.xml" Type="http://schemas.openxmlformats.org/officeDocument/2006/relationships/header"/><Relationship Id="rIdHdr10" Target="header10.xml" Type="http://schemas.openxmlformats.org/officeDocument/2006/relationships/header"/></Relationships>
</file>

<file path=docProps/core.xml><?xml version="1.0" encoding="utf-8"?>
<cp:coreProperties xmlns:cp="http://schemas.openxmlformats.org/package/2006/metadata/core-properties" xmlns:dc="http://purl.org/dc/elements/1.1/" xmlns:dcterms="http://purl.org/dc/terms/" xmlns:xsi="http://www.w3.org/2001/XMLSchema-instance">
  <dc:title>CMA Part 1 · Book 1 · Chapter 5</dc:title>
  <dc:subject>Summary handouts</dc:subject>
  <cp:category>Student Book</cp:category>
</cp:coreProperties>
</file>