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FOB destination</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Control   ·   situations</w:t>
            </w:r>
          </w:p>
        </w:tc>
      </w:tr>
    </w:tbl>
    <w:p/>
    <w:p>
      <w:pPr>
        <w:spacing w:before="44" w:after="14"/>
      </w:pPr>
      <w:r>
        <w:rPr>
          <w:b/>
          <w:bCs/>
          <w:color w:val="353A7C"/>
          <w:sz w:val="18"/>
          <w:szCs w:val="18"/>
        </w:rPr>
        <w:t xml:space="preserve">Summary 2</w:t>
      </w:r>
      <w:r>
        <w:rPr>
          <w:color w:val="6B7280"/>
          <w:sz w:val="16"/>
          <w:szCs w:val="16"/>
        </w:rPr>
        <w:t xml:space="preserve">      gaps 15–24</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Use it for every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item in an exam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Two special cases appear in later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   somewhere   ·   question   ·   others   ·   chapters   ·   consigned   ·   though   ·   year-end   ·   warehouse   ·   consignee   ·   consignor's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expects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28–31</w:t>
      </w:r>
    </w:p>
    <w:p>
      <w:pPr>
        <w:spacing w:before="20" w:after="20" w:line="360" w:lineRule="auto"/>
        <w:ind w:left="200"/>
      </w:pPr>
      <w:r>
        <w:rPr>
          <w:sz w:val="19"/>
          <w:szCs w:val="19"/>
        </w:rPr>
        <w:t xml:space="preserve">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consignee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inventory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consignee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Use it for every year-end item in an exam question.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inventoriable   ·   needed   ·   freight-in   ·   expects   ·   direct   ·   recorded   ·   condition   ·   become   ·   capacity   ·   unusually   ·   freight-out   ·   expenses   ·   non-refundable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In the same way,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average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consignor   ·   No: period cost   ·   reduces</w:t>
            </w:r>
          </w:p>
        </w:tc>
      </w:tr>
    </w:tbl>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The two costs at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include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freight-out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November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Weighted-average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freight-in</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goods available for sale</w:t>
            </w:r>
          </w:p>
        </w:tc>
      </w:tr>
    </w:tbl>
    <w:p/>
    <w:p>
      <w:pPr>
        <w:spacing w:before="44" w:after="14"/>
      </w:pPr>
      <w:r>
        <w:rPr>
          <w:b/>
          <w:bCs/>
          <w:color w:val="353A7C"/>
          <w:sz w:val="18"/>
          <w:szCs w:val="18"/>
        </w:rPr>
        <w:t xml:space="preserve">Summary 4</w:t>
      </w:r>
      <w:r>
        <w:rPr>
          <w:color w:val="6B7280"/>
          <w:sz w:val="16"/>
          <w:szCs w:val="16"/>
        </w:rPr>
        <w:t xml:space="preserve">      gaps 22–29</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the goods at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perpetual   ·   updates   ·   November   ·   systems   ·   counts   ·   moving   ·   year-end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30–35</w:t>
      </w:r>
    </w:p>
    <w:p>
      <w:pPr>
        <w:spacing w:before="20" w:after="20" w:line="360" w:lineRule="auto"/>
        <w:ind w:left="200"/>
      </w:pPr>
      <w:r>
        <w:rPr>
          <w:sz w:val="19"/>
          <w:szCs w:val="19"/>
        </w:rPr>
        <w:t xml:space="preserve">The Dubai plant had 3,000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pastry trays available in 2025,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dashed boxes below using periodic LIFO. </w:t>
      </w:r>
      <w:r>
        <w:rPr>
          <w:sz w:val="19"/>
          <w:szCs w:val="19"/>
        </w:rPr>
        <w:t xml:space="preserve">Then check that cost of goods sold plus ending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perpetual   ·   frozen   ·   inventory   ·   Complete   ·   interchangeable   ·   frameworks   ·   costing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Talking about time and order</w:t>
            </w:r>
          </w:p>
        </w:tc>
      </w:tr>
    </w:tbl>
    <w:p/>
    <w:p>
      <w:pPr>
        <w:spacing w:before="20" w:after="20" w:line="360" w:lineRule="auto"/>
        <w:ind w:left="200"/>
      </w:pPr>
      <w:r>
        <w:rPr>
          <w:sz w:val="19"/>
          <w:szCs w:val="19"/>
        </w:rPr>
        <w:t xml:space="preserve">Under LIFO, the company adds a layer when it buys more than it sells. A company can use LIFO even if it ships its oldest bottles first.</w:t>
      </w:r>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LIFO conformity rule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frozen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moving average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Complete the dashed boxes below using periodic LIFO.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holding   ·   revenues   ·   different</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FIFO with two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the company should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if it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started   ·   results   ·   low-cost   ·   illustrative   ·   liquidation   ·   analyst   ·   during   ·   material   ·   improvement   ·   Income   ·   relationships   ·   disclose</w:t>
            </w:r>
          </w:p>
        </w:tc>
      </w:tr>
    </w:tbl>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A company that uses LIFO for its tax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low-cost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To get FIFO cost of goods sold,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holding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31–32</w:t>
      </w:r>
    </w:p>
    <w:p>
      <w:pPr>
        <w:spacing w:before="20" w:after="20" w:line="360" w:lineRule="auto"/>
        <w:ind w:left="200"/>
      </w:pPr>
      <w:r>
        <w:rPr>
          <w:sz w:val="19"/>
          <w:szCs w:val="19"/>
        </w:rPr>
        <w:t xml:space="preserve">The LIFO reserve is not an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conformity rule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exam item: when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because   ·   inventory   ·   Retained   ·   cancel   ·   Orontes   ·   Remember   ·   accounts   ·   classic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2. Ending inventory understated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consignment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tells you the direction. </w:t>
      </w:r>
      <w:r>
        <w:rPr>
          <w:sz w:val="19"/>
          <w:szCs w:val="19"/>
        </w:rPr>
        <w:t xml:space="preserve">Net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find the direction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question   ·   prefix   ·   correct</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counterbalancing error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w:t>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available   ·   freight-out</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البضاعة المباعة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prefix</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counterbalanced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cost of goods sold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The prefix tells you the direction. Net income is overstated by 40 (the size of the error), not overstated to 940. In a question, find the direction for the first year, then reverse it for the second year.</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55fba116821b807c9ab51a62accc1d61365b658.png" Type="http://schemas.openxmlformats.org/officeDocument/2006/relationships/image"/><Relationship Id="rId102" Target="media/93c22d2aa635928e900fda5a752097b5582b156c.png" Type="http://schemas.openxmlformats.org/officeDocument/2006/relationships/image"/><Relationship Id="rId103" Target="media/f7d1965f677c9fbe95666bdd7ac6e8576fe75753.png" Type="http://schemas.openxmlformats.org/officeDocument/2006/relationships/image"/><Relationship Id="rId104" Target="media/2b54fdcf833fe11ce0b4dc25f34d99d7e563dd72.png" Type="http://schemas.openxmlformats.org/officeDocument/2006/relationships/image"/><Relationship Id="rId105" Target="media/e2b35aaa50a5251826b899af27c7c527083e7ff0.png" Type="http://schemas.openxmlformats.org/officeDocument/2006/relationships/image"/><Relationship Id="rId106" Target="media/fba2b5ada76d7f9688f2668941cb6c8603ea7ef5.png" Type="http://schemas.openxmlformats.org/officeDocument/2006/relationships/image"/><Relationship Id="rId107" Target="media/f525dab043aa0b268e5e7845c36cd24090dfa1f2.png" Type="http://schemas.openxmlformats.org/officeDocument/2006/relationships/image"/><Relationship Id="rId108" Target="media/647e6f9a0a2afefce9e8e3680bfb8cad475ad403.png" Type="http://schemas.openxmlformats.org/officeDocument/2006/relationships/image"/><Relationship Id="rId109" Target="media/af5ffcd955e38022daf54f0605d5c4dbd20eff4f.png" Type="http://schemas.openxmlformats.org/officeDocument/2006/relationships/image"/><Relationship Id="rId110" Target="media/3fe02b7012fd91aa8585bf5cfaca134ad150a61d.png" Type="http://schemas.openxmlformats.org/officeDocument/2006/relationships/image"/><Relationship Id="rId111" Target="media/61c6844b061ba32ec442be33f888d4f5cda188a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dc:title>
  <dc:subject>Summary handouts</dc:subject>
  <cp:category>Student Book</cp:category>
</cp:coreProperties>
</file>