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2,000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New estimated selling price per case</w:t>
            </w:r>
          </w:p>
        </w:tc>
        <w:tc>
          <w:tcPr>
            <w:tcW w:type="pct" w:w="2400"/>
            <w:tcMar>
              <w:top w:type="dxa" w:w="50"/>
              <w:left w:type="dxa" w:w="110"/>
              <w:bottom w:type="dxa" w:w="50"/>
              <w:right w:type="dxa" w:w="110"/>
            </w:tcMar>
          </w:tcPr>
          <w:p>
            <w:pPr>
              <w:spacing w:before="28" w:after="28"/>
            </w:pPr>
            <w:r>
              <w:rPr>
                <w:sz w:val="15"/>
                <w:szCs w:val="15"/>
              </w:rPr>
              <w:t xml:space="preserve">$54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40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$48</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tcMar>
              <w:top w:type="dxa" w:w="50"/>
              <w:left w:type="dxa" w:w="110"/>
              <w:bottom w:type="dxa" w:w="50"/>
              <w:right w:type="dxa" w:w="110"/>
            </w:tcMar>
          </w:tcPr>
          <w:p>
            <w:pPr>
              <w:spacing w:before="28" w:after="28"/>
            </w:pPr>
            <w:r>
              <w:rPr>
                <w:sz w:val="15"/>
                <w:szCs w:val="15"/>
              </w:rPr>
              <w:t xml:space="preserve">$96,000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40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22–26</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   ·   original</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36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361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lower of cost and net realizable value (LCNRV)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lower of cost and net realizable value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write-down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dollars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p>
      <w:pPr>
        <w:spacing w:before="44" w:after="14"/>
      </w:pPr>
      <w:r>
        <w:rPr>
          <w:b/>
          <w:bCs/>
          <w:color w:val="353A7C"/>
          <w:sz w:val="18"/>
          <w:szCs w:val="18"/>
        </w:rPr>
        <w:t xml:space="preserve">Summary 2</w:t>
      </w:r>
      <w:r>
        <w:rPr>
          <w:color w:val="6B7280"/>
          <w:sz w:val="16"/>
          <w:szCs w:val="16"/>
        </w:rPr>
        <w:t xml:space="preserve">      gaps 11–12</w:t>
      </w:r>
    </w:p>
    <w:p>
      <w:pPr>
        <w:spacing w:before="20" w:after="20" w:line="360" w:lineRule="auto"/>
        <w:ind w:left="200"/>
      </w:pPr>
      <w:r>
        <w:rPr>
          <w:sz w:val="19"/>
          <w:szCs w:val="19"/>
        </w:rPr>
        <w:t xml:space="preserve">Values are per case in whole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For each line, market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the three limits, and LCM is the lower of cost and market.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dollars   ·   directly   ·   middle</w:t>
            </w:r>
          </w:p>
        </w:tc>
      </w:tr>
    </w:tbl>
    <w:p/>
    <w:p>
      <w:pPr>
        <w:spacing w:before="44" w:after="10"/>
      </w:pPr>
      <w:r>
        <w:rPr>
          <w:b/>
          <w:bCs/>
          <w:color w:val="353A7C"/>
          <w:sz w:val="18"/>
          <w:szCs w:val="18"/>
        </w:rPr>
        <w:t xml:space="preserve">LCM, item by item, for four Orontes product lines measured under LIFO (whole USD per case)</w:t>
      </w:r>
    </w:p>
    <w:p>
      <w:pPr>
        <w:spacing w:before="0" w:after="12"/>
      </w:pPr>
      <w:r>
        <w:rPr>
          <w:color w:val="6B7280"/>
          <w:sz w:val="15"/>
          <w:szCs w:val="15"/>
        </w:rPr>
        <w:t xml:space="preserve">The parts add up to the total; the bars are to scale.</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shrinkage   ·   Tahini   ·   Chickpeas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15–22</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or to the total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non-cancellable   ·   inventory   ·   compared   ·   expected   ·   because   ·   consistently   ·   conservative   ·   item-by-item   ·   category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spacing w:before="44" w:after="14"/>
      </w:pPr>
      <w:r>
        <w:rPr>
          <w:b/>
          <w:bCs/>
          <w:color w:val="353A7C"/>
          <w:sz w:val="18"/>
          <w:szCs w:val="18"/>
        </w:rPr>
        <w:t xml:space="preserve">Summary 4</w:t>
      </w:r>
      <w:r>
        <w:rPr>
          <w:color w:val="6B7280"/>
          <w:sz w:val="16"/>
          <w:szCs w:val="16"/>
        </w:rPr>
        <w:t xml:space="preserve">      gaps 23–26</w:t>
      </w:r>
    </w:p>
    <w:p>
      <w:pPr>
        <w:spacing w:before="20" w:after="20" w:line="360" w:lineRule="auto"/>
        <w:ind w:left="200"/>
      </w:pPr>
      <w:r>
        <w:rPr>
          <w:sz w:val="19"/>
          <w:szCs w:val="19"/>
        </w:rPr>
        <w:t xml:space="preserve">Do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replacement cost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item by item, by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directly   ·   abnormally   ·   question   ·   category   ·   compare</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compare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dollars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category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Chickpeas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category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Values are per case in whole dollars. For each line, market is the middle of the three limits, and LCM is the lower of cost and market.</w:t>
      </w:r>
    </w:p>
    <w:p>
      <w:pPr>
        <w:spacing w:before="20" w:after="20"/>
        <w:ind w:left="240" w:hanging="240"/>
      </w:pPr>
      <w:r>
        <w:rPr>
          <w:b/>
          <w:bCs/>
          <w:color w:val="353A7C"/>
          <w:sz w:val="15"/>
          <w:szCs w:val="15"/>
        </w:rPr>
        <w:t xml:space="preserve">Summary 3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4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destroyed</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cost-to-retail ratio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Complete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boxes using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retail method. </w:t>
      </w:r>
      <w:r>
        <w:rPr>
          <w:sz w:val="19"/>
          <w:szCs w:val="19"/>
        </w:rPr>
        <w:t xml:space="preserve">A LIFO retail method also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and adds a new layer each year at that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ratio. </w:t>
      </w:r>
      <w:r>
        <w:rPr>
          <w:sz w:val="19"/>
          <w:szCs w:val="19"/>
        </w:rPr>
        <w:t xml:space="preserve">The exam tests it less often. </w:t>
      </w:r>
      <w:r>
        <w:rPr>
          <w:sz w:val="19"/>
          <w:szCs w:val="19"/>
        </w:rPr>
        <w:t xml:space="preserve">The gross profit method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interim reports, to check a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annual financial statements.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warehouse in Jebel Ali. </w:t>
      </w:r>
      <w:r>
        <w:rPr>
          <w:sz w:val="19"/>
          <w:szCs w:val="19"/>
        </w:rPr>
        <w:t xml:space="preserve">Beginning inventory was $80,000,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purchases   ·   destroyed   ·   exists   ·   shrinkage   ·   costing   ·   leaves   ·   physical   ·   markdowns   ·   acceptable   ·   year's   ·   estimates   ·   conventional   ·   dashed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available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exists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dashed</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Complete the dashed boxes using the conventional retail method. 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No method is best in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on some goals and weak on others.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situation   ·   weighted   ·   strong</w:t>
            </w:r>
          </w:p>
        </w:tc>
      </w:tr>
    </w:tbl>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Between the two   ·   Cost of records   ·   Balance sheet (inventory)</w:t>
            </w:r>
          </w:p>
        </w:tc>
      </w:tr>
    </w:tbl>
    <w:p/>
    <w:p>
      <w:pPr>
        <w:spacing w:before="44" w:after="14"/>
      </w:pPr>
      <w:r>
        <w:rPr>
          <w:b/>
          <w:bCs/>
          <w:color w:val="353A7C"/>
          <w:sz w:val="18"/>
          <w:szCs w:val="18"/>
        </w:rPr>
        <w:t xml:space="preserve">Summary 2</w:t>
      </w:r>
      <w:r>
        <w:rPr>
          <w:color w:val="6B7280"/>
          <w:sz w:val="16"/>
          <w:szCs w:val="16"/>
        </w:rPr>
        <w:t xml:space="preserve">      gaps 5–13</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statements   ·   strengths   ·   identical   ·   out-of-date   ·   ceiling   ·   manipulate   ·   smooths   ·   prices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situation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identical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strong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 sheet (inventory)</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 of records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No method is best in every situation. Each one is strong on some goals and weak on others.</w:t>
      </w:r>
    </w:p>
    <w:p>
      <w:pPr>
        <w:spacing w:before="20" w:after="20"/>
        <w:ind w:left="240" w:hanging="240"/>
      </w:pPr>
      <w:r>
        <w:rPr>
          <w:b/>
          <w:bCs/>
          <w:color w:val="353A7C"/>
          <w:sz w:val="15"/>
          <w:szCs w:val="15"/>
        </w:rPr>
        <w:t xml:space="preserve">Summary 2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edb5ab9d7c91d775501d61b6ee2e8f96dc509cd.png" Type="http://schemas.openxmlformats.org/officeDocument/2006/relationships/image"/><Relationship Id="rId102" Target="media/1e08ac3cb744318270531de87752c4c4d74589e3.png" Type="http://schemas.openxmlformats.org/officeDocument/2006/relationships/image"/><Relationship Id="rId103" Target="media/67b035e8a54802842b2b2062c45b9e17080ec6d4.png" Type="http://schemas.openxmlformats.org/officeDocument/2006/relationships/image"/><Relationship Id="rId104" Target="media/465390ead1112a179f95aac641fc911ce0d1b18d.png" Type="http://schemas.openxmlformats.org/officeDocument/2006/relationships/image"/><Relationship Id="rId105" Target="media/1235e892a8f777b9628458365848e39d7acdec27.png" Type="http://schemas.openxmlformats.org/officeDocument/2006/relationships/image"/><Relationship Id="rId106" Target="media/ce5485de9a2a57634b2f77957276f20369ca7f19.png" Type="http://schemas.openxmlformats.org/officeDocument/2006/relationships/image"/><Relationship Id="rId107" Target="media/2f2b395c51d2599f16674019ad8bb92abbf954e5.png" Type="http://schemas.openxmlformats.org/officeDocument/2006/relationships/image"/><Relationship Id="rId108" Target="media/fb14663fd5ba47eb16d9776a523adf7d4b7c683e.png" Type="http://schemas.openxmlformats.org/officeDocument/2006/relationships/image"/><Relationship Id="rId109" Target="media/b00ea7490dd164b3af8b631a42d8342e53a455f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dc:title>
  <dc:subject>Summary handouts</dc:subject>
  <cp:category>Student Book</cp:category>
</cp:coreProperties>
</file>