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acquire   ·   equipment   ·   demolition   ·   maintenance   ·   purchase   ·   several   ·   relative   ·   construction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Actual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Complete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prospective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Complete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schedule. </w:t>
      </w:r>
      <w:r>
        <w:rPr>
          <w:sz w:val="19"/>
          <w:szCs w:val="19"/>
        </w:rPr>
        <w:t xml:space="preserve">A new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composite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   ·   capitalized   ·   accounting   ·   straight-line   ·   useful   ·   composite   ·   remaining   ·   double-declining   ·   delivery   ·   expensing   ·   restate   ·   preferable   ·   Suppose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increases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double-declining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Complete the double-declining schedule.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if use is fairly even. </w:t>
      </w:r>
      <w:r>
        <w:rPr>
          <w:sz w:val="19"/>
          <w:szCs w:val="19"/>
        </w:rPr>
        <w:t xml:space="preserve">Other factors can support the choice: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production   ·   matches   ·   management's   ·   benefits   ·   separate   ·   straight-line   ·   comparability   ·   acceptable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In a Level C question,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benefits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amount   ·   involuntary conversion   ·   depreciable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involuntary 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   ·   records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beginning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24–35</w:t>
      </w:r>
    </w:p>
    <w:p>
      <w:pPr>
        <w:spacing w:before="20" w:after="20" w:line="360" w:lineRule="auto"/>
        <w:ind w:left="200"/>
      </w:pPr>
      <w:r>
        <w:rPr>
          <w:sz w:val="19"/>
          <w:szCs w:val="19"/>
        </w:rPr>
        <w:t xml:space="preserve">Otherwise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It also shows the rule for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development (R&amp;D): U.S. GAAP expenses R&amp;D as incurred, except for equipment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that have other future uses. </w:t>
      </w:r>
      <w:r>
        <w:rPr>
          <w:sz w:val="19"/>
          <w:szCs w:val="19"/>
        </w:rPr>
        <w:t xml:space="preserve">ASU 2025-06 changes when companies start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amount). </w:t>
      </w:r>
      <w:r>
        <w:rPr>
          <w:sz w:val="19"/>
          <w:szCs w:val="19"/>
        </w:rPr>
        <w:t xml:space="preserve">IFRS allows the reversal of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capitalizing   ·   discounted   ·   recoverable   ·   government   ·   impairment   ·   effective   ·   applies   ·   unit's   ·   one-year   ·   tested   ·   research   ·   facilities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36–40</w:t>
      </w:r>
    </w:p>
    <w:p>
      <w:pPr>
        <w:spacing w:before="20" w:after="20" w:line="360" w:lineRule="auto"/>
        <w:ind w:left="200"/>
      </w:pPr>
      <w:r>
        <w:rPr>
          <w:sz w:val="19"/>
          <w:szCs w:val="19"/>
        </w:rPr>
        <w:t xml:space="preserve">Step 1 uses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(42)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Year 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Year 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400"/>
            <w:tcMar>
              <w:top w:type="dxa" w:w="50"/>
              <w:left w:type="dxa" w:w="110"/>
              <w:bottom w:type="dxa" w:w="50"/>
              <w:right w:type="dxa" w:w="110"/>
            </w:tcMar>
          </w:tcPr>
          <w:p>
            <w:pPr>
              <w:spacing w:before="28" w:after="28"/>
            </w:pPr>
            <w:r>
              <w:rPr>
                <w:sz w:val="15"/>
                <w:szCs w:val="15"/>
              </w:rPr>
              <w:t xml:space="preserve">Year 4</w:t>
            </w:r>
          </w:p>
        </w:tc>
        <w:tc>
          <w:tcPr>
            <w:tcW w:type="pct" w:w="2600"/>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w:t>
            </w:r>
          </w:p>
        </w:tc>
        <w:tc>
          <w:tcPr>
            <w:tcW w:type="pct" w:w="2600"/>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(48)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400"/>
            <w:tcMar>
              <w:top w:type="dxa" w:w="50"/>
              <w:left w:type="dxa" w:w="110"/>
              <w:bottom w:type="dxa" w:w="50"/>
              <w:right w:type="dxa" w:w="110"/>
            </w:tcMar>
          </w:tcPr>
          <w:p>
            <w:pPr>
              <w:spacing w:before="28" w:after="28"/>
            </w:pPr>
            <w:r>
              <w:rPr>
                <w:sz w:val="15"/>
                <w:szCs w:val="15"/>
              </w:rPr>
              <w:t xml:space="preserve">B</w:t>
            </w:r>
          </w:p>
        </w:tc>
        <w:tc>
          <w:tcPr>
            <w:tcW w:type="pct" w:w="2600"/>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(49)</w:t>
            </w:r>
          </w:p>
        </w:tc>
      </w:tr>
      <w:tr>
        <w:tc>
          <w:tcPr>
            <w:tcW w:type="pct" w:w="2400"/>
            <w:tcMar>
              <w:top w:type="dxa" w:w="50"/>
              <w:left w:type="dxa" w:w="110"/>
              <w:bottom w:type="dxa" w:w="50"/>
              <w:right w:type="dxa" w:w="110"/>
            </w:tcMar>
          </w:tcPr>
          <w:p>
            <w:pPr>
              <w:spacing w:before="28" w:after="28"/>
            </w:pPr>
            <w:r>
              <w:rPr>
                <w:sz w:val="15"/>
                <w:szCs w:val="15"/>
              </w:rPr>
              <w:t xml:space="preserve">V</w:t>
            </w:r>
          </w:p>
        </w:tc>
        <w:tc>
          <w:tcPr>
            <w:tcW w:type="pct" w:w="2600"/>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(50)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capitalizing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research</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reporting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It also shows the rule for research and development (R&amp;D): U.S. GAAP expenses R&amp;D as incurred, except for equipment and facilities that have other future uses.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9a78e68ea5c28c7993f9406368a6ecf213c4deb2.png" Type="http://schemas.openxmlformats.org/officeDocument/2006/relationships/image"/><Relationship Id="rId102" Target="media/12766161e94680159a2a21ae2ee0a457f938cdf7.png" Type="http://schemas.openxmlformats.org/officeDocument/2006/relationships/image"/><Relationship Id="rId103" Target="media/19a8f0638aa75a07518ee3e0a832d7a465424ec1.png" Type="http://schemas.openxmlformats.org/officeDocument/2006/relationships/image"/><Relationship Id="rId104" Target="media/e1b630ad262b1fe8c2900059e66f27b8c0ccccca.png" Type="http://schemas.openxmlformats.org/officeDocument/2006/relationships/image"/><Relationship Id="rId105" Target="media/95239b04230276ae52a00ec91eabbdc4c70fb25b.png" Type="http://schemas.openxmlformats.org/officeDocument/2006/relationships/image"/><Relationship Id="rId106" Target="media/ed46f9f1b2f5c2affe6908cc38b9197f1f9c1ac1.png" Type="http://schemas.openxmlformats.org/officeDocument/2006/relationships/image"/><Relationship Id="rId107" Target="media/d6466bce8f3cbfbee9aa4c85c55b95d20c73caac.png" Type="http://schemas.openxmlformats.org/officeDocument/2006/relationships/image"/><Relationship Id="rId108" Target="media/74c988504ab235d3e1218af4eb36c305eb3b82ee.png" Type="http://schemas.openxmlformats.org/officeDocument/2006/relationships/image"/><Relationship Id="rId109" Target="media/9dd87b9b12328c77c7e0e2a46945795ac59aa9ed.png" Type="http://schemas.openxmlformats.org/officeDocument/2006/relationships/image"/><Relationship Id="rId110" Target="media/f7e15f3041979c0f0800750646009153b0b2c194.png" Type="http://schemas.openxmlformats.org/officeDocument/2006/relationships/image"/><Relationship Id="rId111" Target="media/4f677b32f8d4af79e4848ac7bf3bd9641206d21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10</dc:title>
  <dc:subject>Summary handouts</dc:subject>
  <cp:category>Student Book</cp:category>
</cp:coreProperties>
</file>