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gain   ·   خسارة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Depreciation   ·   recognized   ·   fair value less cost to sell   ·   period cost   ·   principle   ·   systematic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Advertising and research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Comprehensive income is net income plus other comprehensive income. </w:t>
      </w:r>
      <w:r>
        <w:rPr>
          <w:sz w:val="19"/>
          <w:szCs w:val="19"/>
        </w:rPr>
        <w:t xml:space="preserve">U.S. OCI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holding gains and losses 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adjustments,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of cash-flow hedges, and some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gains and losses.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this adjustment, the same gain would be counted twice in comprehensive income: once in OCI when it arose, and again in net income on the sale. </w:t>
      </w:r>
      <w:r>
        <w:rPr>
          <w:sz w:val="19"/>
          <w:szCs w:val="19"/>
        </w:rPr>
        <w:t xml:space="preserve">Its value rises to $108,000 at the end of 2026,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it for $110,000 in 2027. </w:t>
      </w:r>
      <w:r>
        <w:rPr>
          <w:sz w:val="19"/>
          <w:szCs w:val="19"/>
        </w:rPr>
        <w:t xml:space="preserve">Over the two years, comprehensive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is $10,000: the total gain, counted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before   ·   Orontes   ·   pension   ·   effective   ·   Unrealized   ·   includes   ·   adjustments   ·   Without   ·   removes   ·   reclassification   ·   translation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After tax at 25%, OCI is $6,000, and AOCI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returns   ·   gain   ·   loss   ·   builds</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   gain   ·   effective   ·   Comprehensive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comprehensive income   ·   disposal group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builds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pension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before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 Its value rises to $108,000 at the end of 2026, and Orontes sells it for $110,000 in 2027. Over the two years, comprehensive income before tax is $10,000: the total gain, counted once.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criteria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p>
      <w:pPr>
        <w:spacing w:before="20" w:after="20" w:line="360" w:lineRule="auto"/>
        <w:ind w:left="200"/>
      </w:pPr>
      <w:r>
        <w:rPr>
          <w:sz w:val="19"/>
          <w:szCs w:val="19"/>
        </w:rPr>
        <w:t xml:space="preserve">The first two are done. Decide whether each of the others is a discontinued operation.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BFAF6" w:val="clear"/>
            <w:tcMar>
              <w:top w:type="dxa" w:w="50"/>
              <w:left w:type="dxa" w:w="110"/>
              <w:bottom w:type="dxa" w:w="50"/>
              <w:right w:type="dxa" w:w="110"/>
            </w:tcMar>
          </w:tcPr>
          <w:p>
            <w:pPr>
              <w:spacing w:before="28" w:after="28"/>
            </w:pPr>
            <w:r>
              <w:rPr>
                <w:sz w:val="15"/>
                <w:szCs w:val="15"/>
              </w:rPr>
              <w:t xml:space="preserve">No: not a strategic shift</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تحول استراتيجي   ·   component of an entity   ·   discontinued operation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Yes: a major line of business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loss.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r>
        <w:rPr>
          <w:sz w:val="19"/>
          <w:szCs w:val="19"/>
        </w:rPr>
        <w:t xml:space="preserve">It includes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goodwill left after the 2025 impairment. </w:t>
      </w:r>
      <w:r>
        <w:rPr>
          <w:sz w:val="19"/>
          <w:szCs w:val="19"/>
        </w:rPr>
        <w:t xml:space="preserve">The carrying amount of $3,180,000 is above fair value less cost to sell of $3,000,000, so Orontes records a loss of $180,000. </w:t>
      </w:r>
      <w:r>
        <w:rPr>
          <w:sz w:val="19"/>
          <w:szCs w:val="19"/>
        </w:rPr>
        <w:t xml:space="preserve">This is the disposal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discontinued   ·   held-for-sale   ·   component   ·   reasonable   ·   approved   ·   recognized   ·   write-down   ·   became   ·   impairment   ·   measured   ·   management   ·   frozen-foods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Board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impairment</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fair value less cost to sell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frozen-foods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 It includes the frozen-foods goodwill left after the 2025 impairment. The carrying amount of $3,180,000 is above fair value less cost to sell of $3,000,000, so Orontes records a loss of $180,000. This is the disposal loss.</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r>
        <w:rPr>
          <w:sz w:val="19"/>
          <w:szCs w:val="19"/>
        </w:rPr>
        <w:t xml:space="preserve">Under IFRS 5, a discontinued operation must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major line of business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area, and earlier balance sheets are not re-presented. </w:t>
      </w:r>
      <w:r>
        <w:rPr>
          <w:sz w:val="19"/>
          <w:szCs w:val="19"/>
        </w:rPr>
        <w:t xml:space="preserve">Some IFRS OCI items, such as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never return to profit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Held-for-sale   ·   gain   ·   geographical   ·   per-share   ·   Public   ·   remeasurement   ·   liabilities   ·   presented   ·   reclassified   ·   separate   ·   revaluation</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U.S. GAAP has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discontinued   ·   extraordinary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Re-presented: assets and liabilities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geographical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discontinued operation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 Under IFRS 5, a discontinued operation must be a separate major line of business or geographical area, and earlier balance sheets are not re-presented. Some IFRS OCI items, such as a revaluation surplus, never return to profit or loss.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079310665d3ec6b15530441b6fd27cf6232cd22.png" Type="http://schemas.openxmlformats.org/officeDocument/2006/relationships/image"/><Relationship Id="rId102" Target="media/a34c5c335e1eea830c4aba924780d8451d823039.png" Type="http://schemas.openxmlformats.org/officeDocument/2006/relationships/image"/><Relationship Id="rId103" Target="media/e561da45ab32e9c87b22cd6886f342742441c0ae.png" Type="http://schemas.openxmlformats.org/officeDocument/2006/relationships/image"/><Relationship Id="rId104" Target="media/1b660a4227facfb2837c9d3c96cc96d377049ac8.png" Type="http://schemas.openxmlformats.org/officeDocument/2006/relationships/image"/><Relationship Id="rId105" Target="media/c69ec0cc02be2b096d814ceb126f53881cebef7f.png" Type="http://schemas.openxmlformats.org/officeDocument/2006/relationships/image"/><Relationship Id="rId106" Target="media/b35c9359080247d48bbb7bc6a813eb581bc1996b.png" Type="http://schemas.openxmlformats.org/officeDocument/2006/relationships/image"/><Relationship Id="rId107" Target="media/cf8da8baf689a174df57c4d380656786e7efe350.png" Type="http://schemas.openxmlformats.org/officeDocument/2006/relationships/image"/><Relationship Id="rId108" Target="media/50d5f7e827be402988e67ee439e88e4dea4bce3a.png" Type="http://schemas.openxmlformats.org/officeDocument/2006/relationships/image"/><Relationship Id="rId109" Target="media/9c355cdd3f46465d071e1e733b4c8b971ae669aa.png" Type="http://schemas.openxmlformats.org/officeDocument/2006/relationships/image"/><Relationship Id="rId110" Target="media/b9e5e6217cb3aaa76e1c93107d88fa33e942f56c.png" Type="http://schemas.openxmlformats.org/officeDocument/2006/relationships/image"/><Relationship Id="rId111" Target="media/877c10b6da609cbaf2770a1b493aa09de30203f9.png" Type="http://schemas.openxmlformats.org/officeDocument/2006/relationships/image"/><Relationship Id="rId112" Target="media/8dbd7f53dd4a81ac7a1766493303d101282caf55.png" Type="http://schemas.openxmlformats.org/officeDocument/2006/relationships/image"/><Relationship Id="rId113" Target="media/7c8d5a4e739763d43ff4204220546ccca020653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15</dc:title>
  <dc:subject>Summary handouts</dc:subject>
  <cp:category>Student Book</cp:category>
</cp:coreProperties>
</file>