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 exam uses noncontrolling interest. It is equity, never a liability.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consolidation   ·   equity method   ·   joint venture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venture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reduces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spacing w:before="20" w:after="20" w:line="360" w:lineRule="auto"/>
        <w:ind w:left="200"/>
      </w:pPr>
      <w:r>
        <w:rPr>
          <w:sz w:val="19"/>
          <w:szCs w:val="19"/>
        </w:rPr>
        <w:t xml:space="preserve">Complete the five blanks.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1,900,000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Less: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on the PP&amp;E step-up (1,200,000 ÷ 10 years)</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Adjusted net income of Levant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share (20%)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Less: dividends paid to NCI</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NCI at January 1, 2027 (fair value)   ·   Less: upstream unrealized profit   ·   depreciation   ·   Levant's 2027 net income   ·   Truck sold for 90,000 (carrying 60,000)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equity-method   ·   intercompany   ·   eliminated   ·   Downstream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NCI at January 1, 2027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Levant's 2027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upstream 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c7a846fa8aa7fca3e04c9f34bc7999a8ff338de.png" Type="http://schemas.openxmlformats.org/officeDocument/2006/relationships/image"/><Relationship Id="rId102" Target="media/5ab5dce138e136ad1f50b9018c266d193d440dc5.png" Type="http://schemas.openxmlformats.org/officeDocument/2006/relationships/image"/><Relationship Id="rId103" Target="media/53fe57f55846d83123cdc7cf041eea71b0a9a99c.png" Type="http://schemas.openxmlformats.org/officeDocument/2006/relationships/image"/><Relationship Id="rId104" Target="media/7fa5922cae2d4a0a3e530ecf3e9762ed89aa8a33.png" Type="http://schemas.openxmlformats.org/officeDocument/2006/relationships/image"/><Relationship Id="rId105" Target="media/3049647d6c1e0fc22a08f7b7ff5ec90e142c3937.png" Type="http://schemas.openxmlformats.org/officeDocument/2006/relationships/image"/><Relationship Id="rId106" Target="media/bbdfdd997fbc407477f3cde0be304b64fe1261ee.png" Type="http://schemas.openxmlformats.org/officeDocument/2006/relationships/image"/><Relationship Id="rId107" Target="media/818fa4282922ea543584a790d1f4091b5f45762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dc:title>
  <dc:subject>Summary handouts</dc:subject>
  <cp:category>Student Book</cp:category>
</cp:coreProperties>
</file>