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2.1  Four cost behaviors</w:t>
            </w:r>
          </w:p>
          <w:p>
            <w:pPr>
              <w:spacing w:before="0" w:after="46"/>
            </w:pPr>
            <w:r>
              <w:rPr>
                <w:color w:val="E8EAF6"/>
                <w:sz w:val="16"/>
                <w:szCs w:val="16"/>
              </w:rPr>
              <w:t xml:space="preserve">Chapter 2 · section 2.1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2,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Four cost behaviors   ·   The time frame: short run and long run   ·   Extended Example 2A: the Oils overhead budget,   ·   Total cost and cost per unit</w:t>
            </w:r>
          </w:p>
        </w:tc>
      </w:tr>
    </w:tbl>
    <w:p/>
    <w:p>
      <w:pPr>
        <w:spacing w:before="44" w:after="14"/>
      </w:pPr>
      <w:r>
        <w:rPr>
          <w:b/>
          <w:bCs/>
          <w:color w:val="353A7C"/>
          <w:sz w:val="18"/>
          <w:szCs w:val="18"/>
        </w:rPr>
        <w:t xml:space="preserve">Summary 1</w:t>
      </w:r>
      <w:r>
        <w:rPr>
          <w:color w:val="6B7280"/>
          <w:sz w:val="16"/>
          <w:szCs w:val="16"/>
        </w:rPr>
        <w:t xml:space="preserve">      gaps 4–12</w:t>
      </w:r>
    </w:p>
    <w:p>
      <w:pPr>
        <w:spacing w:before="20" w:after="20" w:line="360" w:lineRule="auto"/>
        <w:ind w:left="200"/>
      </w:pPr>
      <w:r>
        <w:rPr>
          <w:sz w:val="19"/>
          <w:szCs w:val="19"/>
        </w:rPr>
        <w:t xml:space="preserve">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cost changes in total in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to activity. </w:t>
      </w:r>
      <w:r>
        <w:rPr>
          <w:sz w:val="19"/>
          <w:szCs w:val="19"/>
        </w:rPr>
        <w:t xml:space="preserve">Power for the crushers costs $5 for every machine hour, so twice the hours means twice the power bill. </w:t>
      </w:r>
      <w:r>
        <w:rPr>
          <w:sz w:val="19"/>
          <w:szCs w:val="19"/>
        </w:rPr>
        <w:t xml:space="preserve">A fixed cost stays the same in total when activity changes. </w:t>
      </w:r>
      <w:r>
        <w:rPr>
          <w:sz w:val="19"/>
          <w:szCs w:val="19"/>
        </w:rPr>
        <w:t xml:space="preserve">Factory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costs $420,000 a year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crushers run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or a lot. </w:t>
      </w:r>
      <w:r>
        <w:rPr>
          <w:sz w:val="19"/>
          <w:szCs w:val="19"/>
        </w:rPr>
        <w:t xml:space="preserve">A mixed cost has both parts: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and utilities cost $216,000 a year plus $12 per machine hour. </w:t>
      </w:r>
      <w:r>
        <w:rPr>
          <w:sz w:val="19"/>
          <w:szCs w:val="19"/>
        </w:rPr>
        <w:t xml:space="preserve">A step cost is fixed over a band of activity and then jumps. </w:t>
      </w:r>
      <w:r>
        <w:rPr>
          <w:sz w:val="19"/>
          <w:szCs w:val="19"/>
        </w:rPr>
        <w:t xml:space="preserve">Above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range, Oils needs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shift, which adds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costing $180,000.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supervision   ·   variable   ·   relevant   ·   proportion   ·   supervisor   ·   whether   ·   maintenance   ·   machine   ·   little   ·   second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62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625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mixed cost   ·   step cost   ·   cost behavior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cost behavior</w:t>
            </w:r>
          </w:p>
        </w:tc>
        <w:tc>
          <w:tcPr>
            <w:tcW w:type="pct" w:w="2600"/>
            <w:tcMar>
              <w:top w:type="dxa" w:w="50"/>
              <w:left w:type="dxa" w:w="110"/>
              <w:bottom w:type="dxa" w:w="50"/>
              <w:right w:type="dxa" w:w="110"/>
            </w:tcMar>
          </w:tcPr>
          <w:p>
            <w:pPr>
              <w:spacing w:before="26" w:after="26"/>
            </w:pPr>
            <w:r>
              <w:rPr>
                <w:color w:val="232733"/>
                <w:sz w:val="16"/>
                <w:szCs w:val="16"/>
              </w:rPr>
              <w:t xml:space="preserve">سلوك التكلفة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variable cost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التكلفة المتغيرة</w:t>
            </w:r>
          </w:p>
        </w:tc>
      </w:tr>
      <w:tr>
        <w:tc>
          <w:tcPr>
            <w:tcW w:type="pct" w:w="2400"/>
            <w:tcMar>
              <w:top w:type="dxa" w:w="50"/>
              <w:left w:type="dxa" w:w="110"/>
              <w:bottom w:type="dxa" w:w="50"/>
              <w:right w:type="dxa" w:w="110"/>
            </w:tcMar>
          </w:tcPr>
          <w:p>
            <w:pPr>
              <w:spacing w:before="26" w:after="26"/>
            </w:pPr>
            <w:r>
              <w:rPr>
                <w:color w:val="232733"/>
                <w:sz w:val="16"/>
                <w:szCs w:val="16"/>
              </w:rPr>
              <w:t xml:space="preserve">fixed cost</w:t>
            </w:r>
          </w:p>
        </w:tc>
        <w:tc>
          <w:tcPr>
            <w:tcW w:type="pct" w:w="2600"/>
            <w:tcMar>
              <w:top w:type="dxa" w:w="50"/>
              <w:left w:type="dxa" w:w="110"/>
              <w:bottom w:type="dxa" w:w="50"/>
              <w:right w:type="dxa" w:w="110"/>
            </w:tcMar>
          </w:tcPr>
          <w:p>
            <w:pPr>
              <w:spacing w:before="26" w:after="26"/>
            </w:pPr>
            <w:r>
              <w:rPr>
                <w:color w:val="232733"/>
                <w:sz w:val="16"/>
                <w:szCs w:val="16"/>
              </w:rPr>
              <w:t xml:space="preserve">التكلفة الثابتة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mixed cost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التكلفة المختلطة (شبه المتغيرة)</w:t>
            </w:r>
          </w:p>
        </w:tc>
      </w:tr>
      <w:tr>
        <w:tc>
          <w:tcPr>
            <w:tcW w:type="pct" w:w="2400"/>
            <w:tcMar>
              <w:top w:type="dxa" w:w="50"/>
              <w:left w:type="dxa" w:w="110"/>
              <w:bottom w:type="dxa" w:w="50"/>
              <w:right w:type="dxa" w:w="110"/>
            </w:tcMar>
          </w:tcPr>
          <w:p>
            <w:pPr>
              <w:spacing w:before="26" w:after="26"/>
            </w:pPr>
            <w:r>
              <w:rPr>
                <w:color w:val="232733"/>
                <w:sz w:val="16"/>
                <w:szCs w:val="16"/>
              </w:rPr>
              <w:t xml:space="preserve">step cost</w:t>
            </w:r>
          </w:p>
        </w:tc>
        <w:tc>
          <w:tcPr>
            <w:tcW w:type="pct" w:w="2600"/>
            <w:tcMar>
              <w:top w:type="dxa" w:w="50"/>
              <w:left w:type="dxa" w:w="110"/>
              <w:bottom w:type="dxa" w:w="50"/>
              <w:right w:type="dxa" w:w="110"/>
            </w:tcMar>
          </w:tcPr>
          <w:p>
            <w:pPr>
              <w:spacing w:before="26" w:after="26"/>
            </w:pPr>
            <w:r>
              <w:rPr>
                <w:color w:val="232733"/>
                <w:sz w:val="16"/>
                <w:szCs w:val="16"/>
              </w:rPr>
              <w:t xml:space="preserve">التكلفة المتدرجة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2.1  Four cost behaviors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Four cost behaviors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little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time frame: short run and long run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maintenance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2A: the Oils overhead budget,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relevant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second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proportion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supervisor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supervision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cost behavior</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whether</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step cost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variable cost changes in total in proportion to activity. Power for the crushers costs $5 for every machine hour, so twice the hours means twice the power bill. A fixed cost stays the same in total when activity changes. Factory supervision costs $420,000 a year whether the crushers run a little or a lot. A mixed cost has both parts: maintenance and utilities cost $216,000 a year plus $12 per machine hour. A step cost is fixed over a band of activity and then jumps. Above the relevant range, Oils needs a second shift, which adds a supervisor costing $180,000.</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2.2  Total cost and cost per unit</w:t>
            </w:r>
          </w:p>
          <w:p>
            <w:pPr>
              <w:spacing w:before="0" w:after="46"/>
            </w:pPr>
            <w:r>
              <w:rPr>
                <w:color w:val="E8EAF6"/>
                <w:sz w:val="16"/>
                <w:szCs w:val="16"/>
              </w:rPr>
              <w:t xml:space="preserve">Chapter 2 · section 2.2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The two basic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look opposite when you divide by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Variable cost is constant per unit but changes in total. </w:t>
      </w:r>
      <w:r>
        <w:rPr>
          <w:sz w:val="19"/>
          <w:szCs w:val="19"/>
        </w:rPr>
        <w:t xml:space="preserve">Fixed cost is constant in total but changes per unit: the more hours, the lower the fixed cost per hour. </w:t>
      </w:r>
      <w:r>
        <w:rPr>
          <w:sz w:val="19"/>
          <w:szCs w:val="19"/>
        </w:rPr>
        <w:t xml:space="preserve">Total fixed overhead stays at $2,100,569, but fixed overhead per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hour falls from $70.02 to $43.76. </w:t>
      </w:r>
      <w:r>
        <w:rPr>
          <w:sz w:val="19"/>
          <w:szCs w:val="19"/>
        </w:rPr>
        <w:t xml:space="preserve">Variable overhead stays at $20 per hour.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behaviors   ·   machine   ·   activity   ·   constant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783"/>
        <w:gridCol w:w="1803"/>
        <w:gridCol w:w="1790"/>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Oils overhead in total and per machine hour at three volumes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Oils overhead, FY2027 (whole USD)</w:t>
            </w:r>
          </w:p>
        </w:tc>
        <w:tc>
          <w:tcPr>
            <w:tcW w:type="pct" w:w="929"/>
            <w:shd w:fill="353A7C" w:val="clear"/>
            <w:tcMar>
              <w:top w:type="dxa" w:w="50"/>
              <w:left w:type="dxa" w:w="110"/>
              <w:bottom w:type="dxa" w:w="50"/>
              <w:right w:type="dxa" w:w="110"/>
            </w:tcMar>
          </w:tcPr>
          <w:p>
            <w:pPr>
              <w:spacing w:before="30" w:after="30"/>
            </w:pPr>
            <w:r>
              <w:rPr>
                <w:b/>
                <w:bCs/>
                <w:color w:val="FFFFFF"/>
                <w:sz w:val="15"/>
                <w:szCs w:val="15"/>
              </w:rPr>
              <w:t xml:space="preserve">Low</w:t>
            </w:r>
          </w:p>
        </w:tc>
        <w:tc>
          <w:tcPr>
            <w:tcW w:type="pct" w:w="939"/>
            <w:shd w:fill="353A7C" w:val="clear"/>
            <w:tcMar>
              <w:top w:type="dxa" w:w="50"/>
              <w:left w:type="dxa" w:w="110"/>
              <w:bottom w:type="dxa" w:w="50"/>
              <w:right w:type="dxa" w:w="110"/>
            </w:tcMar>
          </w:tcPr>
          <w:p>
            <w:pPr>
              <w:spacing w:before="30" w:after="30"/>
            </w:pPr>
            <w:r>
              <w:rPr>
                <w:b/>
                <w:bCs/>
                <w:color w:val="FFFFFF"/>
                <w:sz w:val="15"/>
                <w:szCs w:val="15"/>
              </w:rPr>
              <w:t xml:space="preserve">Budget</w:t>
            </w:r>
          </w:p>
        </w:tc>
        <w:tc>
          <w:tcPr>
            <w:tcW w:type="pct" w:w="932"/>
            <w:shd w:fill="353A7C" w:val="clear"/>
            <w:tcMar>
              <w:top w:type="dxa" w:w="50"/>
              <w:left w:type="dxa" w:w="110"/>
              <w:bottom w:type="dxa" w:w="50"/>
              <w:right w:type="dxa" w:w="110"/>
            </w:tcMar>
          </w:tcPr>
          <w:p>
            <w:pPr>
              <w:spacing w:before="30" w:after="30"/>
            </w:pPr>
            <w:r>
              <w:rPr>
                <w:b/>
                <w:bCs/>
                <w:color w:val="FFFFFF"/>
                <w:sz w:val="15"/>
                <w:szCs w:val="15"/>
              </w:rPr>
              <w:t xml:space="preserve">High</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929"/>
            <w:tcMar>
              <w:top w:type="dxa" w:w="50"/>
              <w:left w:type="dxa" w:w="110"/>
              <w:bottom w:type="dxa" w:w="50"/>
              <w:right w:type="dxa" w:w="110"/>
            </w:tcMar>
          </w:tcPr>
          <w:p>
            <w:pPr>
              <w:spacing w:before="28" w:after="28"/>
            </w:pPr>
            <w:r>
              <w:rPr>
                <w:sz w:val="15"/>
                <w:szCs w:val="15"/>
              </w:rPr>
              <w:t xml:space="preserve">30,000</w:t>
            </w:r>
          </w:p>
        </w:tc>
        <w:tc>
          <w:tcPr>
            <w:tcW w:type="pct" w:w="939"/>
            <w:tcMar>
              <w:top w:type="dxa" w:w="50"/>
              <w:left w:type="dxa" w:w="110"/>
              <w:bottom w:type="dxa" w:w="50"/>
              <w:right w:type="dxa" w:w="110"/>
            </w:tcMar>
          </w:tcPr>
          <w:p>
            <w:pPr>
              <w:spacing w:before="28" w:after="28"/>
            </w:pPr>
            <w:r>
              <w:rPr>
                <w:sz w:val="15"/>
                <w:szCs w:val="15"/>
              </w:rPr>
              <w:t xml:space="preserve">38,400</w:t>
            </w:r>
          </w:p>
        </w:tc>
        <w:tc>
          <w:tcPr>
            <w:tcW w:type="pct" w:w="932"/>
            <w:tcMar>
              <w:top w:type="dxa" w:w="50"/>
              <w:left w:type="dxa" w:w="110"/>
              <w:bottom w:type="dxa" w:w="50"/>
              <w:right w:type="dxa" w:w="110"/>
            </w:tcMar>
          </w:tcPr>
          <w:p>
            <w:pPr>
              <w:spacing w:before="28" w:after="28"/>
            </w:pPr>
            <w:r>
              <w:rPr>
                <w:sz w:val="15"/>
                <w:szCs w:val="15"/>
              </w:rPr>
              <w:t xml:space="preserve">48,000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Total fixed overhead</w:t>
            </w:r>
          </w:p>
        </w:tc>
        <w:tc>
          <w:tcPr>
            <w:tcW w:type="pct" w:w="929"/>
            <w:shd w:fill="FBFAF6" w:val="clear"/>
            <w:tcMar>
              <w:top w:type="dxa" w:w="50"/>
              <w:left w:type="dxa" w:w="110"/>
              <w:bottom w:type="dxa" w:w="50"/>
              <w:right w:type="dxa" w:w="110"/>
            </w:tcMar>
          </w:tcPr>
          <w:p>
            <w:pPr>
              <w:spacing w:before="28" w:after="28"/>
            </w:pPr>
            <w:r>
              <w:rPr>
                <w:sz w:val="15"/>
                <w:szCs w:val="15"/>
              </w:rPr>
              <w:t xml:space="preserve">2,100,569</w:t>
            </w:r>
          </w:p>
        </w:tc>
        <w:tc>
          <w:tcPr>
            <w:tcW w:type="pct" w:w="939"/>
            <w:shd w:fill="FBFAF6" w:val="clear"/>
            <w:tcMar>
              <w:top w:type="dxa" w:w="50"/>
              <w:left w:type="dxa" w:w="110"/>
              <w:bottom w:type="dxa" w:w="50"/>
              <w:right w:type="dxa" w:w="110"/>
            </w:tcMar>
          </w:tcPr>
          <w:p>
            <w:pPr>
              <w:spacing w:before="28" w:after="28"/>
            </w:pPr>
            <w:r>
              <w:rPr>
                <w:sz w:val="15"/>
                <w:szCs w:val="15"/>
              </w:rPr>
              <w:t xml:space="preserve">2,100,569</w:t>
            </w:r>
          </w:p>
        </w:tc>
        <w:tc>
          <w:tcPr>
            <w:tcW w:type="pct" w:w="932"/>
            <w:shd w:fill="FBFAF6" w:val="clear"/>
            <w:tcMar>
              <w:top w:type="dxa" w:w="50"/>
              <w:left w:type="dxa" w:w="110"/>
              <w:bottom w:type="dxa" w:w="50"/>
              <w:right w:type="dxa" w:w="110"/>
            </w:tcMar>
          </w:tcPr>
          <w:p>
            <w:pPr>
              <w:spacing w:before="28" w:after="28"/>
            </w:pPr>
            <w:r>
              <w:rPr>
                <w:sz w:val="15"/>
                <w:szCs w:val="15"/>
              </w:rPr>
              <w:t xml:space="preserve">2,100,569</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929"/>
            <w:tcMar>
              <w:top w:type="dxa" w:w="50"/>
              <w:left w:type="dxa" w:w="110"/>
              <w:bottom w:type="dxa" w:w="50"/>
              <w:right w:type="dxa" w:w="110"/>
            </w:tcMar>
          </w:tcPr>
          <w:p>
            <w:pPr>
              <w:spacing w:before="28" w:after="28"/>
            </w:pPr>
            <w:r>
              <w:rPr>
                <w:sz w:val="15"/>
                <w:szCs w:val="15"/>
              </w:rPr>
              <w:t xml:space="preserve">$70.02</w:t>
            </w:r>
          </w:p>
        </w:tc>
        <w:tc>
          <w:tcPr>
            <w:tcW w:type="pct" w:w="939"/>
            <w:tcMar>
              <w:top w:type="dxa" w:w="50"/>
              <w:left w:type="dxa" w:w="110"/>
              <w:bottom w:type="dxa" w:w="50"/>
              <w:right w:type="dxa" w:w="110"/>
            </w:tcMar>
          </w:tcPr>
          <w:p>
            <w:pPr>
              <w:spacing w:before="28" w:after="28"/>
            </w:pPr>
            <w:r>
              <w:rPr>
                <w:sz w:val="15"/>
                <w:szCs w:val="15"/>
              </w:rPr>
              <w:t xml:space="preserve">$54.70</w:t>
            </w:r>
          </w:p>
        </w:tc>
        <w:tc>
          <w:tcPr>
            <w:tcW w:type="pct" w:w="932"/>
            <w:tcMar>
              <w:top w:type="dxa" w:w="50"/>
              <w:left w:type="dxa" w:w="110"/>
              <w:bottom w:type="dxa" w:w="50"/>
              <w:right w:type="dxa" w:w="110"/>
            </w:tcMar>
          </w:tcPr>
          <w:p>
            <w:pPr>
              <w:spacing w:before="28" w:after="28"/>
            </w:pPr>
            <w:r>
              <w:rPr>
                <w:sz w:val="15"/>
                <w:szCs w:val="15"/>
              </w:rPr>
              <w:t xml:space="preserve">$43.76</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929"/>
            <w:shd w:fill="FBFAF6" w:val="clear"/>
            <w:tcMar>
              <w:top w:type="dxa" w:w="50"/>
              <w:left w:type="dxa" w:w="110"/>
              <w:bottom w:type="dxa" w:w="50"/>
              <w:right w:type="dxa" w:w="110"/>
            </w:tcMar>
          </w:tcPr>
          <w:p>
            <w:pPr>
              <w:spacing w:before="28" w:after="28"/>
            </w:pPr>
            <w:r>
              <w:rPr>
                <w:sz w:val="15"/>
                <w:szCs w:val="15"/>
              </w:rPr>
              <w:t xml:space="preserve">600,000</w:t>
            </w:r>
          </w:p>
        </w:tc>
        <w:tc>
          <w:tcPr>
            <w:tcW w:type="pct" w:w="939"/>
            <w:shd w:fill="FBFAF6" w:val="clear"/>
            <w:tcMar>
              <w:top w:type="dxa" w:w="50"/>
              <w:left w:type="dxa" w:w="110"/>
              <w:bottom w:type="dxa" w:w="50"/>
              <w:right w:type="dxa" w:w="110"/>
            </w:tcMar>
          </w:tcPr>
          <w:p>
            <w:pPr>
              <w:spacing w:before="28" w:after="28"/>
            </w:pPr>
            <w:r>
              <w:rPr>
                <w:sz w:val="15"/>
                <w:szCs w:val="15"/>
              </w:rPr>
              <w:t xml:space="preserve">768,000</w:t>
            </w:r>
          </w:p>
        </w:tc>
        <w:tc>
          <w:tcPr>
            <w:tcW w:type="pct" w:w="932"/>
            <w:shd w:fill="FBFAF6" w:val="clear"/>
            <w:tcMar>
              <w:top w:type="dxa" w:w="50"/>
              <w:left w:type="dxa" w:w="110"/>
              <w:bottom w:type="dxa" w:w="50"/>
              <w:right w:type="dxa" w:w="110"/>
            </w:tcMar>
          </w:tcPr>
          <w:p>
            <w:pPr>
              <w:spacing w:before="28" w:after="28"/>
            </w:pPr>
            <w:r>
              <w:rPr>
                <w:sz w:val="15"/>
                <w:szCs w:val="15"/>
              </w:rPr>
              <w:t xml:space="preserve">960,000</w:t>
            </w:r>
          </w:p>
        </w:tc>
      </w:tr>
      <w:tr>
        <w:tc>
          <w:tcPr>
            <w:tcW w:type="pct" w:w="2200"/>
            <w:tcMar>
              <w:top w:type="dxa" w:w="50"/>
              <w:left w:type="dxa" w:w="110"/>
              <w:bottom w:type="dxa" w:w="50"/>
              <w:right w:type="dxa" w:w="110"/>
            </w:tcMar>
          </w:tcPr>
          <w:p>
            <w:pPr>
              <w:spacing w:before="28" w:after="28"/>
            </w:pPr>
            <w:r>
              <w:rPr>
                <w:sz w:val="15"/>
                <w:szCs w:val="15"/>
              </w:rPr>
              <w:t xml:space="preserve">Variable overhead per MH</w:t>
            </w:r>
          </w:p>
        </w:tc>
        <w:tc>
          <w:tcPr>
            <w:tcW w:type="pct" w:w="929"/>
            <w:tcMar>
              <w:top w:type="dxa" w:w="50"/>
              <w:left w:type="dxa" w:w="110"/>
              <w:bottom w:type="dxa" w:w="50"/>
              <w:right w:type="dxa" w:w="110"/>
            </w:tcMar>
          </w:tcPr>
          <w:p>
            <w:pPr>
              <w:spacing w:before="28" w:after="28"/>
            </w:pPr>
            <w:r>
              <w:rPr>
                <w:sz w:val="15"/>
                <w:szCs w:val="15"/>
              </w:rPr>
              <w:t xml:space="preserve">$20.00</w:t>
            </w:r>
          </w:p>
        </w:tc>
        <w:tc>
          <w:tcPr>
            <w:tcW w:type="pct" w:w="939"/>
            <w:tcMar>
              <w:top w:type="dxa" w:w="50"/>
              <w:left w:type="dxa" w:w="110"/>
              <w:bottom w:type="dxa" w:w="50"/>
              <w:right w:type="dxa" w:w="110"/>
            </w:tcMar>
          </w:tcPr>
          <w:p>
            <w:pPr>
              <w:spacing w:before="28" w:after="28"/>
            </w:pPr>
            <w:r>
              <w:rPr>
                <w:sz w:val="15"/>
                <w:szCs w:val="15"/>
              </w:rPr>
              <w:t xml:space="preserve">$20.00</w:t>
            </w:r>
          </w:p>
        </w:tc>
        <w:tc>
          <w:tcPr>
            <w:tcW w:type="pct" w:w="932"/>
            <w:tcMar>
              <w:top w:type="dxa" w:w="50"/>
              <w:left w:type="dxa" w:w="110"/>
              <w:bottom w:type="dxa" w:w="50"/>
              <w:right w:type="dxa" w:w="110"/>
            </w:tcMar>
          </w:tcPr>
          <w:p>
            <w:pPr>
              <w:spacing w:before="28" w:after="28"/>
            </w:pPr>
            <w:r>
              <w:rPr>
                <w:sz w:val="15"/>
                <w:szCs w:val="15"/>
              </w:rPr>
              <w:t xml:space="preserve">$20.00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Total overhead</w:t>
            </w:r>
          </w:p>
        </w:tc>
        <w:tc>
          <w:tcPr>
            <w:tcW w:type="pct" w:w="929"/>
            <w:shd w:fill="FBFAF6" w:val="clear"/>
            <w:tcMar>
              <w:top w:type="dxa" w:w="50"/>
              <w:left w:type="dxa" w:w="110"/>
              <w:bottom w:type="dxa" w:w="50"/>
              <w:right w:type="dxa" w:w="110"/>
            </w:tcMar>
          </w:tcPr>
          <w:p>
            <w:pPr>
              <w:spacing w:before="28" w:after="28"/>
            </w:pPr>
            <w:r>
              <w:rPr>
                <w:sz w:val="15"/>
                <w:szCs w:val="15"/>
              </w:rPr>
              <w:t xml:space="preserve">2,700,569</w:t>
            </w:r>
          </w:p>
        </w:tc>
        <w:tc>
          <w:tcPr>
            <w:tcW w:type="pct" w:w="939"/>
            <w:shd w:fill="FBFAF6" w:val="clear"/>
            <w:tcMar>
              <w:top w:type="dxa" w:w="50"/>
              <w:left w:type="dxa" w:w="110"/>
              <w:bottom w:type="dxa" w:w="50"/>
              <w:right w:type="dxa" w:w="110"/>
            </w:tcMar>
          </w:tcPr>
          <w:p>
            <w:pPr>
              <w:spacing w:before="28" w:after="28"/>
            </w:pPr>
            <w:r>
              <w:rPr>
                <w:sz w:val="15"/>
                <w:szCs w:val="15"/>
              </w:rPr>
              <w:t xml:space="preserve">2,868,569</w:t>
            </w:r>
          </w:p>
        </w:tc>
        <w:tc>
          <w:tcPr>
            <w:tcW w:type="pct" w:w="932"/>
            <w:shd w:fill="FBFAF6" w:val="clear"/>
            <w:tcMar>
              <w:top w:type="dxa" w:w="50"/>
              <w:left w:type="dxa" w:w="110"/>
              <w:bottom w:type="dxa" w:w="50"/>
              <w:right w:type="dxa" w:w="110"/>
            </w:tcMar>
          </w:tcPr>
          <w:p>
            <w:pPr>
              <w:spacing w:before="28" w:after="28"/>
            </w:pPr>
            <w:r>
              <w:rPr>
                <w:sz w:val="15"/>
                <w:szCs w:val="15"/>
              </w:rPr>
              <w:t xml:space="preserve">3,060,569</w:t>
            </w:r>
          </w:p>
        </w:tc>
      </w:tr>
      <w:tr>
        <w:tc>
          <w:tcPr>
            <w:tcW w:type="pct" w:w="2200"/>
            <w:tcMar>
              <w:top w:type="dxa" w:w="50"/>
              <w:left w:type="dxa" w:w="110"/>
              <w:bottom w:type="dxa" w:w="50"/>
              <w:right w:type="dxa" w:w="110"/>
            </w:tcMar>
          </w:tcPr>
          <w:p>
            <w:pPr>
              <w:spacing w:before="28" w:after="28"/>
            </w:pPr>
            <w:r>
              <w:rPr>
                <w:sz w:val="15"/>
                <w:szCs w:val="15"/>
              </w:rPr>
              <w:t xml:space="preserve">Total overhead per MH</w:t>
            </w:r>
          </w:p>
        </w:tc>
        <w:tc>
          <w:tcPr>
            <w:tcW w:type="pct" w:w="929"/>
            <w:tcMar>
              <w:top w:type="dxa" w:w="50"/>
              <w:left w:type="dxa" w:w="110"/>
              <w:bottom w:type="dxa" w:w="50"/>
              <w:right w:type="dxa" w:w="110"/>
            </w:tcMar>
          </w:tcPr>
          <w:p>
            <w:pPr>
              <w:spacing w:before="28" w:after="28"/>
            </w:pPr>
            <w:r>
              <w:rPr>
                <w:sz w:val="15"/>
                <w:szCs w:val="15"/>
              </w:rPr>
              <w:t xml:space="preserve">$90.02</w:t>
            </w:r>
          </w:p>
        </w:tc>
        <w:tc>
          <w:tcPr>
            <w:tcW w:type="pct" w:w="939"/>
            <w:tcMar>
              <w:top w:type="dxa" w:w="50"/>
              <w:left w:type="dxa" w:w="110"/>
              <w:bottom w:type="dxa" w:w="50"/>
              <w:right w:type="dxa" w:w="110"/>
            </w:tcMar>
          </w:tcPr>
          <w:p>
            <w:pPr>
              <w:spacing w:before="28" w:after="28"/>
            </w:pPr>
            <w:r>
              <w:rPr>
                <w:sz w:val="15"/>
                <w:szCs w:val="15"/>
              </w:rPr>
              <w:t xml:space="preserve">$74.70</w:t>
            </w:r>
          </w:p>
        </w:tc>
        <w:tc>
          <w:tcPr>
            <w:tcW w:type="pct" w:w="932"/>
            <w:tcMar>
              <w:top w:type="dxa" w:w="50"/>
              <w:left w:type="dxa" w:w="110"/>
              <w:bottom w:type="dxa" w:w="50"/>
              <w:right w:type="dxa" w:w="110"/>
            </w:tcMar>
          </w:tcPr>
          <w:p>
            <w:pPr>
              <w:spacing w:before="28" w:after="28"/>
            </w:pPr>
            <w:r>
              <w:rPr>
                <w:sz w:val="15"/>
                <w:szCs w:val="15"/>
              </w:rPr>
              <w:t xml:space="preserve">$63.76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Fixed overhead per MH   ·   Machine hours   ·   Total variable overhead ($20 per MH)   ·   relevant range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Fixed cost per unit is not fixed</w:t>
            </w:r>
          </w:p>
        </w:tc>
      </w:tr>
    </w:tbl>
    <w:p/>
    <w:p>
      <w:pPr>
        <w:spacing w:before="44" w:after="14"/>
      </w:pPr>
      <w:r>
        <w:rPr>
          <w:b/>
          <w:bCs/>
          <w:color w:val="353A7C"/>
          <w:sz w:val="18"/>
          <w:szCs w:val="18"/>
        </w:rPr>
        <w:t xml:space="preserve">Summary 2</w:t>
      </w:r>
      <w:r>
        <w:rPr>
          <w:color w:val="6B7280"/>
          <w:sz w:val="16"/>
          <w:szCs w:val="16"/>
        </w:rPr>
        <w:t xml:space="preserve">      gaps 7–9</w:t>
      </w:r>
    </w:p>
    <w:p>
      <w:pPr>
        <w:spacing w:before="20" w:after="20" w:line="360" w:lineRule="auto"/>
        <w:ind w:left="200"/>
      </w:pPr>
      <w:r>
        <w:rPr>
          <w:sz w:val="19"/>
          <w:szCs w:val="19"/>
        </w:rPr>
        <w:t xml:space="preserve">Do not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 fixed cost per unit by a new volume. </w:t>
      </w:r>
      <w:r>
        <w:rPr>
          <w:sz w:val="19"/>
          <w:szCs w:val="19"/>
        </w:rPr>
        <w:t xml:space="preserve">Fixed cost per unit was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at one volume only.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total fixed cost, then divide by the new volume if you need a unit figure.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Budget   ·   overhead   ·   computed   ·   multiply</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 behavior   ·   relevant range   ·   variable cost</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2.2  Total cost and cost per unit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behaviors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multiply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activity</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computed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machine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Machine hours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variable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Fixed overhead per MH</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relevant range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Total variable overhead ($20 per MH)</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two basic behaviors look opposite when you divide by activity. Variable cost is constant per unit but changes in total. Fixed cost is constant in total but changes per unit: the more hours, the lower the fixed cost per hour. Total fixed overhead stays at $2,100,569, but fixed overhead per machine hour falls from $70.02 to $43.76. Variable overhead stays at $20 per hour.</w:t>
      </w:r>
    </w:p>
    <w:p>
      <w:pPr>
        <w:spacing w:before="20" w:after="20"/>
        <w:ind w:left="240" w:hanging="240"/>
      </w:pPr>
      <w:r>
        <w:rPr>
          <w:b/>
          <w:bCs/>
          <w:color w:val="353A7C"/>
          <w:sz w:val="15"/>
          <w:szCs w:val="15"/>
        </w:rPr>
        <w:t xml:space="preserve">Summary 2   </w:t>
      </w:r>
      <w:r>
        <w:rPr>
          <w:color w:val="6B7280"/>
          <w:sz w:val="15"/>
          <w:szCs w:val="15"/>
        </w:rPr>
        <w:t xml:space="preserve">Do not multiply a fixed cost per unit by a new volume. Fixed cost per unit was computed at one volume only. Budget the total fixed cost, then divide by the new volume if you need a unit figure.</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2.3  The relevant range</w:t>
            </w:r>
          </w:p>
          <w:p>
            <w:pPr>
              <w:spacing w:before="0" w:after="46"/>
            </w:pPr>
            <w:r>
              <w:rPr>
                <w:color w:val="E8EAF6"/>
                <w:sz w:val="16"/>
                <w:szCs w:val="16"/>
              </w:rPr>
              <w:t xml:space="preserve">Chapter 2 · section 2.3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range is the band of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in which the cost behavior assumptions hold. </w:t>
      </w:r>
      <w:r>
        <w:rPr>
          <w:sz w:val="19"/>
          <w:szCs w:val="19"/>
        </w:rPr>
        <w:t xml:space="preserve">Oils has data from 2,000 to 4,300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hours a month.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that range, maintenance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follow $18,000 plus $12 per hour. </w:t>
      </w:r>
      <w:r>
        <w:rPr>
          <w:sz w:val="19"/>
          <w:szCs w:val="19"/>
        </w:rPr>
        <w:t xml:space="preserve">Outside the range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may fail. </w:t>
      </w:r>
      <w:r>
        <w:rPr>
          <w:sz w:val="19"/>
          <w:szCs w:val="19"/>
        </w:rPr>
        <w:t xml:space="preserve">Above 4,300 hours a month Oils must run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shift, so the fixed part jumps. </w:t>
      </w:r>
      <w:r>
        <w:rPr>
          <w:sz w:val="19"/>
          <w:szCs w:val="19"/>
        </w:rPr>
        <w:t xml:space="preserve">Below the range, the $18,000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only an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nobody has seen the plant at zero hours. </w:t>
      </w:r>
      <w:r>
        <w:rPr>
          <w:sz w:val="19"/>
          <w:szCs w:val="19"/>
        </w:rPr>
        <w:t xml:space="preserve">A change in assumptions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cost. </w:t>
      </w:r>
      <w:r>
        <w:rPr>
          <w:sz w:val="19"/>
          <w:szCs w:val="19"/>
        </w:rPr>
        <w:t xml:space="preserve">If a new contract turns the maintenance charge into a fixed fee, the cost becomes fixed. </w:t>
      </w:r>
      <w:r>
        <w:rPr>
          <w:sz w:val="19"/>
          <w:szCs w:val="19"/>
        </w:rPr>
        <w:t xml:space="preserve">If volume moves outside the range, a new cost function is needed.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Inside   ·   formula   ·   changes   ·   relevant   ·   behavior   ·   machine   ·   second   ·   activity   ·   utilities   ·   extrapolation   ·   intercept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relevant range</w:t>
            </w:r>
          </w:p>
        </w:tc>
        <w:tc>
          <w:tcPr>
            <w:tcW w:type="pct" w:w="2400"/>
            <w:tcMar>
              <w:top w:type="dxa" w:w="50"/>
              <w:left w:type="dxa" w:w="110"/>
              <w:bottom w:type="dxa" w:w="50"/>
              <w:right w:type="dxa" w:w="110"/>
            </w:tcMar>
          </w:tcPr>
          <w:p>
            <w:pPr>
              <w:spacing w:before="26" w:after="26"/>
            </w:pPr>
            <w:r>
              <w:rPr>
                <w:color w:val="232733"/>
                <w:sz w:val="16"/>
                <w:szCs w:val="16"/>
              </w:rPr>
              <w:t xml:space="preserve">المدى الملائم</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2.3  The relevant range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relevant</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formula</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activity</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second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machine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intercept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Inside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extrapolation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utilities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changes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relevant range is the band of activity in which the cost behavior assumptions hold. Oils has data from 2,000 to 4,300 machine hours a month. Inside that range, maintenance and utilities follow $18,000 plus $12 per hour. Outside the range the formula may fail. Above 4,300 hours a month Oils must run a second shift, so the fixed part jumps. Below the range, the $18,000 intercept is only an extrapolation: nobody has seen the plant at zero hours. A change in assumptions changes the cost. If a new contract turns the maintenance charge into a fixed fee, the cost becomes fixed. If volume moves outside the range, a new cost function is needed.</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2.4  The time frame: short run and long run</w:t>
            </w:r>
          </w:p>
          <w:p>
            <w:pPr>
              <w:spacing w:before="0" w:after="46"/>
            </w:pPr>
            <w:r>
              <w:rPr>
                <w:color w:val="E8EAF6"/>
                <w:sz w:val="16"/>
                <w:szCs w:val="16"/>
              </w:rPr>
              <w:t xml:space="preserve">Chapter 2 · section 2.4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Whether a cost is fixed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on the time frame. </w:t>
      </w:r>
      <w:r>
        <w:rPr>
          <w:sz w:val="19"/>
          <w:szCs w:val="19"/>
        </w:rPr>
        <w:t xml:space="preserve">In the short run, such as one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year, the press lease and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salaries cannot easily change. </w:t>
      </w:r>
      <w:r>
        <w:rPr>
          <w:sz w:val="19"/>
          <w:szCs w:val="19"/>
        </w:rPr>
        <w:t xml:space="preserve">In the long run,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can end the lease, change the staff or buy new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so every cost can change. </w:t>
      </w:r>
      <w:r>
        <w:rPr>
          <w:sz w:val="19"/>
          <w:szCs w:val="19"/>
        </w:rPr>
        <w:t xml:space="preserve">Some fixed costs come from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decisions, such as leases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these are committed fixed costs. </w:t>
      </w:r>
      <w:r>
        <w:rPr>
          <w:sz w:val="19"/>
          <w:szCs w:val="19"/>
        </w:rPr>
        <w:t xml:space="preserve">Others, such as training or advertising, are set each year by managers: these are discretionary fixed costs.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machines   ·   supervision   ·   long-term   ·   depends   ·   depreciation   ·   budget   ·   training   ·   Orontes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72"/>
        <w:gridCol w:w="2157"/>
        <w:gridCol w:w="2806"/>
        <w:gridCol w:w="1965"/>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Short run and long run: four Oils costs</w:t>
            </w:r>
          </w:p>
        </w:tc>
      </w:tr>
      <w:tr>
        <w:tc>
          <w:tcPr>
            <w:tcW w:type="pct" w:w="1392"/>
            <w:shd w:fill="353A7C" w:val="clear"/>
            <w:tcMar>
              <w:top w:type="dxa" w:w="50"/>
              <w:left w:type="dxa" w:w="110"/>
              <w:bottom w:type="dxa" w:w="50"/>
              <w:right w:type="dxa" w:w="110"/>
            </w:tcMar>
          </w:tcPr>
          <w:p>
            <w:pPr>
              <w:spacing w:before="30" w:after="30"/>
            </w:pPr>
            <w:r>
              <w:rPr>
                <w:b/>
                <w:bCs/>
                <w:color w:val="FFFFFF"/>
                <w:sz w:val="15"/>
                <w:szCs w:val="15"/>
              </w:rPr>
              <w:t xml:space="preserve">Oils cost</w:t>
            </w:r>
          </w:p>
        </w:tc>
        <w:tc>
          <w:tcPr>
            <w:tcW w:type="pct" w:w="1124"/>
            <w:shd w:fill="353A7C" w:val="clear"/>
            <w:tcMar>
              <w:top w:type="dxa" w:w="50"/>
              <w:left w:type="dxa" w:w="110"/>
              <w:bottom w:type="dxa" w:w="50"/>
              <w:right w:type="dxa" w:w="110"/>
            </w:tcMar>
          </w:tcPr>
          <w:p>
            <w:pPr>
              <w:spacing w:before="30" w:after="30"/>
            </w:pPr>
            <w:r>
              <w:rPr>
                <w:b/>
                <w:bCs/>
                <w:color w:val="FFFFFF"/>
                <w:sz w:val="15"/>
                <w:szCs w:val="15"/>
              </w:rPr>
              <w:t xml:space="preserve">Behavior this year</w:t>
            </w:r>
          </w:p>
        </w:tc>
        <w:tc>
          <w:tcPr>
            <w:tcW w:type="pct" w:w="1461"/>
            <w:shd w:fill="353A7C" w:val="clear"/>
            <w:tcMar>
              <w:top w:type="dxa" w:w="50"/>
              <w:left w:type="dxa" w:w="110"/>
              <w:bottom w:type="dxa" w:w="50"/>
              <w:right w:type="dxa" w:w="110"/>
            </w:tcMar>
          </w:tcPr>
          <w:p>
            <w:pPr>
              <w:spacing w:before="30" w:after="30"/>
            </w:pPr>
            <w:r>
              <w:rPr>
                <w:b/>
                <w:bCs/>
                <w:color w:val="FFFFFF"/>
                <w:sz w:val="15"/>
                <w:szCs w:val="15"/>
              </w:rPr>
              <w:t xml:space="preserve">Short run (why)</w:t>
            </w:r>
          </w:p>
        </w:tc>
        <w:tc>
          <w:tcPr>
            <w:tcW w:type="pct" w:w="1024"/>
            <w:shd w:fill="353A7C" w:val="clear"/>
            <w:tcMar>
              <w:top w:type="dxa" w:w="50"/>
              <w:left w:type="dxa" w:w="110"/>
              <w:bottom w:type="dxa" w:w="50"/>
              <w:right w:type="dxa" w:w="110"/>
            </w:tcMar>
          </w:tcPr>
          <w:p>
            <w:pPr>
              <w:spacing w:before="30" w:after="30"/>
            </w:pPr>
            <w:r>
              <w:rPr>
                <w:b/>
                <w:bCs/>
                <w:color w:val="FFFFFF"/>
                <w:sz w:val="15"/>
                <w:szCs w:val="15"/>
              </w:rPr>
              <w:t xml:space="preserve">Long run</w:t>
            </w:r>
          </w:p>
        </w:tc>
      </w:tr>
      <w:tr>
        <w:tc>
          <w:tcPr>
            <w:tcW w:type="pct" w:w="1392"/>
            <w:tcMar>
              <w:top w:type="dxa" w:w="50"/>
              <w:left w:type="dxa" w:w="110"/>
              <w:bottom w:type="dxa" w:w="50"/>
              <w:right w:type="dxa" w:w="110"/>
            </w:tcMar>
          </w:tcPr>
          <w:p>
            <w:pPr>
              <w:spacing w:before="28" w:after="28"/>
            </w:pPr>
            <w:r>
              <w:rPr>
                <w:sz w:val="15"/>
                <w:szCs w:val="15"/>
              </w:rPr>
              <w:t xml:space="preserve">Olive-press lease (ROU amortization)</w:t>
            </w:r>
          </w:p>
        </w:tc>
        <w:tc>
          <w:tcPr>
            <w:tcW w:type="pct" w:w="1124"/>
            <w:tcMar>
              <w:top w:type="dxa" w:w="50"/>
              <w:left w:type="dxa" w:w="110"/>
              <w:bottom w:type="dxa" w:w="50"/>
              <w:right w:type="dxa" w:w="110"/>
            </w:tcMar>
          </w:tcPr>
          <w:p>
            <w:pPr>
              <w:spacing w:before="28" w:after="28"/>
            </w:pPr>
            <w:r>
              <w:rPr>
                <w:sz w:val="15"/>
                <w:szCs w:val="15"/>
              </w:rPr>
              <w:t xml:space="preserve">Fixed: 216,569 a year</w:t>
            </w:r>
          </w:p>
        </w:tc>
        <w:tc>
          <w:tcPr>
            <w:tcW w:type="pct" w:w="1461"/>
            <w:tcMar>
              <w:top w:type="dxa" w:w="50"/>
              <w:left w:type="dxa" w:w="110"/>
              <w:bottom w:type="dxa" w:w="50"/>
              <w:right w:type="dxa" w:w="110"/>
            </w:tcMar>
          </w:tcPr>
          <w:p>
            <w:pPr>
              <w:spacing w:before="28" w:after="28"/>
            </w:pPr>
            <w:r>
              <w:rPr>
                <w:sz w:val="15"/>
                <w:szCs w:val="15"/>
              </w:rPr>
              <w:t xml:space="preserve">Committed until the lease ends in 2029</w:t>
            </w:r>
          </w:p>
        </w:tc>
        <w:tc>
          <w:tcPr>
            <w:tcW w:type="pct" w:w="1024"/>
            <w:shd w:fill="FFFFFF" w:val="clear"/>
            <w:tcMar>
              <w:top w:type="dxa" w:w="50"/>
              <w:left w:type="dxa" w:w="110"/>
              <w:bottom w:type="dxa" w:w="50"/>
              <w:right w:type="dxa" w:w="110"/>
            </w:tcMar>
          </w:tcPr>
          <w:p>
            <w:pPr>
              <w:spacing w:before="46" w:after="46"/>
            </w:pPr>
            <w:r>
              <w:rPr>
                <w:b/>
                <w:bCs/>
                <w:color w:val="8186EF"/>
                <w:sz w:val="14"/>
                <w:szCs w:val="14"/>
              </w:rPr>
              <w:t xml:space="preserve">(8)</w:t>
            </w:r>
          </w:p>
        </w:tc>
      </w:tr>
      <w:tr>
        <w:tc>
          <w:tcPr>
            <w:tcW w:type="pct" w:w="1392"/>
            <w:shd w:fill="FBFAF6" w:val="clear"/>
            <w:tcMar>
              <w:top w:type="dxa" w:w="50"/>
              <w:left w:type="dxa" w:w="110"/>
              <w:bottom w:type="dxa" w:w="50"/>
              <w:right w:type="dxa" w:w="110"/>
            </w:tcMar>
          </w:tcPr>
          <w:p>
            <w:pPr>
              <w:spacing w:before="28" w:after="28"/>
            </w:pPr>
            <w:r>
              <w:rPr>
                <w:sz w:val="15"/>
                <w:szCs w:val="15"/>
              </w:rPr>
              <w:t xml:space="preserve">Factory supervision</w:t>
            </w:r>
          </w:p>
        </w:tc>
        <w:tc>
          <w:tcPr>
            <w:tcW w:type="pct" w:w="1124"/>
            <w:shd w:fill="FBFAF6" w:val="clear"/>
            <w:tcMar>
              <w:top w:type="dxa" w:w="50"/>
              <w:left w:type="dxa" w:w="110"/>
              <w:bottom w:type="dxa" w:w="50"/>
              <w:right w:type="dxa" w:w="110"/>
            </w:tcMar>
          </w:tcPr>
          <w:p>
            <w:pPr>
              <w:spacing w:before="28" w:after="28"/>
            </w:pPr>
            <w:r>
              <w:rPr>
                <w:sz w:val="15"/>
                <w:szCs w:val="15"/>
              </w:rPr>
              <w:t xml:space="preserve">Fixed: 420,000 a year</w:t>
            </w:r>
          </w:p>
        </w:tc>
        <w:tc>
          <w:tcPr>
            <w:tcW w:type="pct" w:w="1461"/>
            <w:shd w:fill="FBFAF6" w:val="clear"/>
            <w:tcMar>
              <w:top w:type="dxa" w:w="50"/>
              <w:left w:type="dxa" w:w="110"/>
              <w:bottom w:type="dxa" w:w="50"/>
              <w:right w:type="dxa" w:w="110"/>
            </w:tcMar>
          </w:tcPr>
          <w:p>
            <w:pPr>
              <w:spacing w:before="28" w:after="28"/>
            </w:pPr>
            <w:r>
              <w:rPr>
                <w:sz w:val="15"/>
                <w:szCs w:val="15"/>
              </w:rPr>
              <w:t xml:space="preserve">Salaries are set for the year</w:t>
            </w:r>
          </w:p>
        </w:tc>
        <w:tc>
          <w:tcPr>
            <w:tcW w:type="pct" w:w="1024"/>
            <w:shd w:fill="FFFFFF" w:val="clear"/>
            <w:tcMar>
              <w:top w:type="dxa" w:w="50"/>
              <w:left w:type="dxa" w:w="110"/>
              <w:bottom w:type="dxa" w:w="50"/>
              <w:right w:type="dxa" w:w="110"/>
            </w:tcMar>
          </w:tcPr>
          <w:p>
            <w:pPr>
              <w:spacing w:before="46" w:after="46"/>
            </w:pPr>
            <w:r>
              <w:rPr>
                <w:b/>
                <w:bCs/>
                <w:color w:val="8186EF"/>
                <w:sz w:val="14"/>
                <w:szCs w:val="14"/>
              </w:rPr>
              <w:t xml:space="preserve">(9)</w:t>
            </w:r>
          </w:p>
        </w:tc>
      </w:tr>
      <w:tr>
        <w:tc>
          <w:tcPr>
            <w:tcW w:type="pct" w:w="1392"/>
            <w:tcMar>
              <w:top w:type="dxa" w:w="50"/>
              <w:left w:type="dxa" w:w="110"/>
              <w:bottom w:type="dxa" w:w="50"/>
              <w:right w:type="dxa" w:w="110"/>
            </w:tcMar>
          </w:tcPr>
          <w:p>
            <w:pPr>
              <w:spacing w:before="28" w:after="28"/>
            </w:pPr>
            <w:r>
              <w:rPr>
                <w:sz w:val="15"/>
                <w:szCs w:val="15"/>
              </w:rPr>
              <w:t xml:space="preserve">Maintenance &amp; utilities</w:t>
            </w:r>
          </w:p>
        </w:tc>
        <w:tc>
          <w:tcPr>
            <w:tcW w:type="pct" w:w="1124"/>
            <w:tcMar>
              <w:top w:type="dxa" w:w="50"/>
              <w:left w:type="dxa" w:w="110"/>
              <w:bottom w:type="dxa" w:w="50"/>
              <w:right w:type="dxa" w:w="110"/>
            </w:tcMar>
          </w:tcPr>
          <w:p>
            <w:pPr>
              <w:spacing w:before="28" w:after="28"/>
            </w:pPr>
            <w:r>
              <w:rPr>
                <w:sz w:val="15"/>
                <w:szCs w:val="15"/>
              </w:rPr>
              <w:t xml:space="preserve">Mixed: 216,000 + $12 per MH</w:t>
            </w:r>
          </w:p>
        </w:tc>
        <w:tc>
          <w:tcPr>
            <w:tcW w:type="pct" w:w="1461"/>
            <w:tcMar>
              <w:top w:type="dxa" w:w="50"/>
              <w:left w:type="dxa" w:w="110"/>
              <w:bottom w:type="dxa" w:w="50"/>
              <w:right w:type="dxa" w:w="110"/>
            </w:tcMar>
          </w:tcPr>
          <w:p>
            <w:pPr>
              <w:spacing w:before="28" w:after="28"/>
            </w:pPr>
            <w:r>
              <w:rPr>
                <w:sz w:val="15"/>
                <w:szCs w:val="15"/>
              </w:rPr>
              <w:t xml:space="preserve">Fixed part is the service contract</w:t>
            </w:r>
          </w:p>
        </w:tc>
        <w:tc>
          <w:tcPr>
            <w:tcW w:type="pct" w:w="1024"/>
            <w:shd w:fill="FFFFFF" w:val="clear"/>
            <w:tcMar>
              <w:top w:type="dxa" w:w="50"/>
              <w:left w:type="dxa" w:w="110"/>
              <w:bottom w:type="dxa" w:w="50"/>
              <w:right w:type="dxa" w:w="110"/>
            </w:tcMar>
          </w:tcPr>
          <w:p>
            <w:pPr>
              <w:spacing w:before="46" w:after="46"/>
            </w:pPr>
            <w:r>
              <w:rPr>
                <w:b/>
                <w:bCs/>
                <w:color w:val="8186EF"/>
                <w:sz w:val="14"/>
                <w:szCs w:val="14"/>
              </w:rPr>
              <w:t xml:space="preserve">(10)</w:t>
            </w:r>
          </w:p>
        </w:tc>
      </w:tr>
      <w:tr>
        <w:tc>
          <w:tcPr>
            <w:tcW w:type="pct" w:w="1392"/>
            <w:shd w:fill="FBFAF6" w:val="clear"/>
            <w:tcMar>
              <w:top w:type="dxa" w:w="50"/>
              <w:left w:type="dxa" w:w="110"/>
              <w:bottom w:type="dxa" w:w="50"/>
              <w:right w:type="dxa" w:w="110"/>
            </w:tcMar>
          </w:tcPr>
          <w:p>
            <w:pPr>
              <w:spacing w:before="28" w:after="28"/>
            </w:pPr>
            <w:r>
              <w:rPr>
                <w:sz w:val="15"/>
                <w:szCs w:val="15"/>
              </w:rPr>
              <w:t xml:space="preserve">Power for the crushers</w:t>
            </w:r>
          </w:p>
        </w:tc>
        <w:tc>
          <w:tcPr>
            <w:tcW w:type="pct" w:w="1124"/>
            <w:shd w:fill="FBFAF6" w:val="clear"/>
            <w:tcMar>
              <w:top w:type="dxa" w:w="50"/>
              <w:left w:type="dxa" w:w="110"/>
              <w:bottom w:type="dxa" w:w="50"/>
              <w:right w:type="dxa" w:w="110"/>
            </w:tcMar>
          </w:tcPr>
          <w:p>
            <w:pPr>
              <w:spacing w:before="28" w:after="28"/>
            </w:pPr>
            <w:r>
              <w:rPr>
                <w:sz w:val="15"/>
                <w:szCs w:val="15"/>
              </w:rPr>
              <w:t xml:space="preserve">Variable: $5 per MH</w:t>
            </w:r>
          </w:p>
        </w:tc>
        <w:tc>
          <w:tcPr>
            <w:tcW w:type="pct" w:w="1461"/>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024"/>
            <w:shd w:fill="FBFAF6" w:val="clear"/>
            <w:tcMar>
              <w:top w:type="dxa" w:w="50"/>
              <w:left w:type="dxa" w:w="110"/>
              <w:bottom w:type="dxa" w:w="50"/>
              <w:right w:type="dxa" w:w="110"/>
            </w:tcMar>
          </w:tcPr>
          <w:p>
            <w:pPr>
              <w:spacing w:before="28" w:after="28"/>
            </w:pPr>
            <w:r>
              <w:rPr>
                <w:sz w:val="15"/>
                <w:szCs w:val="15"/>
              </w:rPr>
              <w:t xml:space="preserve">Rate can change with new machines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Committed until the lease ends in 2029   ·   Changes only when the lease is renewed or ended   ·   Staff can be added or removed   ·   Contract can be resized   ·   Moves with machine hours</w:t>
            </w:r>
          </w:p>
        </w:tc>
      </w:tr>
    </w:tbl>
    <w:p/>
    <w:p>
      <w:pPr>
        <w:spacing w:before="44" w:after="14"/>
      </w:pPr>
      <w:r>
        <w:rPr>
          <w:b/>
          <w:bCs/>
          <w:color w:val="353A7C"/>
          <w:sz w:val="18"/>
          <w:szCs w:val="18"/>
        </w:rPr>
        <w:t xml:space="preserve">Summary 2</w:t>
      </w:r>
      <w:r>
        <w:rPr>
          <w:color w:val="6B7280"/>
          <w:sz w:val="16"/>
          <w:szCs w:val="16"/>
        </w:rPr>
        <w:t xml:space="preserve">      gaps 12–13</w:t>
      </w:r>
    </w:p>
    <w:p>
      <w:pPr>
        <w:spacing w:before="20" w:after="20" w:line="360" w:lineRule="auto"/>
        <w:ind w:left="200"/>
      </w:pPr>
      <w:r>
        <w:rPr>
          <w:sz w:val="19"/>
          <w:szCs w:val="19"/>
        </w:rPr>
        <w:t xml:space="preserve">For overhead rates and budgets, Orontes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overhead for one year at a time. </w:t>
      </w:r>
      <w:r>
        <w:rPr>
          <w:sz w:val="19"/>
          <w:szCs w:val="19"/>
        </w:rPr>
        <w:t xml:space="preserve">That is the time frame the CMA exam usually assumes, unless a question says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classifies   ·   discretionary   ·   otherwise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Charges fixes</w:t>
            </w:r>
          </w:p>
        </w:tc>
      </w:tr>
    </w:tbl>
    <w:p/>
    <w:p>
      <w:pPr>
        <w:spacing w:before="44" w:after="14"/>
      </w:pPr>
      <w:r>
        <w:rPr>
          <w:b/>
          <w:bCs/>
          <w:color w:val="353A7C"/>
          <w:sz w:val="18"/>
          <w:szCs w:val="18"/>
        </w:rPr>
        <w:t xml:space="preserve">Summary 3</w:t>
      </w:r>
      <w:r>
        <w:rPr>
          <w:color w:val="6B7280"/>
          <w:sz w:val="16"/>
          <w:szCs w:val="16"/>
        </w:rPr>
        <w:t xml:space="preserve">      gaps 14–15</w:t>
      </w:r>
    </w:p>
    <w:p>
      <w:pPr>
        <w:spacing w:before="20" w:after="20" w:line="360" w:lineRule="auto"/>
        <w:ind w:left="200"/>
      </w:pPr>
      <w:r>
        <w:rPr>
          <w:sz w:val="19"/>
          <w:szCs w:val="19"/>
        </w:rPr>
        <w:t xml:space="preserve">In cost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fixed means only 'does not change with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in this range and period'.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activity   ·   accounting   ·   Whether</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التكلفة الثابتة الاختيارية   ·   discretionary fixed cost   ·   committed fixed cost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committed fixed cost</w:t>
            </w:r>
          </w:p>
        </w:tc>
        <w:tc>
          <w:tcPr>
            <w:tcW w:type="pct" w:w="2600"/>
            <w:tcMar>
              <w:top w:type="dxa" w:w="50"/>
              <w:left w:type="dxa" w:w="110"/>
              <w:bottom w:type="dxa" w:w="50"/>
              <w:right w:type="dxa" w:w="110"/>
            </w:tcMar>
          </w:tcPr>
          <w:p>
            <w:pPr>
              <w:spacing w:before="26" w:after="26"/>
            </w:pPr>
            <w:r>
              <w:rPr>
                <w:color w:val="232733"/>
                <w:sz w:val="16"/>
                <w:szCs w:val="16"/>
              </w:rPr>
              <w:t xml:space="preserve">التكلفة الثابتة الملتزم بها</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discretionary fixed cost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التكلفة الثابتة الاختيارية</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2.4  The time frame: short run and long run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depends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Contract can be resized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budget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Moves with machine hours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supervision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classifies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otherwise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machines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accounting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long-term</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activity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depreciation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committed fixed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Changes only when the lease is renewed or ended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discretionary fixed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Staff can be added or removed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Whether a cost is fixed depends on the time frame. In the short run, such as one budget year, the press lease and supervision salaries cannot easily change. In the long run, Orontes can end the lease, change the staff or buy new machines, so every cost can change. Some fixed costs come from long-term decisions, such as leases and depreciation: these are committed fixed costs. Others, such as training or advertising, are set each year by managers: these are discretionary fixed costs.</w:t>
      </w:r>
    </w:p>
    <w:p>
      <w:pPr>
        <w:spacing w:before="20" w:after="20"/>
        <w:ind w:left="240" w:hanging="240"/>
      </w:pPr>
      <w:r>
        <w:rPr>
          <w:b/>
          <w:bCs/>
          <w:color w:val="353A7C"/>
          <w:sz w:val="15"/>
          <w:szCs w:val="15"/>
        </w:rPr>
        <w:t xml:space="preserve">Summary 2   </w:t>
      </w:r>
      <w:r>
        <w:rPr>
          <w:color w:val="6B7280"/>
          <w:sz w:val="15"/>
          <w:szCs w:val="15"/>
        </w:rPr>
        <w:t xml:space="preserve">For overhead rates and budgets, Orontes classifies overhead for one year at a time. That is the time frame the CMA exam usually assumes, unless a question says otherwise.</w:t>
      </w:r>
    </w:p>
    <w:p>
      <w:pPr>
        <w:spacing w:before="20" w:after="20"/>
        <w:ind w:left="240" w:hanging="240"/>
      </w:pPr>
      <w:r>
        <w:rPr>
          <w:b/>
          <w:bCs/>
          <w:color w:val="353A7C"/>
          <w:sz w:val="15"/>
          <w:szCs w:val="15"/>
        </w:rPr>
        <w:t xml:space="preserve">Summary 3   </w:t>
      </w:r>
      <w:r>
        <w:rPr>
          <w:color w:val="6B7280"/>
          <w:sz w:val="15"/>
          <w:szCs w:val="15"/>
        </w:rPr>
        <w:t xml:space="preserve">In cost accounting, fixed means only 'does not change with activity in this range and period'.</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2.5  Separating costs into fixed and variable parts</w:t>
            </w:r>
          </w:p>
          <w:p>
            <w:pPr>
              <w:spacing w:before="0" w:after="46"/>
            </w:pPr>
            <w:r>
              <w:rPr>
                <w:color w:val="E8EAF6"/>
                <w:sz w:val="16"/>
                <w:szCs w:val="16"/>
              </w:rPr>
              <w:t xml:space="preserve">Chapter 2 · section 2.5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Budgets need a cost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total cost = fixed cost + variable rate ×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To build it, each cost must be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into its fixed and variable parts. </w:t>
      </w:r>
      <w:r>
        <w:rPr>
          <w:sz w:val="19"/>
          <w:szCs w:val="19"/>
        </w:rPr>
        <w:t xml:space="preserve">The simplest method is account analysis: an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reviews each account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it by judgment. </w:t>
      </w:r>
      <w:r>
        <w:rPr>
          <w:sz w:val="19"/>
          <w:szCs w:val="19"/>
        </w:rPr>
        <w:t xml:space="preserve">Mixed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need a second step. </w:t>
      </w:r>
      <w:r>
        <w:rPr>
          <w:sz w:val="19"/>
          <w:szCs w:val="19"/>
        </w:rPr>
        <w:t xml:space="preserve">For maintenance and utilities, Oils uses the fixed monthly contract and the rate per machine hour estimated from its records.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classifies   ·   separated   ·   accounts   ·   accountant   ·   Classify   ·   activity   ·   function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Oils overhead cost function</w:t>
            </w:r>
          </w:p>
        </w:tc>
      </w:tr>
    </w:tbl>
    <w:p/>
    <w:p>
      <w:pPr>
        <w:spacing w:before="20" w:after="20" w:line="360" w:lineRule="auto"/>
        <w:ind w:left="200"/>
      </w:pPr>
      <w:r>
        <w:rPr>
          <w:sz w:val="19"/>
          <w:szCs w:val="19"/>
        </w:rPr>
        <w:t xml:space="preserve">Adding the columns gives the cost function: $2,100,569 a year plus $20 per machine hour.</w:t>
      </w:r>
    </w:p>
    <w:p>
      <w:pPr>
        <w:spacing w:before="44" w:after="10"/>
      </w:pPr>
      <w:r>
        <w:rPr>
          <w:b/>
          <w:bCs/>
          <w:color w:val="353A7C"/>
          <w:sz w:val="18"/>
          <w:szCs w:val="18"/>
        </w:rPr>
        <w:t xml:space="preserve">Worked example: account analysis of Oils overhead</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22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225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Factory supervision   ·   Olive-press ROU amortization   ·   Insurance   ·   Power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Classify Tahini &amp; Spreads costs</w:t>
            </w:r>
          </w:p>
        </w:tc>
      </w:tr>
    </w:tbl>
    <w:p/>
    <w:p>
      <w:pPr>
        <w:spacing w:before="20" w:after="20" w:line="360" w:lineRule="auto"/>
        <w:ind w:left="200"/>
      </w:pPr>
      <w:r>
        <w:rPr>
          <w:sz w:val="19"/>
          <w:szCs w:val="19"/>
        </w:rPr>
        <w:t xml:space="preserve">The first two are done. Classify the rest as variable, fixed, mixed or step.</w:t>
      </w:r>
    </w:p>
    <w:p>
      <w:pPr>
        <w:pageBreakBefore w:val="true"/>
        <w:spacing w:after="0"/>
      </w:pPr>
      <w:r>
        <w:rPr>
          <w:sz w:val="2"/>
        </w:rPr>
        <w:t xml:space="preserve"> </w:t>
      </w:r>
    </w:p>
    <w:p>
      <w:pPr>
        <w:spacing w:before="44" w:after="10"/>
      </w:pPr>
      <w:r>
        <w:rPr>
          <w:b/>
          <w:bCs/>
          <w:color w:val="353A7C"/>
          <w:sz w:val="18"/>
          <w:szCs w:val="18"/>
        </w:rPr>
        <w:t xml:space="preserve">Your turn: classify Tahini &amp; Spreads costs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22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225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Labels, one per jar   ·   Electricity: monthly base charge plus a rate per kWh   ·   One extra supervisor for every 20,000 jars a month</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mixed cost   ·   cost behavior   ·   account analysis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account analysis</w:t>
            </w:r>
          </w:p>
        </w:tc>
        <w:tc>
          <w:tcPr>
            <w:tcW w:type="pct" w:w="2600"/>
            <w:tcMar>
              <w:top w:type="dxa" w:w="50"/>
              <w:left w:type="dxa" w:w="110"/>
              <w:bottom w:type="dxa" w:w="50"/>
              <w:right w:type="dxa" w:w="110"/>
            </w:tcMar>
          </w:tcPr>
          <w:p>
            <w:pPr>
              <w:spacing w:before="26" w:after="26"/>
            </w:pPr>
            <w:r>
              <w:rPr>
                <w:color w:val="232733"/>
                <w:sz w:val="16"/>
                <w:szCs w:val="16"/>
              </w:rPr>
              <w:t xml:space="preserve">طريقة تحليل الحسابات</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2.5  Separating costs into fixed and variable parts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function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Olive-press ROU amortization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activity</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Power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separated</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One extra supervisor for every 20,000 jars a month</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accountant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Labels, one per jar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classifies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mixed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accounts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account analysis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Factory supervision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Budgets need a cost function: total cost = fixed cost + variable rate × activity. To build it, each cost must be separated into its fixed and variable parts. The simplest method is account analysis: an accountant reviews each account and classifies it by judgment. Mixed accounts need a second step. For maintenance and utilities, Oils uses the fixed monthly contract and the rate per machine hour estimated from its records.</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2.6  Extended Example 2A: the Oils overhead budget, 2027</w:t>
            </w:r>
          </w:p>
          <w:p>
            <w:pPr>
              <w:spacing w:before="0" w:after="46"/>
            </w:pPr>
            <w:r>
              <w:rPr>
                <w:color w:val="E8EAF6"/>
                <w:sz w:val="16"/>
                <w:szCs w:val="16"/>
              </w:rPr>
              <w:t xml:space="preserve">Chapter 2 · section 2.6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builds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overhead budget from the cost function, tests it at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volumes and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one month's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by behavior. </w:t>
      </w:r>
      <w:r>
        <w:rPr>
          <w:sz w:val="19"/>
          <w:szCs w:val="19"/>
        </w:rPr>
        <w:t xml:space="preserve">The budget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are exam-core;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are for depth. </w:t>
      </w:r>
      <w:r>
        <w:rPr>
          <w:sz w:val="19"/>
          <w:szCs w:val="19"/>
        </w:rPr>
        <w:t xml:space="preserve">Oils plans 38,400 machine hours for 2027, but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could give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from 30,000 to 48,000. </w:t>
      </w:r>
      <w:r>
        <w:rPr>
          <w:sz w:val="19"/>
          <w:szCs w:val="19"/>
        </w:rPr>
        <w:t xml:space="preserve">Above 51,600 hours a year, a second shift adds $72,000 of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and $180,000 of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Use the cost function from Section 2.5. </w:t>
      </w:r>
      <w:r>
        <w:rPr>
          <w:sz w:val="19"/>
          <w:szCs w:val="19"/>
        </w:rPr>
        <w:t xml:space="preserve"/>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total overhead at each volume, check which volumes are inside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range, and see what happens to cost per machine hour. </w:t>
      </w:r>
      <w:r>
        <w:rPr>
          <w:sz w:val="19"/>
          <w:szCs w:val="19"/>
        </w:rPr>
        <w:t xml:space="preserve">Budget volume: $2,100,569 + $20 × 38,400 = $2,868,569, or $74.70 per machine hour. </w:t>
      </w:r>
      <w:r>
        <w:rPr>
          <w:sz w:val="19"/>
          <w:szCs w:val="19"/>
        </w:rPr>
        <w:t xml:space="preserve">Low volume: $2,100,569 + $20 × 30,000 = $2,700,569, or $90.02 per hour. </w:t>
      </w:r>
      <w:r>
        <w:rPr>
          <w:sz w:val="19"/>
          <w:szCs w:val="19"/>
        </w:rPr>
        <w:t xml:space="preserve">High volume: $2,100,569 + $20 × 48,000 = $3,060,569, or $63.76 per hour.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anything   ·   Compute   ·   calculations   ·   records   ·   several   ·   relevant   ·   invoices   ·   supervision   ·   flexible   ·   entries   ·   volumes   ·   maintenance   ·   harvest</w:t>
            </w:r>
          </w:p>
        </w:tc>
      </w:tr>
    </w:tbl>
    <w:p/>
    <w:p>
      <w:pPr>
        <w:spacing w:before="44" w:after="14"/>
      </w:pPr>
      <w:r>
        <w:rPr>
          <w:b/>
          <w:bCs/>
          <w:color w:val="353A7C"/>
          <w:sz w:val="18"/>
          <w:szCs w:val="18"/>
        </w:rPr>
        <w:t xml:space="preserve">Summary 2</w:t>
      </w:r>
      <w:r>
        <w:rPr>
          <w:color w:val="6B7280"/>
          <w:sz w:val="16"/>
          <w:szCs w:val="16"/>
        </w:rPr>
        <w:t xml:space="preserve">      gaps 13–15</w:t>
      </w:r>
    </w:p>
    <w:p>
      <w:pPr>
        <w:spacing w:before="20" w:after="20" w:line="360" w:lineRule="auto"/>
        <w:ind w:left="200"/>
      </w:pPr>
      <w:r>
        <w:rPr>
          <w:sz w:val="19"/>
          <w:szCs w:val="19"/>
        </w:rPr>
        <w:t xml:space="preserve">Above the range (55,000 hours): $2,100,569 + $252,000 + $20 × 55,000 = $3,452,569. </w:t>
      </w:r>
      <w:r>
        <w:rPr>
          <w:sz w:val="19"/>
          <w:szCs w:val="19"/>
        </w:rPr>
        <w:t xml:space="preserve">Fixed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is the same in the first three columns; only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part moves. </w:t>
      </w:r>
      <w:r>
        <w:rPr>
          <w:sz w:val="19"/>
          <w:szCs w:val="19"/>
        </w:rPr>
        <w:t xml:space="preserve">The last column needs a new cost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because it lies outside the range.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machine   ·   overhead   ·   function   ·   variable</w:t>
            </w:r>
          </w:p>
        </w:tc>
      </w:tr>
    </w:tbl>
    <w:p/>
    <w:p>
      <w:pPr>
        <w:spacing w:before="44" w:after="10"/>
      </w:pPr>
      <w:r>
        <w:rPr>
          <w:b/>
          <w:bCs/>
          <w:color w:val="353A7C"/>
          <w:sz w:val="18"/>
          <w:szCs w:val="18"/>
        </w:rPr>
        <w:t xml:space="preserve">Extended Example: flexible overhead budget for Oils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Fixed overhead   ·   Machine hours</w:t>
            </w:r>
          </w:p>
        </w:tc>
      </w:tr>
    </w:tbl>
    <w:p/>
    <w:p>
      <w:pPr>
        <w:spacing w:before="44" w:after="14"/>
      </w:pPr>
      <w:r>
        <w:rPr>
          <w:b/>
          <w:bCs/>
          <w:color w:val="353A7C"/>
          <w:sz w:val="18"/>
          <w:szCs w:val="18"/>
        </w:rPr>
        <w:t xml:space="preserve">Summary 3</w:t>
      </w:r>
      <w:r>
        <w:rPr>
          <w:color w:val="6B7280"/>
          <w:sz w:val="16"/>
          <w:szCs w:val="16"/>
        </w:rPr>
        <w:t xml:space="preserve">      gaps 17–20</w:t>
      </w:r>
    </w:p>
    <w:p>
      <w:pPr>
        <w:spacing w:before="20" w:after="20" w:line="360" w:lineRule="auto"/>
        <w:ind w:left="200"/>
      </w:pPr>
      <w:r>
        <w:rPr>
          <w:sz w:val="19"/>
          <w:szCs w:val="19"/>
        </w:rPr>
        <w:t xml:space="preserve">Variable cost per hour is flat, fixed cost per hour falls, and so total cost per hour falls as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rises. </w:t>
      </w:r>
      <w:r>
        <w:rPr>
          <w:sz w:val="19"/>
          <w:szCs w:val="19"/>
        </w:rPr>
        <w:t xml:space="preserve">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ledger records costs by nature, but Orontes tags each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line as fixed or variable. </w:t>
      </w:r>
      <w:r>
        <w:rPr>
          <w:sz w:val="19"/>
          <w:szCs w:val="19"/>
        </w:rPr>
        <w:t xml:space="preserve">In March the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ran 3,200 machine hours.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crushers   ·   relevant   ·   volume   ·   overhead   ·   general</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4224"/>
        <w:gridCol w:w="2192"/>
        <w:gridCol w:w="2093"/>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March overhead journal by behavior</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No.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(detail)</w:t>
            </w:r>
          </w:p>
        </w:tc>
        <w:tc>
          <w:tcPr>
            <w:tcW w:type="pct" w:w="1141"/>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090"/>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568"/>
            <w:tcMar>
              <w:top w:type="dxa" w:w="50"/>
              <w:left w:type="dxa" w:w="110"/>
              <w:bottom w:type="dxa" w:w="50"/>
              <w:right w:type="dxa" w:w="110"/>
            </w:tcMar>
          </w:tcPr>
          <w:p>
            <w:pPr>
              <w:spacing w:before="28" w:after="28"/>
            </w:pPr>
            <w:r>
              <w:rPr>
                <w:sz w:val="15"/>
                <w:szCs w:val="15"/>
              </w:rPr>
              <w:t xml:space="preserve">1</w:t>
            </w:r>
          </w:p>
        </w:tc>
        <w:tc>
          <w:tcPr>
            <w:tcW w:type="pct" w:w="2200"/>
            <w:tcMar>
              <w:top w:type="dxa" w:w="50"/>
              <w:left w:type="dxa" w:w="110"/>
              <w:bottom w:type="dxa" w:w="50"/>
              <w:right w:type="dxa" w:w="110"/>
            </w:tcMar>
          </w:tcPr>
          <w:p>
            <w:pPr>
              <w:spacing w:before="28" w:after="28"/>
            </w:pPr>
            <w:r>
              <w:rPr>
                <w:sz w:val="15"/>
                <w:szCs w:val="15"/>
              </w:rPr>
              <w:t xml:space="preserve">MOH Control - Fixed</w:t>
            </w:r>
          </w:p>
        </w:tc>
        <w:tc>
          <w:tcPr>
            <w:tcW w:type="pct" w:w="1141"/>
            <w:tcMar>
              <w:top w:type="dxa" w:w="50"/>
              <w:left w:type="dxa" w:w="110"/>
              <w:bottom w:type="dxa" w:w="50"/>
              <w:right w:type="dxa" w:w="110"/>
            </w:tcMar>
          </w:tcPr>
          <w:p>
            <w:pPr>
              <w:spacing w:before="28" w:after="28"/>
            </w:pPr>
            <w:r>
              <w:rPr>
                <w:sz w:val="15"/>
                <w:szCs w:val="15"/>
              </w:rPr>
              <w:t xml:space="preserve">18,000</w:t>
            </w:r>
          </w:p>
        </w:tc>
        <w:tc>
          <w:tcPr>
            <w:tcW w:type="pct" w:w="1090"/>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1141"/>
            <w:shd w:fill="FBFAF6" w:val="clear"/>
            <w:tcMar>
              <w:top w:type="dxa" w:w="50"/>
              <w:left w:type="dxa" w:w="110"/>
              <w:bottom w:type="dxa" w:w="50"/>
              <w:right w:type="dxa" w:w="110"/>
            </w:tcMar>
          </w:tcPr>
          <w:p>
            <w:pPr>
              <w:spacing w:before="28" w:after="28"/>
            </w:pPr>
            <w:r>
              <w:rPr>
                <w:sz w:val="15"/>
                <w:szCs w:val="15"/>
              </w:rPr>
              <w:t xml:space="preserve">38,400</w:t>
            </w:r>
          </w:p>
        </w:tc>
        <w:tc>
          <w:tcPr>
            <w:tcW w:type="pct" w:w="1090"/>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1141"/>
            <w:tcMar>
              <w:top w:type="dxa" w:w="50"/>
              <w:left w:type="dxa" w:w="110"/>
              <w:bottom w:type="dxa" w:w="50"/>
              <w:right w:type="dxa" w:w="110"/>
            </w:tcMar>
          </w:tcPr>
          <w:p>
            <w:pPr>
              <w:spacing w:before="28" w:after="28"/>
            </w:pPr>
            <w:r>
              <w:rPr>
                <w:sz w:val="15"/>
                <w:szCs w:val="15"/>
              </w:rPr>
              <w:t xml:space="preserve"> </w:t>
            </w:r>
          </w:p>
        </w:tc>
        <w:tc>
          <w:tcPr>
            <w:tcW w:type="pct" w:w="1090"/>
            <w:tcMar>
              <w:top w:type="dxa" w:w="50"/>
              <w:left w:type="dxa" w:w="110"/>
              <w:bottom w:type="dxa" w:w="50"/>
              <w:right w:type="dxa" w:w="110"/>
            </w:tcMar>
          </w:tcPr>
          <w:p>
            <w:pPr>
              <w:spacing w:before="28" w:after="28"/>
            </w:pPr>
            <w:r>
              <w:rPr>
                <w:sz w:val="15"/>
                <w:szCs w:val="15"/>
              </w:rPr>
              <w:t xml:space="preserve">56,400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2</w:t>
            </w:r>
          </w:p>
        </w:tc>
        <w:tc>
          <w:tcPr>
            <w:tcW w:type="pct" w:w="2200"/>
            <w:shd w:fill="FBFAF6" w:val="clear"/>
            <w:tcMar>
              <w:top w:type="dxa" w:w="50"/>
              <w:left w:type="dxa" w:w="110"/>
              <w:bottom w:type="dxa" w:w="50"/>
              <w:right w:type="dxa" w:w="110"/>
            </w:tcMar>
          </w:tcPr>
          <w:p>
            <w:pPr>
              <w:spacing w:before="28" w:after="28"/>
            </w:pPr>
            <w:r>
              <w:rPr>
                <w:sz w:val="15"/>
                <w:szCs w:val="15"/>
              </w:rPr>
              <w:t xml:space="preserve">MOH Control - Variable</w:t>
            </w:r>
          </w:p>
        </w:tc>
        <w:tc>
          <w:tcPr>
            <w:tcW w:type="pct" w:w="1141"/>
            <w:shd w:fill="FBFAF6" w:val="clear"/>
            <w:tcMar>
              <w:top w:type="dxa" w:w="50"/>
              <w:left w:type="dxa" w:w="110"/>
              <w:bottom w:type="dxa" w:w="50"/>
              <w:right w:type="dxa" w:w="110"/>
            </w:tcMar>
          </w:tcPr>
          <w:p>
            <w:pPr>
              <w:spacing w:before="28" w:after="28"/>
            </w:pPr>
            <w:r>
              <w:rPr>
                <w:sz w:val="15"/>
                <w:szCs w:val="15"/>
              </w:rPr>
              <w:t xml:space="preserve">16,000</w:t>
            </w:r>
          </w:p>
        </w:tc>
        <w:tc>
          <w:tcPr>
            <w:tcW w:type="pct" w:w="1090"/>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Accounts Payable</w:t>
            </w:r>
          </w:p>
        </w:tc>
        <w:tc>
          <w:tcPr>
            <w:tcW w:type="pct" w:w="1141"/>
            <w:tcMar>
              <w:top w:type="dxa" w:w="50"/>
              <w:left w:type="dxa" w:w="110"/>
              <w:bottom w:type="dxa" w:w="50"/>
              <w:right w:type="dxa" w:w="110"/>
            </w:tcMar>
          </w:tcPr>
          <w:p>
            <w:pPr>
              <w:spacing w:before="28" w:after="28"/>
            </w:pPr>
            <w:r>
              <w:rPr>
                <w:sz w:val="15"/>
                <w:szCs w:val="15"/>
              </w:rPr>
              <w:t xml:space="preserve"> </w:t>
            </w:r>
          </w:p>
        </w:tc>
        <w:tc>
          <w:tcPr>
            <w:tcW w:type="pct" w:w="1090"/>
            <w:tcMar>
              <w:top w:type="dxa" w:w="50"/>
              <w:left w:type="dxa" w:w="110"/>
              <w:bottom w:type="dxa" w:w="50"/>
              <w:right w:type="dxa" w:w="110"/>
            </w:tcMar>
          </w:tcPr>
          <w:p>
            <w:pPr>
              <w:spacing w:before="28" w:after="28"/>
            </w:pPr>
            <w:r>
              <w:rPr>
                <w:sz w:val="15"/>
                <w:szCs w:val="15"/>
              </w:rPr>
              <w:t xml:space="preserve">16,000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3</w:t>
            </w:r>
          </w:p>
        </w:tc>
        <w:tc>
          <w:tcPr>
            <w:tcW w:type="pct" w:w="2200"/>
            <w:shd w:fill="FBFAF6" w:val="clear"/>
            <w:tcMar>
              <w:top w:type="dxa" w:w="50"/>
              <w:left w:type="dxa" w:w="110"/>
              <w:bottom w:type="dxa" w:w="50"/>
              <w:right w:type="dxa" w:w="110"/>
            </w:tcMar>
          </w:tcPr>
          <w:p>
            <w:pPr>
              <w:spacing w:before="28" w:after="28"/>
            </w:pPr>
            <w:r>
              <w:rPr>
                <w:sz w:val="15"/>
                <w:szCs w:val="15"/>
              </w:rPr>
              <w:t xml:space="preserve">MOH Control - Variable</w:t>
            </w:r>
          </w:p>
        </w:tc>
        <w:tc>
          <w:tcPr>
            <w:tcW w:type="pct" w:w="1141"/>
            <w:shd w:fill="FBFAF6" w:val="clear"/>
            <w:tcMar>
              <w:top w:type="dxa" w:w="50"/>
              <w:left w:type="dxa" w:w="110"/>
              <w:bottom w:type="dxa" w:w="50"/>
              <w:right w:type="dxa" w:w="110"/>
            </w:tcMar>
          </w:tcPr>
          <w:p>
            <w:pPr>
              <w:spacing w:before="28" w:after="28"/>
            </w:pPr>
            <w:r>
              <w:rPr>
                <w:sz w:val="15"/>
                <w:szCs w:val="15"/>
              </w:rPr>
              <w:t xml:space="preserve">9,600</w:t>
            </w:r>
          </w:p>
        </w:tc>
        <w:tc>
          <w:tcPr>
            <w:tcW w:type="pct" w:w="1090"/>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(23)</w:t>
            </w:r>
          </w:p>
        </w:tc>
        <w:tc>
          <w:tcPr>
            <w:tcW w:type="pct" w:w="1141"/>
            <w:tcMar>
              <w:top w:type="dxa" w:w="50"/>
              <w:left w:type="dxa" w:w="110"/>
              <w:bottom w:type="dxa" w:w="50"/>
              <w:right w:type="dxa" w:w="110"/>
            </w:tcMar>
          </w:tcPr>
          <w:p>
            <w:pPr>
              <w:spacing w:before="28" w:after="28"/>
            </w:pPr>
            <w:r>
              <w:rPr>
                <w:sz w:val="15"/>
                <w:szCs w:val="15"/>
              </w:rPr>
              <w:t xml:space="preserve"> </w:t>
            </w:r>
          </w:p>
        </w:tc>
        <w:tc>
          <w:tcPr>
            <w:tcW w:type="pct" w:w="1090"/>
            <w:tcMar>
              <w:top w:type="dxa" w:w="50"/>
              <w:left w:type="dxa" w:w="110"/>
              <w:bottom w:type="dxa" w:w="50"/>
              <w:right w:type="dxa" w:w="110"/>
            </w:tcMar>
          </w:tcPr>
          <w:p>
            <w:pPr>
              <w:spacing w:before="28" w:after="28"/>
            </w:pPr>
            <w:r>
              <w:rPr>
                <w:sz w:val="15"/>
                <w:szCs w:val="15"/>
              </w:rPr>
              <w:t xml:space="preserve">9,600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1141"/>
            <w:shd w:fill="FBFAF6" w:val="clear"/>
            <w:tcMar>
              <w:top w:type="dxa" w:w="50"/>
              <w:left w:type="dxa" w:w="110"/>
              <w:bottom w:type="dxa" w:w="50"/>
              <w:right w:type="dxa" w:w="110"/>
            </w:tcMar>
          </w:tcPr>
          <w:p>
            <w:pPr>
              <w:spacing w:before="28" w:after="28"/>
            </w:pPr>
            <w:r>
              <w:rPr>
                <w:sz w:val="15"/>
                <w:szCs w:val="15"/>
              </w:rPr>
              <w:t xml:space="preserve">82,000</w:t>
            </w:r>
          </w:p>
        </w:tc>
        <w:tc>
          <w:tcPr>
            <w:tcW w:type="pct" w:w="1090"/>
            <w:shd w:fill="FBFAF6" w:val="clear"/>
            <w:tcMar>
              <w:top w:type="dxa" w:w="50"/>
              <w:left w:type="dxa" w:w="110"/>
              <w:bottom w:type="dxa" w:w="50"/>
              <w:right w:type="dxa" w:w="110"/>
            </w:tcMar>
          </w:tcPr>
          <w:p>
            <w:pPr>
              <w:spacing w:before="28" w:after="28"/>
            </w:pPr>
            <w:r>
              <w:rPr>
                <w:sz w:val="15"/>
                <w:szCs w:val="15"/>
              </w:rPr>
              <w:t xml:space="preserve">82,000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MOH Control - Variable   ·   Raw Materials Inventory   ·   Totals   ·   mixed cost   ·   Accounts Payable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4</w:t>
      </w:r>
      <w:r>
        <w:rPr>
          <w:color w:val="6B7280"/>
          <w:sz w:val="16"/>
          <w:szCs w:val="16"/>
        </w:rPr>
        <w:t xml:space="preserve">      gaps 25–27</w:t>
      </w:r>
    </w:p>
    <w:p>
      <w:pPr>
        <w:spacing w:before="20" w:after="20" w:line="360" w:lineRule="auto"/>
        <w:ind w:left="200"/>
      </w:pPr>
      <w:r>
        <w:rPr>
          <w:sz w:val="19"/>
          <w:szCs w:val="19"/>
        </w:rPr>
        <w:t xml:space="preserve">Maintenance invoice: $18,000 fixed + $38,400 variable = $56,400, the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estimate for 3,200 hours. </w:t>
      </w:r>
      <w:r>
        <w:rPr>
          <w:sz w:val="19"/>
          <w:szCs w:val="19"/>
        </w:rPr>
        <w:t xml:space="preserve">March variable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$20 × 3,200 = $64,000. </w:t>
      </w:r>
      <w:r>
        <w:rPr>
          <w:sz w:val="19"/>
          <w:szCs w:val="19"/>
        </w:rPr>
        <w:t xml:space="preserve">Fixed maintenance for the year: $216,000,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months at $18,000. </w:t>
      </w:r>
      <w:r>
        <w:rPr>
          <w:sz w:val="19"/>
          <w:szCs w:val="19"/>
        </w:rPr>
        <w:t xml:space="preserve">Journal total: $82,000 on both sides.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twelve   ·   regression   ·   overhead   ·   behavior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5</w:t>
      </w:r>
      <w:r>
        <w:rPr>
          <w:color w:val="6B7280"/>
          <w:sz w:val="16"/>
          <w:szCs w:val="16"/>
        </w:rPr>
        <w:t xml:space="preserve">      gaps 28–30</w:t>
      </w:r>
    </w:p>
    <w:p>
      <w:pPr>
        <w:spacing w:before="20" w:after="20" w:line="360" w:lineRule="auto"/>
        <w:ind w:left="200"/>
      </w:pPr>
      <w:r>
        <w:rPr>
          <w:sz w:val="19"/>
          <w:szCs w:val="19"/>
        </w:rPr>
        <w:t xml:space="preserve">Expect a cost at two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and a request for the cost at a third volume. </w:t>
      </w:r>
      <w:r>
        <w:rPr>
          <w:sz w:val="19"/>
          <w:szCs w:val="19"/>
        </w:rPr>
        <w:t xml:space="preserve">Split the cost first, check that the new volume is inside the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range, then rebuild the total. </w:t>
      </w:r>
      <w:r>
        <w:rPr>
          <w:sz w:val="19"/>
          <w:szCs w:val="19"/>
        </w:rPr>
        <w:t xml:space="preserve">Never scale a total cost that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fixed costs.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columns   ·   volumes   ·   relevant   ·   includes</w:t>
            </w:r>
          </w:p>
        </w:tc>
      </w:tr>
    </w:tbl>
    <w:p/>
    <w:p>
      <w:pPr>
        <w:pageBreakBefore w:val="true"/>
        <w:spacing w:after="0"/>
      </w:pPr>
      <w:r>
        <w:rPr>
          <w:sz w:val="2"/>
        </w:rPr>
        <w:t xml:space="preserve"> </w:t>
      </w:r>
    </w:p>
    <w:p>
      <w:pPr>
        <w:spacing w:before="44" w:after="10"/>
      </w:pPr>
      <w:r>
        <w:rPr>
          <w:b/>
          <w:bCs/>
          <w:color w:val="353A7C"/>
          <w:sz w:val="18"/>
          <w:szCs w:val="18"/>
        </w:rPr>
        <w:t xml:space="preserve">Exam view</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Maintenance   ·   Shrink film   ·   Electricity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600"/>
            <w:tcMar>
              <w:top w:type="dxa" w:w="50"/>
              <w:left w:type="dxa" w:w="110"/>
              <w:bottom w:type="dxa" w:w="50"/>
              <w:right w:type="dxa" w:w="110"/>
            </w:tcMar>
          </w:tcPr>
          <w:p>
            <w:pPr>
              <w:spacing w:before="28" w:after="28"/>
            </w:pPr>
            <w:r>
              <w:rPr>
                <w:sz w:val="15"/>
                <w:szCs w:val="15"/>
              </w:rPr>
              <w:t xml:space="preserve">Electricity: monthly base charge plus a rate per kWh</w:t>
            </w:r>
          </w:p>
        </w:tc>
        <w:tc>
          <w:tcPr>
            <w:tcW w:type="pct" w:w="2400"/>
            <w:tcMar>
              <w:top w:type="dxa" w:w="50"/>
              <w:left w:type="dxa" w:w="110"/>
              <w:bottom w:type="dxa" w:w="50"/>
              <w:right w:type="dxa" w:w="110"/>
            </w:tcMar>
          </w:tcPr>
          <w:p>
            <w:pPr>
              <w:spacing w:before="28" w:after="28"/>
            </w:pPr>
            <w:r>
              <w:rPr>
                <w:sz w:val="15"/>
                <w:szCs w:val="15"/>
              </w:rPr>
              <w:t xml:space="preserve">Mixed</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One extra supervisor for every 20,000 jars a month</w:t>
            </w:r>
          </w:p>
        </w:tc>
        <w:tc>
          <w:tcPr>
            <w:tcW w:type="pct" w:w="2400"/>
            <w:shd w:fill="FBFAF6" w:val="clear"/>
            <w:tcMar>
              <w:top w:type="dxa" w:w="50"/>
              <w:left w:type="dxa" w:w="110"/>
              <w:bottom w:type="dxa" w:w="50"/>
              <w:right w:type="dxa" w:w="110"/>
            </w:tcMar>
          </w:tcPr>
          <w:p>
            <w:pPr>
              <w:spacing w:before="28" w:after="28"/>
            </w:pPr>
            <w:r>
              <w:rPr>
                <w:sz w:val="15"/>
                <w:szCs w:val="15"/>
              </w:rPr>
              <w:t xml:space="preserve">Step</w:t>
            </w:r>
          </w:p>
        </w:tc>
      </w:tr>
      <w:tr>
        <w:tc>
          <w:tcPr>
            <w:tcW w:type="pct" w:w="2600"/>
            <w:tcMar>
              <w:top w:type="dxa" w:w="50"/>
              <w:left w:type="dxa" w:w="110"/>
              <w:bottom w:type="dxa" w:w="50"/>
              <w:right w:type="dxa" w:w="110"/>
            </w:tcMar>
          </w:tcPr>
          <w:p>
            <w:pPr>
              <w:spacing w:before="28" w:after="28"/>
            </w:pPr>
            <w:r>
              <w:rPr>
                <w:sz w:val="15"/>
                <w:szCs w:val="15"/>
              </w:rPr>
              <w:t xml:space="preserve">Labels, one per jar</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(33)</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Factory insurance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(34)</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Fixed   ·   Variable   ·   High</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Cost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Cost</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Electricity</w:t>
            </w:r>
          </w:p>
        </w:tc>
        <w:tc>
          <w:tcPr>
            <w:tcW w:type="pct" w:w="2400"/>
            <w:tcMar>
              <w:top w:type="dxa" w:w="50"/>
              <w:left w:type="dxa" w:w="110"/>
              <w:bottom w:type="dxa" w:w="50"/>
              <w:right w:type="dxa" w:w="110"/>
            </w:tcMar>
          </w:tcPr>
          <w:p>
            <w:pPr>
              <w:spacing w:before="28" w:after="28"/>
            </w:pPr>
            <w:r>
              <w:rPr>
                <w:sz w:val="15"/>
                <w:szCs w:val="15"/>
              </w:rPr>
              <w:t xml:space="preserve">Mixed</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Line supervision</w:t>
            </w:r>
          </w:p>
        </w:tc>
        <w:tc>
          <w:tcPr>
            <w:tcW w:type="pct" w:w="2400"/>
            <w:shd w:fill="FBFAF6" w:val="clear"/>
            <w:tcMar>
              <w:top w:type="dxa" w:w="50"/>
              <w:left w:type="dxa" w:w="110"/>
              <w:bottom w:type="dxa" w:w="50"/>
              <w:right w:type="dxa" w:w="110"/>
            </w:tcMar>
          </w:tcPr>
          <w:p>
            <w:pPr>
              <w:spacing w:before="28" w:after="28"/>
            </w:pPr>
            <w:r>
              <w:rPr>
                <w:sz w:val="15"/>
                <w:szCs w:val="15"/>
              </w:rPr>
              <w:t xml:space="preserve">Fixed</w:t>
            </w:r>
          </w:p>
        </w:tc>
      </w:tr>
      <w:tr>
        <w:tc>
          <w:tcPr>
            <w:tcW w:type="pct" w:w="2600"/>
            <w:tcMar>
              <w:top w:type="dxa" w:w="50"/>
              <w:left w:type="dxa" w:w="110"/>
              <w:bottom w:type="dxa" w:w="50"/>
              <w:right w:type="dxa" w:w="110"/>
            </w:tcMar>
          </w:tcPr>
          <w:p>
            <w:pPr>
              <w:spacing w:before="28" w:after="28"/>
            </w:pPr>
            <w:r>
              <w:rPr>
                <w:sz w:val="15"/>
                <w:szCs w:val="15"/>
              </w:rPr>
              <w:t xml:space="preserve">Shrink film</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(35)</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Forklift rental</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(36)</w:t>
            </w:r>
          </w:p>
        </w:tc>
      </w:tr>
      <w:tr>
        <w:tc>
          <w:tcPr>
            <w:tcW w:type="pct" w:w="2600"/>
            <w:tcMar>
              <w:top w:type="dxa" w:w="50"/>
              <w:left w:type="dxa" w:w="110"/>
              <w:bottom w:type="dxa" w:w="50"/>
              <w:right w:type="dxa" w:w="110"/>
            </w:tcMar>
          </w:tcPr>
          <w:p>
            <w:pPr>
              <w:spacing w:before="28" w:after="28"/>
            </w:pPr>
            <w:r>
              <w:rPr>
                <w:sz w:val="15"/>
                <w:szCs w:val="15"/>
              </w:rPr>
              <w:t xml:space="preserve">Maintenance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Mixed   ·   Step   ·   Variable   ·   Fixed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variable cost   ·   التكلفة المتغيرة   ·   fixed cost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variable cost</w:t>
            </w:r>
          </w:p>
        </w:tc>
        <w:tc>
          <w:tcPr>
            <w:tcW w:type="pct" w:w="2600"/>
            <w:tcMar>
              <w:top w:type="dxa" w:w="50"/>
              <w:left w:type="dxa" w:w="110"/>
              <w:bottom w:type="dxa" w:w="50"/>
              <w:right w:type="dxa" w:w="110"/>
            </w:tcMar>
          </w:tcPr>
          <w:p>
            <w:pPr>
              <w:spacing w:before="26" w:after="26"/>
            </w:pPr>
            <w:r>
              <w:rPr>
                <w:color w:val="232733"/>
                <w:sz w:val="16"/>
                <w:szCs w:val="16"/>
              </w:rPr>
              <w:t xml:space="preserve">التكلفة المتغيرة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fixed cost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التكلفة الثابتة</w:t>
            </w:r>
          </w:p>
        </w:tc>
      </w:tr>
      <w:tr>
        <w:tc>
          <w:tcPr>
            <w:tcW w:type="pct" w:w="2400"/>
            <w:tcMar>
              <w:top w:type="dxa" w:w="50"/>
              <w:left w:type="dxa" w:w="110"/>
              <w:bottom w:type="dxa" w:w="50"/>
              <w:right w:type="dxa" w:w="110"/>
            </w:tcMar>
          </w:tcPr>
          <w:p>
            <w:pPr>
              <w:spacing w:before="26" w:after="26"/>
            </w:pPr>
            <w:r>
              <w:rPr>
                <w:color w:val="232733"/>
                <w:sz w:val="16"/>
                <w:szCs w:val="16"/>
              </w:rPr>
              <w:t xml:space="preserve">mixed cost</w:t>
            </w:r>
          </w:p>
        </w:tc>
        <w:tc>
          <w:tcPr>
            <w:tcW w:type="pct" w:w="2600"/>
            <w:tcMar>
              <w:top w:type="dxa" w:w="50"/>
              <w:left w:type="dxa" w:w="110"/>
              <w:bottom w:type="dxa" w:w="50"/>
              <w:right w:type="dxa" w:w="110"/>
            </w:tcMar>
          </w:tcPr>
          <w:p>
            <w:pPr>
              <w:spacing w:before="26" w:after="26"/>
            </w:pPr>
            <w:r>
              <w:rPr>
                <w:color w:val="232733"/>
                <w:sz w:val="16"/>
                <w:szCs w:val="16"/>
              </w:rPr>
              <w:t xml:space="preserve">التكلفة المختلطة (شبه المتغيرة)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relevant range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المدى الملائم</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2.6  Extended Example 2A: the Oils overhead budget, 2027</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flexible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MOH Control - 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several</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Accounts Payable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Raw Materials 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invoices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Totals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calculations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regression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entries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harvest</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twelve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anything</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volumes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maintenance</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relevant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supervision</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includes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Compute</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Electricity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relevant</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Shrink film</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overhead</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Fixed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function</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Fixed overhead</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Step</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volume</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Mixed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general</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variable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overhead</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fixed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crushers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builds a flexible overhead budget from the cost function, tests it at several volumes and records one month's invoices by behavior. The budget calculations are exam-core; the entries are for depth. Oils plans 38,400 machine hours for 2027, but the harvest could give anything from 30,000 to 48,000. Above 51,600 hours a year, a second shift adds $72,000 of maintenance and $180,000 of supervision. Use the cost function from Section 2.5. Compute total overhead at each volume, check which volumes are inside the relevant range, and see what happens to cost per machine hour. Budget volume: $2,100,569 + $20 × 38,400 = $2,868,569, or $74.70 per machine hour. Low volume: $2,100,569 + $20 × 30,000 = $2,700,569, or $90.02 per hour. High volume: $2,100,569 + $20 × 48,000 = $3,060,569, or $63.76 per hour.</w:t>
      </w:r>
    </w:p>
    <w:p>
      <w:pPr>
        <w:spacing w:before="20" w:after="20"/>
        <w:ind w:left="240" w:hanging="240"/>
      </w:pPr>
      <w:r>
        <w:rPr>
          <w:b/>
          <w:bCs/>
          <w:color w:val="353A7C"/>
          <w:sz w:val="15"/>
          <w:szCs w:val="15"/>
        </w:rPr>
        <w:t xml:space="preserve">Summary 2   </w:t>
      </w:r>
      <w:r>
        <w:rPr>
          <w:color w:val="6B7280"/>
          <w:sz w:val="15"/>
          <w:szCs w:val="15"/>
        </w:rPr>
        <w:t xml:space="preserve">Above the range (55,000 hours): $2,100,569 + $252,000 + $20 × 55,000 = $3,452,569. Fixed overhead is the same in the first three columns; only the variable part moves. The last column needs a new cost function because it lies outside the range.</w:t>
      </w:r>
    </w:p>
    <w:p>
      <w:pPr>
        <w:spacing w:before="20" w:after="20"/>
        <w:ind w:left="240" w:hanging="240"/>
      </w:pPr>
      <w:r>
        <w:rPr>
          <w:b/>
          <w:bCs/>
          <w:color w:val="353A7C"/>
          <w:sz w:val="15"/>
          <w:szCs w:val="15"/>
        </w:rPr>
        <w:t xml:space="preserve">Summary 3   </w:t>
      </w:r>
      <w:r>
        <w:rPr>
          <w:color w:val="6B7280"/>
          <w:sz w:val="15"/>
          <w:szCs w:val="15"/>
        </w:rPr>
        <w:t xml:space="preserve">Variable cost per hour is flat, fixed cost per hour falls, and so total cost per hour falls as volume rises. The general ledger records costs by nature, but Orontes tags each overhead line as fixed or variable. In March the crushers ran 3,200 machine hours.</w:t>
      </w:r>
    </w:p>
    <w:p>
      <w:pPr>
        <w:spacing w:before="20" w:after="20"/>
        <w:ind w:left="240" w:hanging="240"/>
      </w:pPr>
      <w:r>
        <w:rPr>
          <w:b/>
          <w:bCs/>
          <w:color w:val="353A7C"/>
          <w:sz w:val="15"/>
          <w:szCs w:val="15"/>
        </w:rPr>
        <w:t xml:space="preserve">Summary 4   </w:t>
      </w:r>
      <w:r>
        <w:rPr>
          <w:color w:val="6B7280"/>
          <w:sz w:val="15"/>
          <w:szCs w:val="15"/>
        </w:rPr>
        <w:t xml:space="preserve">Maintenance invoice: $18,000 fixed + $38,400 variable = $56,400, the regression estimate for 3,200 hours. March variable overhead: $20 × 3,200 = $64,000. Fixed maintenance for the year: $216,000, twelve months at $18,000. Journal total: $82,000 on both sides.</w:t>
      </w:r>
    </w:p>
    <w:p>
      <w:pPr>
        <w:spacing w:before="20" w:after="20"/>
        <w:ind w:left="240" w:hanging="240"/>
      </w:pPr>
      <w:r>
        <w:rPr>
          <w:b/>
          <w:bCs/>
          <w:color w:val="353A7C"/>
          <w:sz w:val="15"/>
          <w:szCs w:val="15"/>
        </w:rPr>
        <w:t xml:space="preserve">Summary 5   </w:t>
      </w:r>
      <w:r>
        <w:rPr>
          <w:color w:val="6B7280"/>
          <w:sz w:val="15"/>
          <w:szCs w:val="15"/>
        </w:rPr>
        <w:t xml:space="preserve">Expect a cost at two volumes and a request for the cost at a third volume. Split the cost first, check that the new volume is inside the relevant range, then rebuild the total. Never scale a total cost that includes fixed costs.</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2.1 · Four cost behaviors</w:t>
          </w:r>
        </w:p>
      </w:tc>
      <w:tc>
        <w:tcPr>
          <w:tcW w:type="pct" w:w="1400"/>
          <w:tcMar>
            <w:top w:type="dxa" w:w="-30"/>
            <w:left w:type="dxa" w:w="30"/>
            <w:bottom w:type="dxa" w:w="-30"/>
            <w:right w:type="dxa" w:w="30"/>
          </w:tcMar>
        </w:tcPr>
        <w:p>
          <w:pPr>
            <w:jc w:val="right"/>
          </w:pPr>
          <w:r>
            <w:rPr>
              <w:color w:val="6B7280"/>
              <w:sz w:val="16"/>
              <w:szCs w:val="16"/>
            </w:rPr>
            <w:t xml:space="preserve">Handout 2.1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2.2 · Total cost and cost per unit</w:t>
          </w:r>
        </w:p>
      </w:tc>
      <w:tc>
        <w:tcPr>
          <w:tcW w:type="pct" w:w="1400"/>
          <w:tcMar>
            <w:top w:type="dxa" w:w="-30"/>
            <w:left w:type="dxa" w:w="30"/>
            <w:bottom w:type="dxa" w:w="-30"/>
            <w:right w:type="dxa" w:w="30"/>
          </w:tcMar>
        </w:tcPr>
        <w:p>
          <w:pPr>
            <w:jc w:val="right"/>
          </w:pPr>
          <w:r>
            <w:rPr>
              <w:color w:val="6B7280"/>
              <w:sz w:val="16"/>
              <w:szCs w:val="16"/>
            </w:rPr>
            <w:t xml:space="preserve">Handout 2.2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2.3 · The relevant range</w:t>
          </w:r>
        </w:p>
      </w:tc>
      <w:tc>
        <w:tcPr>
          <w:tcW w:type="pct" w:w="1400"/>
          <w:tcMar>
            <w:top w:type="dxa" w:w="-30"/>
            <w:left w:type="dxa" w:w="30"/>
            <w:bottom w:type="dxa" w:w="-30"/>
            <w:right w:type="dxa" w:w="30"/>
          </w:tcMar>
        </w:tcPr>
        <w:p>
          <w:pPr>
            <w:jc w:val="right"/>
          </w:pPr>
          <w:r>
            <w:rPr>
              <w:color w:val="6B7280"/>
              <w:sz w:val="16"/>
              <w:szCs w:val="16"/>
            </w:rPr>
            <w:t xml:space="preserve">Handout 2.3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2.4 · The time frame: short run and long run</w:t>
          </w:r>
        </w:p>
      </w:tc>
      <w:tc>
        <w:tcPr>
          <w:tcW w:type="pct" w:w="1400"/>
          <w:tcMar>
            <w:top w:type="dxa" w:w="-30"/>
            <w:left w:type="dxa" w:w="30"/>
            <w:bottom w:type="dxa" w:w="-30"/>
            <w:right w:type="dxa" w:w="30"/>
          </w:tcMar>
        </w:tcPr>
        <w:p>
          <w:pPr>
            <w:jc w:val="right"/>
          </w:pPr>
          <w:r>
            <w:rPr>
              <w:color w:val="6B7280"/>
              <w:sz w:val="16"/>
              <w:szCs w:val="16"/>
            </w:rPr>
            <w:t xml:space="preserve">Handout 2.4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2.5 · Separating costs into fixed and variable parts</w:t>
          </w:r>
        </w:p>
      </w:tc>
      <w:tc>
        <w:tcPr>
          <w:tcW w:type="pct" w:w="1400"/>
          <w:tcMar>
            <w:top w:type="dxa" w:w="-30"/>
            <w:left w:type="dxa" w:w="30"/>
            <w:bottom w:type="dxa" w:w="-30"/>
            <w:right w:type="dxa" w:w="30"/>
          </w:tcMar>
        </w:tcPr>
        <w:p>
          <w:pPr>
            <w:jc w:val="right"/>
          </w:pPr>
          <w:r>
            <w:rPr>
              <w:color w:val="6B7280"/>
              <w:sz w:val="16"/>
              <w:szCs w:val="16"/>
            </w:rPr>
            <w:t xml:space="preserve">Handout 2.5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2.6 · Extended Example 2A: the Oils overhead budget, 2027</w:t>
          </w:r>
        </w:p>
      </w:tc>
      <w:tc>
        <w:tcPr>
          <w:tcW w:type="pct" w:w="1400"/>
          <w:tcMar>
            <w:top w:type="dxa" w:w="-30"/>
            <w:left w:type="dxa" w:w="30"/>
            <w:bottom w:type="dxa" w:w="-30"/>
            <w:right w:type="dxa" w:w="30"/>
          </w:tcMar>
        </w:tcPr>
        <w:p>
          <w:pPr>
            <w:jc w:val="right"/>
          </w:pPr>
          <w:r>
            <w:rPr>
              <w:color w:val="6B7280"/>
              <w:sz w:val="16"/>
              <w:szCs w:val="16"/>
            </w:rPr>
            <w:t xml:space="preserve">Handout 2.6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4ac8468d2acc4ba2c711d1c69630f9f813efbeab.png" Type="http://schemas.openxmlformats.org/officeDocument/2006/relationships/image"/><Relationship Id="rId102" Target="media/9877cf5073e97303c5b0267d091d5298ac5c2f0c.png" Type="http://schemas.openxmlformats.org/officeDocument/2006/relationships/image"/><Relationship Id="rId103" Target="media/bbc9c5c2730114f5670e07d2ff13ca64f772e954.png" Type="http://schemas.openxmlformats.org/officeDocument/2006/relationships/image"/><Relationship Id="rId104" Target="media/0231f103bc9e64e6882b3a59abeee673b0e55609.png" Type="http://schemas.openxmlformats.org/officeDocument/2006/relationships/image"/><Relationship Id="rId105" Target="media/244119658c11a216b65e7a970338420197956cda.png" Type="http://schemas.openxmlformats.org/officeDocument/2006/relationships/image"/><Relationship Id="rId106" Target="media/e561b52d19c709a9b0b44da6538dedd6d347c953.png" Type="http://schemas.openxmlformats.org/officeDocument/2006/relationships/image"/><Relationship Id="rId107" Target="media/a5fec33c2caeaa7c95da75450d0dca6b22d69c25.png" Type="http://schemas.openxmlformats.org/officeDocument/2006/relationships/image"/><Relationship Id="rId108" Target="media/8946d9b0f639cbb20ad59a3f3ee1c3f64650ec81.png" Type="http://schemas.openxmlformats.org/officeDocument/2006/relationships/image"/><Relationship Id="rId109" Target="media/36b33a8ac63b2f556e5f7a93a2fd68813a9ccd33.png" Type="http://schemas.openxmlformats.org/officeDocument/2006/relationships/image"/><Relationship Id="rId110" Target="media/3226566d98595283ceb4aacc6c77cbdef7e1e786.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2 · Chapter 2</dc:title>
  <dc:subject>Summary handouts</dc:subject>
  <cp:category>Student Book</cp:category>
</cp:coreProperties>
</file>