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Three measurement techniques</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Actual costing   ·   Extended Example 5A: one month, three costs   ·   section 5.5</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product cost has three parts: direct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direct labor and overhead. </w:t>
      </w:r>
      <w:r>
        <w:rPr>
          <w:sz w:val="19"/>
          <w:szCs w:val="19"/>
        </w:rPr>
        <w:t xml:space="preserve">The three techniques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how they measure each part. </w:t>
      </w:r>
      <w:r>
        <w:rPr>
          <w:sz w:val="19"/>
          <w:szCs w:val="19"/>
        </w:rPr>
        <w:t xml:space="preserve">Actual costing uses actual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all three. </w:t>
      </w:r>
      <w:r>
        <w:rPr>
          <w:sz w:val="19"/>
          <w:szCs w:val="19"/>
        </w:rPr>
        <w:t xml:space="preserve">Normal costing uses actual direct costs but applies overhead with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rate. </w:t>
      </w:r>
      <w:r>
        <w:rPr>
          <w:sz w:val="19"/>
          <w:szCs w:val="19"/>
        </w:rPr>
        <w:t xml:space="preserve">Standard costing uses standard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prices for everything. </w:t>
      </w:r>
      <w:r>
        <w:rPr>
          <w:sz w:val="19"/>
          <w:szCs w:val="19"/>
        </w:rPr>
        <w:t xml:space="preserve">Each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suits a different need. </w:t>
      </w:r>
      <w:r>
        <w:rPr>
          <w:sz w:val="19"/>
          <w:szCs w:val="19"/>
        </w:rPr>
        <w:t xml:space="preserve">Actual costing is exact but late; normal costing is timely; standard costing also sets targets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can compare with results. </w:t>
      </w:r>
      <w:r>
        <w:rPr>
          <w:sz w:val="19"/>
          <w:szCs w:val="19"/>
        </w:rPr>
        <w:t xml:space="preserve">The techniques measure cost; they do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w:t>
      </w:r>
      <w:r>
        <w:rPr>
          <w:sz w:val="19"/>
          <w:szCs w:val="19"/>
        </w:rPr>
        <w:t xml:space="preserve">Any of them can be used with job costing, process costing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quantities   ·   managers   ·   differ   ·   compare   ·   activity-based   ·   materials   ·   collect   ·   amounts   ·   technique   ·   predetermined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29"/>
        <w:gridCol w:w="2624"/>
        <w:gridCol w:w="2292"/>
        <w:gridCol w:w="335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Actual, normal and standard costing compared</w:t>
            </w:r>
          </w:p>
        </w:tc>
      </w:tr>
      <w:tr>
        <w:tc>
          <w:tcPr>
            <w:tcW w:type="pct" w:w="692"/>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366"/>
            <w:shd w:fill="353A7C" w:val="clear"/>
            <w:tcMar>
              <w:top w:type="dxa" w:w="50"/>
              <w:left w:type="dxa" w:w="110"/>
              <w:bottom w:type="dxa" w:w="50"/>
              <w:right w:type="dxa" w:w="110"/>
            </w:tcMar>
          </w:tcPr>
          <w:p>
            <w:pPr>
              <w:spacing w:before="30" w:after="30"/>
            </w:pPr>
            <w:r>
              <w:rPr>
                <w:b/>
                <w:bCs/>
                <w:color w:val="FFFFFF"/>
                <w:sz w:val="15"/>
                <w:szCs w:val="15"/>
              </w:rPr>
              <w:t xml:space="preserve">Actual costing</w:t>
            </w:r>
          </w:p>
        </w:tc>
        <w:tc>
          <w:tcPr>
            <w:tcW w:type="pct" w:w="1194"/>
            <w:shd w:fill="353A7C" w:val="clear"/>
            <w:tcMar>
              <w:top w:type="dxa" w:w="50"/>
              <w:left w:type="dxa" w:w="110"/>
              <w:bottom w:type="dxa" w:w="50"/>
              <w:right w:type="dxa" w:w="110"/>
            </w:tcMar>
          </w:tcPr>
          <w:p>
            <w:pPr>
              <w:spacing w:before="30" w:after="30"/>
            </w:pPr>
            <w:r>
              <w:rPr>
                <w:b/>
                <w:bCs/>
                <w:color w:val="FFFFFF"/>
                <w:sz w:val="15"/>
                <w:szCs w:val="15"/>
              </w:rPr>
              <w:t xml:space="preserve">Normal costing</w:t>
            </w:r>
          </w:p>
        </w:tc>
        <w:tc>
          <w:tcPr>
            <w:tcW w:type="pct" w:w="1747"/>
            <w:shd w:fill="353A7C" w:val="clear"/>
            <w:tcMar>
              <w:top w:type="dxa" w:w="50"/>
              <w:left w:type="dxa" w:w="110"/>
              <w:bottom w:type="dxa" w:w="50"/>
              <w:right w:type="dxa" w:w="110"/>
            </w:tcMar>
          </w:tcPr>
          <w:p>
            <w:pPr>
              <w:spacing w:before="30" w:after="30"/>
            </w:pPr>
            <w:r>
              <w:rPr>
                <w:b/>
                <w:bCs/>
                <w:color w:val="FFFFFF"/>
                <w:sz w:val="15"/>
                <w:szCs w:val="15"/>
              </w:rPr>
              <w:t xml:space="preserve">Standard costing</w:t>
            </w:r>
          </w:p>
        </w:tc>
      </w:tr>
      <w:tr>
        <w:tc>
          <w:tcPr>
            <w:tcW w:type="pct" w:w="692"/>
            <w:tcMar>
              <w:top w:type="dxa" w:w="50"/>
              <w:left w:type="dxa" w:w="110"/>
              <w:bottom w:type="dxa" w:w="50"/>
              <w:right w:type="dxa" w:w="110"/>
            </w:tcMar>
          </w:tcPr>
          <w:p>
            <w:pPr>
              <w:spacing w:before="28" w:after="28"/>
            </w:pPr>
            <w:r>
              <w:rPr>
                <w:sz w:val="15"/>
                <w:szCs w:val="15"/>
              </w:rPr>
              <w:t xml:space="preserve">Direct materials</w:t>
            </w:r>
          </w:p>
        </w:tc>
        <w:tc>
          <w:tcPr>
            <w:tcW w:type="pct" w:w="1366"/>
            <w:tcMar>
              <w:top w:type="dxa" w:w="50"/>
              <w:left w:type="dxa" w:w="110"/>
              <w:bottom w:type="dxa" w:w="50"/>
              <w:right w:type="dxa" w:w="110"/>
            </w:tcMar>
          </w:tcPr>
          <w:p>
            <w:pPr>
              <w:spacing w:before="28" w:after="28"/>
            </w:pPr>
            <w:r>
              <w:rPr>
                <w:sz w:val="15"/>
                <w:szCs w:val="15"/>
              </w:rPr>
              <w:t xml:space="preserve">Actual quantity × actual price</w:t>
            </w:r>
          </w:p>
        </w:tc>
        <w:tc>
          <w:tcPr>
            <w:tcW w:type="pct" w:w="1194"/>
            <w:tcMar>
              <w:top w:type="dxa" w:w="50"/>
              <w:left w:type="dxa" w:w="110"/>
              <w:bottom w:type="dxa" w:w="50"/>
              <w:right w:type="dxa" w:w="110"/>
            </w:tcMar>
          </w:tcPr>
          <w:p>
            <w:pPr>
              <w:spacing w:before="28" w:after="28"/>
            </w:pPr>
            <w:r>
              <w:rPr>
                <w:sz w:val="15"/>
                <w:szCs w:val="15"/>
              </w:rPr>
              <w:t xml:space="preserve">Actual quantity × actual price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692"/>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1366"/>
            <w:shd w:fill="FBFAF6" w:val="clear"/>
            <w:tcMar>
              <w:top w:type="dxa" w:w="50"/>
              <w:left w:type="dxa" w:w="110"/>
              <w:bottom w:type="dxa" w:w="50"/>
              <w:right w:type="dxa" w:w="110"/>
            </w:tcMar>
          </w:tcPr>
          <w:p>
            <w:pPr>
              <w:spacing w:before="28" w:after="28"/>
            </w:pPr>
            <w:r>
              <w:rPr>
                <w:sz w:val="15"/>
                <w:szCs w:val="15"/>
              </w:rPr>
              <w:t xml:space="preserve">Actual hours × actual rate</w:t>
            </w:r>
          </w:p>
        </w:tc>
        <w:tc>
          <w:tcPr>
            <w:tcW w:type="pct" w:w="1194"/>
            <w:shd w:fill="FBFAF6" w:val="clear"/>
            <w:tcMar>
              <w:top w:type="dxa" w:w="50"/>
              <w:left w:type="dxa" w:w="110"/>
              <w:bottom w:type="dxa" w:w="50"/>
              <w:right w:type="dxa" w:w="110"/>
            </w:tcMar>
          </w:tcPr>
          <w:p>
            <w:pPr>
              <w:spacing w:before="28" w:after="28"/>
            </w:pPr>
            <w:r>
              <w:rPr>
                <w:sz w:val="15"/>
                <w:szCs w:val="15"/>
              </w:rPr>
              <w:t xml:space="preserve">Actual hours × actual rate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692"/>
            <w:tcMar>
              <w:top w:type="dxa" w:w="50"/>
              <w:left w:type="dxa" w:w="110"/>
              <w:bottom w:type="dxa" w:w="50"/>
              <w:right w:type="dxa" w:w="110"/>
            </w:tcMar>
          </w:tcPr>
          <w:p>
            <w:pPr>
              <w:spacing w:before="28" w:after="28"/>
            </w:pPr>
            <w:r>
              <w:rPr>
                <w:sz w:val="15"/>
                <w:szCs w:val="15"/>
              </w:rPr>
              <w:t xml:space="preserve">Overhead</w:t>
            </w:r>
          </w:p>
        </w:tc>
        <w:tc>
          <w:tcPr>
            <w:tcW w:type="pct" w:w="1366"/>
            <w:tcMar>
              <w:top w:type="dxa" w:w="50"/>
              <w:left w:type="dxa" w:w="110"/>
              <w:bottom w:type="dxa" w:w="50"/>
              <w:right w:type="dxa" w:w="110"/>
            </w:tcMar>
          </w:tcPr>
          <w:p>
            <w:pPr>
              <w:spacing w:before="28" w:after="28"/>
            </w:pPr>
            <w:r>
              <w:rPr>
                <w:sz w:val="15"/>
                <w:szCs w:val="15"/>
              </w:rPr>
              <w:t xml:space="preserve">Actual overhead</w:t>
            </w:r>
          </w:p>
        </w:tc>
        <w:tc>
          <w:tcPr>
            <w:tcW w:type="pct" w:w="1194"/>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747"/>
            <w:tcMar>
              <w:top w:type="dxa" w:w="50"/>
              <w:left w:type="dxa" w:w="110"/>
              <w:bottom w:type="dxa" w:w="50"/>
              <w:right w:type="dxa" w:w="110"/>
            </w:tcMar>
          </w:tcPr>
          <w:p>
            <w:pPr>
              <w:spacing w:before="28" w:after="28"/>
            </w:pPr>
            <w:r>
              <w:rPr>
                <w:sz w:val="15"/>
                <w:szCs w:val="15"/>
              </w:rPr>
              <w:t xml:space="preserve">Standard base allowed × standard rate</w:t>
            </w:r>
          </w:p>
        </w:tc>
      </w:tr>
      <w:tr>
        <w:tc>
          <w:tcPr>
            <w:tcW w:type="pct" w:w="692"/>
            <w:shd w:fill="FBFAF6" w:val="clear"/>
            <w:tcMar>
              <w:top w:type="dxa" w:w="50"/>
              <w:left w:type="dxa" w:w="110"/>
              <w:bottom w:type="dxa" w:w="50"/>
              <w:right w:type="dxa" w:w="110"/>
            </w:tcMar>
          </w:tcPr>
          <w:p>
            <w:pPr>
              <w:spacing w:before="28" w:after="28"/>
            </w:pPr>
            <w:r>
              <w:rPr>
                <w:sz w:val="15"/>
                <w:szCs w:val="15"/>
              </w:rPr>
              <w:t xml:space="preserve">Unit cost known</w:t>
            </w:r>
          </w:p>
        </w:tc>
        <w:tc>
          <w:tcPr>
            <w:tcW w:type="pct" w:w="1366"/>
            <w:shd w:fill="FBFAF6" w:val="clear"/>
            <w:tcMar>
              <w:top w:type="dxa" w:w="50"/>
              <w:left w:type="dxa" w:w="110"/>
              <w:bottom w:type="dxa" w:w="50"/>
              <w:right w:type="dxa" w:w="110"/>
            </w:tcMar>
          </w:tcPr>
          <w:p>
            <w:pPr>
              <w:spacing w:before="28" w:after="28"/>
            </w:pPr>
            <w:r>
              <w:rPr>
                <w:sz w:val="15"/>
                <w:szCs w:val="15"/>
              </w:rPr>
              <w:t xml:space="preserve">After the period ends</w:t>
            </w:r>
          </w:p>
        </w:tc>
        <w:tc>
          <w:tcPr>
            <w:tcW w:type="pct" w:w="1194"/>
            <w:shd w:fill="FBFAF6" w:val="clear"/>
            <w:tcMar>
              <w:top w:type="dxa" w:w="50"/>
              <w:left w:type="dxa" w:w="110"/>
              <w:bottom w:type="dxa" w:w="50"/>
              <w:right w:type="dxa" w:w="110"/>
            </w:tcMar>
          </w:tcPr>
          <w:p>
            <w:pPr>
              <w:spacing w:before="28" w:after="28"/>
            </w:pPr>
            <w:r>
              <w:rPr>
                <w:sz w:val="15"/>
                <w:szCs w:val="15"/>
              </w:rPr>
              <w:t xml:space="preserve">When the work is done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692"/>
            <w:tcMar>
              <w:top w:type="dxa" w:w="50"/>
              <w:left w:type="dxa" w:w="110"/>
              <w:bottom w:type="dxa" w:w="50"/>
              <w:right w:type="dxa" w:w="110"/>
            </w:tcMar>
          </w:tcPr>
          <w:p>
            <w:pPr>
              <w:spacing w:before="28" w:after="28"/>
            </w:pPr>
            <w:r>
              <w:rPr>
                <w:sz w:val="15"/>
                <w:szCs w:val="15"/>
              </w:rPr>
              <w:t xml:space="preserve">Best use</w:t>
            </w:r>
          </w:p>
        </w:tc>
        <w:tc>
          <w:tcPr>
            <w:tcW w:type="pct" w:w="1366"/>
            <w:tcMar>
              <w:top w:type="dxa" w:w="50"/>
              <w:left w:type="dxa" w:w="110"/>
              <w:bottom w:type="dxa" w:w="50"/>
              <w:right w:type="dxa" w:w="110"/>
            </w:tcMar>
          </w:tcPr>
          <w:p>
            <w:pPr>
              <w:spacing w:before="28" w:after="28"/>
            </w:pPr>
            <w:r>
              <w:rPr>
                <w:sz w:val="15"/>
                <w:szCs w:val="15"/>
              </w:rPr>
              <w:t xml:space="preserve">Small firms; audit of results</w:t>
            </w:r>
          </w:p>
        </w:tc>
        <w:tc>
          <w:tcPr>
            <w:tcW w:type="pct" w:w="1194"/>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747"/>
            <w:tcMar>
              <w:top w:type="dxa" w:w="50"/>
              <w:left w:type="dxa" w:w="110"/>
              <w:bottom w:type="dxa" w:w="50"/>
              <w:right w:type="dxa" w:w="110"/>
            </w:tcMar>
          </w:tcPr>
          <w:p>
            <w:pPr>
              <w:spacing w:before="28" w:after="28"/>
            </w:pPr>
            <w:r>
              <w:rPr>
                <w:sz w:val="15"/>
                <w:szCs w:val="15"/>
              </w:rPr>
              <w:t xml:space="preserve">Repetitive production; control through variances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quantity allowed × standard price   ·   Standard hours allowed × standard rate   ·   Actual base × predetermined rate   ·   When the work is done   ·   Job shops; pricing during the year   ·   Before production starts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normal costing   ·   actual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actual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الفعلية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costing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التكاليف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Three measurement techniques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Actual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collect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Standard costing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one month, three costs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quantity allowed × standard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Standard hours allowed × 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Actual base × predetermined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Before production starts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Job shops; pricing during the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quantities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actual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product cost has three parts: direct materials, direct labor and overhead. The three techniques differ in how they measure each part. Actual costing uses actual amounts for all three. Normal costing uses actual direct costs but applies overhead with a predetermined rate. Standard costing uses standard quantities and prices for everything. Each technique suits a different need. Actual costing is exact but late; normal costing is timely; standard costing also sets targets that managers can compare with results. The techniques measure cost; they do not collect it. Any of them can be used with job costing, process costing or activity-based costing.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Actual costing</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Under actual costing, overhead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only when the period ends and the actual overhead is known. </w:t>
      </w:r>
      <w:r>
        <w:rPr>
          <w:sz w:val="19"/>
          <w:szCs w:val="19"/>
        </w:rPr>
        <w:t xml:space="preserve">In May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spent $222,600 on overhead, so the full cost was $903,000, or $12.90 a case. </w:t>
      </w:r>
      <w:r>
        <w:rPr>
          <w:sz w:val="19"/>
          <w:szCs w:val="19"/>
        </w:rPr>
        <w:t xml:space="preserve">Actual costing has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cost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too late for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control during the month. </w:t>
      </w:r>
      <w:r>
        <w:rPr>
          <w:sz w:val="19"/>
          <w:szCs w:val="19"/>
        </w:rPr>
        <w:t xml:space="preserve">And unit cost jumps with volume,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fixed overhead is spread over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month produces. </w:t>
      </w:r>
      <w:r>
        <w:rPr>
          <w:sz w:val="19"/>
          <w:szCs w:val="19"/>
        </w:rPr>
        <w:t xml:space="preserve">Actual costing suits small firms with stable volume, and it is the basis for checking results after the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limits   ·   whatever   ·   pricing   ·   arrives   ·   Beverages   ·   because   ·   assigned   ·   overhead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variable overhead   ·   actual costing</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Actual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assigned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whatever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limits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arrives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pricing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actual costing, overhead is assigned only when the period ends and the actual overhead is known. In May Beverages spent $222,600 on overhead, so the full cost was $903,000, or $12.90 a case. Actual costing has two limits. The cost arrives too late for pricing and control during the month. And unit cost jumps with volume, because fixed overhead is spread over whatever the month produces. Actual costing suits small firms with stable volume, and it is the basis for checking results after the period.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Normal costing</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Normal costing keeps actual direct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direct labor, but applies overhead with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rate: budgeted overhead divided by the budgeted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base, set before the year starts.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uses $150 per machine hour. </w:t>
      </w:r>
      <w:r>
        <w:rPr>
          <w:sz w:val="19"/>
          <w:szCs w:val="19"/>
        </w:rPr>
        <w:t xml:space="preserve">Applied overhead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actual base times the rate. </w:t>
      </w:r>
      <w:r>
        <w:rPr>
          <w:sz w:val="19"/>
          <w:szCs w:val="19"/>
        </w:rPr>
        <w:t xml:space="preserve">In May the line ran 1,414 machine hours, so applied overhead was $212,100. </w:t>
      </w:r>
      <w:r>
        <w:rPr>
          <w:sz w:val="19"/>
          <w:szCs w:val="19"/>
        </w:rPr>
        <w:t xml:space="preserve">Normal costing gives a cost as soon as the work is done, and the rate smooths out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swings in fixed overhead. </w:t>
      </w:r>
      <w:r>
        <w:rPr>
          <w:sz w:val="19"/>
          <w:szCs w:val="19"/>
        </w:rPr>
        <w:t xml:space="preserve">Its limit is that the rate is only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so applied and actual 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   ·   smooths   ·   equals   ·   Beverages   ·   predetermined   ·   seasonal   ·   allocation   ·   materials   ·   estimate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Normal costing is not normal capacity</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Normal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means 'actual direct costs plus applied overhead'. </w:t>
      </w:r>
      <w:r>
        <w:rPr>
          <w:sz w:val="19"/>
          <w:szCs w:val="19"/>
        </w:rPr>
        <w:t xml:space="preserve">Normal capacity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level used to set a fixed overhead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costing   ·   overhead   ·   denominator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allocation base   ·   predetermined overhead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9"/>
        <w:gridCol w:w="49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7"/>
            <w:tcMar>
              <w:top w:type="dxa" w:w="50"/>
              <w:left w:type="dxa" w:w="110"/>
              <w:bottom w:type="dxa" w:w="50"/>
              <w:right w:type="dxa" w:w="110"/>
            </w:tcMar>
          </w:tcPr>
          <w:p>
            <w:pPr>
              <w:spacing w:before="26" w:after="26"/>
            </w:pPr>
            <w:r>
              <w:rPr>
                <w:color w:val="232733"/>
                <w:sz w:val="16"/>
                <w:szCs w:val="16"/>
              </w:rPr>
              <w:t xml:space="preserve">predetermined overhead rate</w:t>
            </w:r>
          </w:p>
        </w:tc>
        <w:tc>
          <w:tcPr>
            <w:tcW w:type="pct" w:w="2563"/>
            <w:tcMar>
              <w:top w:type="dxa" w:w="50"/>
              <w:left w:type="dxa" w:w="110"/>
              <w:bottom w:type="dxa" w:w="50"/>
              <w:right w:type="dxa" w:w="110"/>
            </w:tcMar>
          </w:tcPr>
          <w:p>
            <w:pPr>
              <w:spacing w:before="26" w:after="26"/>
            </w:pPr>
            <w:r>
              <w:rPr>
                <w:color w:val="232733"/>
                <w:sz w:val="16"/>
                <w:szCs w:val="16"/>
              </w:rPr>
              <w:t xml:space="preserve">معدل التحميل التقديري</w:t>
            </w:r>
          </w:p>
        </w:tc>
      </w:tr>
      <w:tr>
        <w:tc>
          <w:tcPr>
            <w:tcW w:type="pct" w:w="2437"/>
            <w:shd w:fill="FBFAF6" w:val="clear"/>
            <w:tcMar>
              <w:top w:type="dxa" w:w="50"/>
              <w:left w:type="dxa" w:w="110"/>
              <w:bottom w:type="dxa" w:w="50"/>
              <w:right w:type="dxa" w:w="110"/>
            </w:tcMar>
          </w:tcPr>
          <w:p>
            <w:pPr>
              <w:spacing w:before="26" w:after="26"/>
            </w:pPr>
            <w:r>
              <w:rPr>
                <w:color w:val="232733"/>
                <w:sz w:val="16"/>
                <w:szCs w:val="16"/>
              </w:rPr>
              <w:t xml:space="preserve">applied overhead</w:t>
            </w:r>
          </w:p>
        </w:tc>
        <w:tc>
          <w:tcPr>
            <w:tcW w:type="pct" w:w="2563"/>
            <w:shd w:fill="FBFAF6" w:val="clear"/>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Normal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predetermined overhead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seasonal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allocation base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Normal costing keeps actual direct materials and direct labor, but applies overhead with a predetermined overhead rate: budgeted overhead divided by the budgeted allocation base, set before the year starts. Beverages uses $150 per machine hour. Applied overhead equals the actual base times the rate. In May the line ran 1,414 machine hours, so applied overhead was $212,100. Normal costing gives a cost as soon as the work is done, and the rate smooths out seasonal swings in fixed overhead. Its limit is that the rate is only an estimate, so applied and actual overhead differ.</w:t>
      </w:r>
    </w:p>
    <w:p>
      <w:pPr>
        <w:spacing w:before="20" w:after="20"/>
        <w:ind w:left="240" w:hanging="240"/>
      </w:pPr>
      <w:r>
        <w:rPr>
          <w:b/>
          <w:bCs/>
          <w:color w:val="353A7C"/>
          <w:sz w:val="15"/>
          <w:szCs w:val="15"/>
        </w:rPr>
        <w:t xml:space="preserve">Summary 2   </w:t>
      </w:r>
      <w:r>
        <w:rPr>
          <w:color w:val="6B7280"/>
          <w:sz w:val="15"/>
          <w:szCs w:val="15"/>
        </w:rPr>
        <w:t xml:space="preserve">Normal costing means 'actual direct costs plus applied overhead'. Normal capacity is a denominator level used to set a fixed overhead rate.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Standard costing</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Standard costing values every input at what it should cost for the output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Each part equals the standard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allowed for the actual output times the standard price.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standard cost card gives $12.60 a case.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actual cost and standard cost is recorded as variances.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study them to control costs, and Book 3 analyzes them in detail. </w:t>
      </w:r>
      <w:r>
        <w:rPr>
          <w:sz w:val="19"/>
          <w:szCs w:val="19"/>
        </w:rPr>
        <w:t xml:space="preserve">Standard costing suits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production such as bottling.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repetitive   ·   difference   ·   Beverages   ·   allowed   ·   achieved   ·   Managers   ·   quantity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May output at standard</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Overhead uses the 1,400 standard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hours allowed for 70,000 cases, not the 1,414 hours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used. </w:t>
      </w:r>
      <w:r>
        <w:rPr>
          <w:sz w:val="19"/>
          <w:szCs w:val="19"/>
        </w:rPr>
        <w:t xml:space="preserve">The standard cost is $882,000.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allowed   ·   machine   ·   actually</w:t>
            </w:r>
          </w:p>
        </w:tc>
      </w:tr>
    </w:tbl>
    <w:p/>
    <w:p>
      <w:pPr>
        <w:spacing w:before="44" w:after="10"/>
      </w:pPr>
      <w:r>
        <w:rPr>
          <w:b/>
          <w:bCs/>
          <w:color w:val="353A7C"/>
          <w:sz w:val="18"/>
          <w:szCs w:val="18"/>
        </w:rPr>
        <w:t xml:space="preserve">Worked example: May output valued at standard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1,400 standard MH × $150   ·   Standard cost of May output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Standard hours allowed, not actual hours</w:t>
            </w:r>
          </w:p>
        </w:tc>
      </w:tr>
    </w:tbl>
    <w:p/>
    <w:p>
      <w:pPr>
        <w:spacing w:before="44" w:after="14"/>
      </w:pPr>
      <w:r>
        <w:rPr>
          <w:b/>
          <w:bCs/>
          <w:color w:val="353A7C"/>
          <w:sz w:val="18"/>
          <w:szCs w:val="18"/>
        </w:rPr>
        <w:t xml:space="preserve">Summary 3</w:t>
      </w:r>
      <w:r>
        <w:rPr>
          <w:color w:val="6B7280"/>
          <w:sz w:val="16"/>
          <w:szCs w:val="16"/>
        </w:rPr>
        <w:t xml:space="preserve">      gaps 10–13</w:t>
      </w:r>
    </w:p>
    <w:p>
      <w:pPr>
        <w:spacing w:before="20" w:after="20" w:line="360" w:lineRule="auto"/>
        <w:ind w:left="200"/>
      </w:pPr>
      <w:r>
        <w:rPr>
          <w:sz w:val="19"/>
          <w:szCs w:val="19"/>
        </w:rPr>
        <w:t xml:space="preserve">In standard costing,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applied on the standard hours allowed for the actual output. </w:t>
      </w:r>
      <w:r>
        <w:rPr>
          <w:sz w:val="19"/>
          <w:szCs w:val="19"/>
        </w:rPr>
        <w:t xml:space="preserve">Using actual hours turns standard costing back into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costing. </w:t>
      </w:r>
      <w:r>
        <w:rPr>
          <w:sz w:val="19"/>
          <w:szCs w:val="19"/>
        </w:rPr>
        <w:t xml:space="preserve">Both ASC 330 and IAS 2 accept standard costs for inventory only if they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actual cost.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must be reviewed and updated regularly.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Standards   ·   approximate   ·   overhead   ·   normal   ·   allowed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overhead   ·   normal costing   ·   standard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Standard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achieved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Overhead: 1,400 standard MH × $150</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approximate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repetitive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normal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Standard costing values every input at what it should cost for the output achieved. Each part equals the standard quantity allowed for the actual output times the standard price. The Beverages standard cost card gives $12.60 a case. The difference between actual cost and standard cost is recorded as variances. Managers study them to control costs, and Book 3 analyzes them in detail. Standard costing suits repetitive production such as bottling.</w:t>
      </w:r>
    </w:p>
    <w:p>
      <w:pPr>
        <w:spacing w:before="20" w:after="20"/>
        <w:ind w:left="240" w:hanging="240"/>
      </w:pPr>
      <w:r>
        <w:rPr>
          <w:b/>
          <w:bCs/>
          <w:color w:val="353A7C"/>
          <w:sz w:val="15"/>
          <w:szCs w:val="15"/>
        </w:rPr>
        <w:t xml:space="preserve">Summary 2   </w:t>
      </w:r>
      <w:r>
        <w:rPr>
          <w:color w:val="6B7280"/>
          <w:sz w:val="15"/>
          <w:szCs w:val="15"/>
        </w:rPr>
        <w:t xml:space="preserve">Overhead uses the 1,400 standard machine hours allowed for 70,000 cases, not the 1,414 hours actually used. The standard cost is $882,000.</w:t>
      </w:r>
    </w:p>
    <w:p>
      <w:pPr>
        <w:spacing w:before="20" w:after="20"/>
        <w:ind w:left="240" w:hanging="240"/>
      </w:pPr>
      <w:r>
        <w:rPr>
          <w:b/>
          <w:bCs/>
          <w:color w:val="353A7C"/>
          <w:sz w:val="15"/>
          <w:szCs w:val="15"/>
        </w:rPr>
        <w:t xml:space="preserve">Summary 3   </w:t>
      </w:r>
      <w:r>
        <w:rPr>
          <w:color w:val="6B7280"/>
          <w:sz w:val="15"/>
          <w:szCs w:val="15"/>
        </w:rPr>
        <w:t xml:space="preserve">In standard costing, overhead is applied on the standard hours allowed for the actual output. Using actual hours turns standard costing back into normal costing. Both ASC 330 and IAS 2 accept standard costs for inventory only if they approximate actual cost. Standards must be reviewed and updated regularly.</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Variable overhead: components, base and rate</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Variable overhead is indirect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that changes with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On the bottling line it has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power for the machines, cleaning chemicals,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supplies, and water and steam.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insurance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fixed overhead.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base for variable 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 what drives it. </w:t>
      </w:r>
      <w:r>
        <w:rPr>
          <w:sz w:val="19"/>
          <w:szCs w:val="19"/>
        </w:rPr>
        <w:t xml:space="preserve">The bottling line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power and supplies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machine hours, not labor hours. </w:t>
      </w:r>
      <w:r>
        <w:rPr>
          <w:sz w:val="19"/>
          <w:szCs w:val="19"/>
        </w:rPr>
        <w:t xml:space="preserve">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line, such as halva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labor hours may be the better base. </w:t>
      </w:r>
      <w:r>
        <w:rPr>
          <w:sz w:val="19"/>
          <w:szCs w:val="19"/>
        </w:rPr>
        <w:t xml:space="preserve">Variable overhead per unit = rate per base unit × base units per product. </w:t>
      </w:r>
      <w:r>
        <w:rPr>
          <w:sz w:val="19"/>
          <w:szCs w:val="19"/>
        </w:rPr>
        <w:t xml:space="preserve">Each case needs 0.02 machine hours, so variable overhead is $1.00 a case. </w:t>
      </w:r>
      <w:r>
        <w:rPr>
          <w:sz w:val="19"/>
          <w:szCs w:val="19"/>
        </w:rPr>
        <w:t xml:space="preserve">Keep variable and fixed overhead apart when you need a variable cost. </w:t>
      </w:r>
      <w:r>
        <w:rPr>
          <w:sz w:val="19"/>
          <w:szCs w:val="19"/>
        </w:rPr>
        <w:t xml:space="preserve">The full predetermined rate of $150 per machine hour mixes both: it gives $1.00 of variable and $2.00 of fixed overhead per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production   ·   manual   ·   Supervision   ·   components   ·   should   ·   activity   ·   finishing   ·   follow   ·   standard   ·   maintenance   ·   depreciation   ·   automated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A special order that uses spare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adds only the variable part. </w:t>
      </w:r>
      <w:r>
        <w:rPr>
          <w:sz w:val="19"/>
          <w:szCs w:val="19"/>
        </w:rPr>
        <w:t xml:space="preserve">Test the base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you use it. </w:t>
      </w:r>
      <w:r>
        <w:rPr>
          <w:sz w:val="19"/>
          <w:szCs w:val="19"/>
        </w:rPr>
        <w:t xml:space="preserve">Plot monthly variable overhead against each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base, as in, and keep the one with a clear causal link and the better fit. </w:t>
      </w:r>
      <w:r>
        <w:rPr>
          <w:sz w:val="19"/>
          <w:szCs w:val="19"/>
        </w:rPr>
        <w:t xml:space="preserve">For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line, machine hours pass both tests. </w:t>
      </w:r>
      <w:r>
        <w:rPr>
          <w:sz w:val="19"/>
          <w:szCs w:val="19"/>
        </w:rPr>
        <w:t xml:space="preserve">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figure travels far. </w:t>
      </w:r>
      <w:r>
        <w:rPr>
          <w:sz w:val="19"/>
          <w:szCs w:val="19"/>
        </w:rPr>
        <w:t xml:space="preserve">It goes on the standard cost card, into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margin and into the flexible overhead budget in Book 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capacity   ·   bottling   ·   contribution   ·   possible   ·   before   ·   per-unit   ·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Variable overhead per unit</w:t>
            </w:r>
          </w:p>
        </w:tc>
      </w:tr>
    </w:tbl>
    <w:p/>
    <w:p>
      <w:pPr>
        <w:spacing w:before="20" w:after="20" w:line="360" w:lineRule="auto"/>
        <w:ind w:left="200"/>
      </w:pPr>
      <w:r>
        <w:rPr>
          <w:sz w:val="19"/>
          <w:szCs w:val="19"/>
        </w:rPr>
        <w:t xml:space="preserve">The first two are done. Calculate variable overhead per unit for the others.</w:t>
      </w:r>
    </w:p>
    <w:p>
      <w:pPr>
        <w:spacing w:before="44" w:after="10"/>
      </w:pPr>
      <w:r>
        <w:rPr>
          <w:b/>
          <w:bCs/>
          <w:color w:val="353A7C"/>
          <w:sz w:val="18"/>
          <w:szCs w:val="18"/>
        </w:rPr>
        <w:t xml:space="preserve">Your turn: variable overhead per unit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Halva tray   ·   Tahini jar (1 kg)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Variable overhead on the bottling line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bottling line · variable overhead (bas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machine hour</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Cleaning chemicals</w:t>
            </w:r>
          </w:p>
        </w:tc>
        <w:tc>
          <w:tcPr>
            <w:tcW w:type="pct" w:w="2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$10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Water and steam</w:t>
            </w:r>
          </w:p>
        </w:tc>
        <w:tc>
          <w:tcPr>
            <w:tcW w:type="pct" w:w="2400"/>
            <w:shd w:fill="FBFAF6" w:val="clear"/>
            <w:tcMar>
              <w:top w:type="dxa" w:w="50"/>
              <w:left w:type="dxa" w:w="110"/>
              <w:bottom w:type="dxa" w:w="50"/>
              <w:right w:type="dxa" w:w="110"/>
            </w:tcMar>
          </w:tcPr>
          <w:p>
            <w:pPr>
              <w:spacing w:before="28" w:after="28"/>
            </w:pPr>
            <w:r>
              <w:rPr>
                <w:sz w:val="15"/>
                <w:szCs w:val="15"/>
              </w:rPr>
              <w:t xml:space="preserve">$8</w:t>
            </w:r>
          </w:p>
        </w:tc>
      </w:tr>
      <w:tr>
        <w:tc>
          <w:tcPr>
            <w:tcW w:type="pct" w:w="2600"/>
            <w:tcMar>
              <w:top w:type="dxa" w:w="50"/>
              <w:left w:type="dxa" w:w="110"/>
              <w:bottom w:type="dxa" w:w="50"/>
              <w:right w:type="dxa" w:w="110"/>
            </w:tcMar>
          </w:tcPr>
          <w:p>
            <w:pPr>
              <w:spacing w:before="28" w:after="28"/>
            </w:pPr>
            <w:r>
              <w:rPr>
                <w:sz w:val="15"/>
                <w:szCs w:val="15"/>
              </w:rPr>
              <w:t xml:space="preserve">Variable overhead rate per machine hour</w:t>
            </w:r>
          </w:p>
        </w:tc>
        <w:tc>
          <w:tcPr>
            <w:tcW w:type="pct" w:w="2400"/>
            <w:tcMar>
              <w:top w:type="dxa" w:w="50"/>
              <w:left w:type="dxa" w:w="110"/>
              <w:bottom w:type="dxa" w:w="50"/>
              <w:right w:type="dxa" w:w="110"/>
            </w:tcMar>
          </w:tcPr>
          <w:p>
            <w:pPr>
              <w:spacing w:before="28" w:after="28"/>
            </w:pPr>
            <w:r>
              <w:rPr>
                <w:sz w:val="15"/>
                <w:szCs w:val="15"/>
              </w:rPr>
              <w:t xml:space="preserve">$50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0.02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tcMar>
              <w:top w:type="dxa" w:w="50"/>
              <w:left w:type="dxa" w:w="110"/>
              <w:bottom w:type="dxa" w:w="50"/>
              <w:right w:type="dxa" w:w="110"/>
            </w:tcMar>
          </w:tcPr>
          <w:p>
            <w:pPr>
              <w:spacing w:before="28" w:after="28"/>
            </w:pPr>
            <w:r>
              <w:rPr>
                <w:sz w:val="15"/>
                <w:szCs w:val="15"/>
              </w:rPr>
              <w:t xml:space="preserve">$1.00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supplies   ·   Variable overhead per case   ·   Standard machine hours per case   ·   Private-label tub (5 kg)   ·   Power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allocation base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أساس التحميل</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Variable overhead: components, base and rate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possible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per-unit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Tahini jar (1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Halva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automated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Power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Maintenance supplies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manual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Standard machine hours per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Variable overhead per case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Variable overhead is indirect production cost that changes with activity. On the bottling line it has four components: power for the machines, cleaning chemicals, maintenance supplies, and water and steam. Supervision, insurance and depreciation are fixed overhead. The allocation base for variable overhead should be what drives it. The bottling line is automated, so power and supplies follow machine hours, not labor hours. On a manual line, such as halva finishing, labor hours may be the better base. Variable overhead per unit = rate per base unit × base units per product. Each case needs 0.02 machine hours, so variable overhead is $1.00 a case. Keep variable and fixed overhead apart when you need a variable cost. The full predetermined rate of $150 per machine hour mixes both: it gives $1.00 of variable and $2.00 of fixed overhead per case.</w:t>
      </w:r>
    </w:p>
    <w:p>
      <w:pPr>
        <w:spacing w:before="20" w:after="20"/>
        <w:ind w:left="240" w:hanging="240"/>
      </w:pPr>
      <w:r>
        <w:rPr>
          <w:b/>
          <w:bCs/>
          <w:color w:val="353A7C"/>
          <w:sz w:val="15"/>
          <w:szCs w:val="15"/>
        </w:rPr>
        <w:t xml:space="preserve">Summary 2   </w:t>
      </w:r>
      <w:r>
        <w:rPr>
          <w:color w:val="6B7280"/>
          <w:sz w:val="15"/>
          <w:szCs w:val="15"/>
        </w:rPr>
        <w:t xml:space="preserve">A special order that uses spare capacity adds only the variable part. Test the base before you use it. Plot monthly variable overhead against each possible base, as in, and keep the one with a clear causal link and the better fit. For the bottling line, machine hours pass both tests. The per-unit figure travels far. It goes on the standard cost card, into the contribution margin and into the flexible overhead budget in Book 3.</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Extended Example 5A: one month, three costs</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costs the same May output three ways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each in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costs per case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show where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 </w:t>
      </w:r>
      <w:r>
        <w:rPr>
          <w:sz w:val="19"/>
          <w:szCs w:val="19"/>
        </w:rPr>
        <w:t xml:space="preserve">Output: 70,000 cases, all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May. </w:t>
      </w:r>
      <w:r>
        <w:rPr>
          <w:sz w:val="19"/>
          <w:szCs w:val="19"/>
        </w:rPr>
        <w:t xml:space="preserve">Actual costs: direct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$637,000; direct labor $43,400;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$70,700; fixed overhead $151,900. </w:t>
      </w:r>
      <w:r>
        <w:rPr>
          <w:sz w:val="19"/>
          <w:szCs w:val="19"/>
        </w:rPr>
        <w:t xml:space="preserve">Machine hours: 1,414 actual; 1,400 standard hours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the output. </w:t>
      </w:r>
      <w:r>
        <w:rPr>
          <w:sz w:val="19"/>
          <w:szCs w:val="19"/>
        </w:rPr>
        <w:t xml:space="preserve">Rates: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overhead $150 per machine hour; standard cost $12.60 a case.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each cost part under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record the entries, and see where the difference between actual and product cost goes. </w:t>
      </w:r>
      <w:r>
        <w:rPr>
          <w:sz w:val="19"/>
          <w:szCs w:val="19"/>
        </w:rPr>
        <w:t xml:space="preserve">Actual: $637,000 + $43,400 + $222,600 = $903,000. </w:t>
      </w:r>
      <w:r>
        <w:rPr>
          <w:sz w:val="19"/>
          <w:szCs w:val="19"/>
        </w:rPr>
        <w:t xml:space="preserve">Normal: $637,000 + $43,400 + 1,414 × $150 = $892,500. </w:t>
      </w:r>
      <w:r>
        <w:rPr>
          <w:sz w:val="19"/>
          <w:szCs w:val="19"/>
        </w:rPr>
        <w:t xml:space="preserve">Standard: 70,000 × $12.60 = $882,000. </w:t>
      </w:r>
      <w:r>
        <w:rPr>
          <w:sz w:val="19"/>
          <w:szCs w:val="19"/>
        </w:rPr>
        <w:t xml:space="preserve">The last row shows the actual cost that did not enter product cost: nothing under actual costing, $10,500 of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overhead under normal costing, and $21,000 of variances under standard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allowed   ·   exam-core   ·   differences   ·   overhead   ·   Measure   ·   predetermined   ·   finished   ·   materials   ·   accounts   ·   variable   ·   records   ·   technique   ·   underapplied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0"/>
        <w:gridCol w:w="1824"/>
        <w:gridCol w:w="1918"/>
        <w:gridCol w:w="193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May output under three techniques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Beverages · May 2027 · 70,000 cases</w:t>
            </w:r>
          </w:p>
        </w:tc>
        <w:tc>
          <w:tcPr>
            <w:tcW w:type="pct" w:w="950"/>
            <w:shd w:fill="353A7C" w:val="clear"/>
            <w:tcMar>
              <w:top w:type="dxa" w:w="50"/>
              <w:left w:type="dxa" w:w="110"/>
              <w:bottom w:type="dxa" w:w="50"/>
              <w:right w:type="dxa" w:w="110"/>
            </w:tcMar>
          </w:tcPr>
          <w:p>
            <w:pPr>
              <w:spacing w:before="30" w:after="30"/>
            </w:pPr>
            <w:r>
              <w:rPr>
                <w:b/>
                <w:bCs/>
                <w:color w:val="FFFFFF"/>
                <w:sz w:val="15"/>
                <w:szCs w:val="15"/>
              </w:rPr>
              <w:t xml:space="preserve">Actual</w:t>
            </w:r>
          </w:p>
        </w:tc>
        <w:tc>
          <w:tcPr>
            <w:tcW w:type="pct" w:w="999"/>
            <w:shd w:fill="353A7C" w:val="clear"/>
            <w:tcMar>
              <w:top w:type="dxa" w:w="50"/>
              <w:left w:type="dxa" w:w="110"/>
              <w:bottom w:type="dxa" w:w="50"/>
              <w:right w:type="dxa" w:w="110"/>
            </w:tcMar>
          </w:tcPr>
          <w:p>
            <w:pPr>
              <w:spacing w:before="30" w:after="30"/>
            </w:pPr>
            <w:r>
              <w:rPr>
                <w:b/>
                <w:bCs/>
                <w:color w:val="FFFFFF"/>
                <w:sz w:val="15"/>
                <w:szCs w:val="15"/>
              </w:rPr>
              <w:t xml:space="preserve">Normal</w:t>
            </w:r>
          </w:p>
        </w:tc>
        <w:tc>
          <w:tcPr>
            <w:tcW w:type="pct" w:w="1009"/>
            <w:shd w:fill="353A7C" w:val="clear"/>
            <w:tcMar>
              <w:top w:type="dxa" w:w="50"/>
              <w:left w:type="dxa" w:w="110"/>
              <w:bottom w:type="dxa" w:w="50"/>
              <w:right w:type="dxa" w:w="110"/>
            </w:tcMar>
          </w:tcPr>
          <w:p>
            <w:pPr>
              <w:spacing w:before="30" w:after="30"/>
            </w:pPr>
            <w:r>
              <w:rPr>
                <w:b/>
                <w:bCs/>
                <w:color w:val="FFFFFF"/>
                <w:sz w:val="15"/>
                <w:szCs w:val="15"/>
              </w:rPr>
              <w:t xml:space="preserve">Standard</w:t>
            </w:r>
          </w:p>
        </w:tc>
      </w:tr>
      <w:tr>
        <w:tc>
          <w:tcPr>
            <w:tcW w:type="pct" w:w="2042"/>
            <w:tcMar>
              <w:top w:type="dxa" w:w="50"/>
              <w:left w:type="dxa" w:w="110"/>
              <w:bottom w:type="dxa" w:w="50"/>
              <w:right w:type="dxa" w:w="110"/>
            </w:tcMar>
          </w:tcPr>
          <w:p>
            <w:pPr>
              <w:spacing w:before="28" w:after="28"/>
            </w:pPr>
            <w:r>
              <w:rPr>
                <w:sz w:val="15"/>
                <w:szCs w:val="15"/>
              </w:rPr>
              <w:t xml:space="preserve">Direct materials</w:t>
            </w:r>
          </w:p>
        </w:tc>
        <w:tc>
          <w:tcPr>
            <w:tcW w:type="pct" w:w="950"/>
            <w:tcMar>
              <w:top w:type="dxa" w:w="50"/>
              <w:left w:type="dxa" w:w="110"/>
              <w:bottom w:type="dxa" w:w="50"/>
              <w:right w:type="dxa" w:w="110"/>
            </w:tcMar>
          </w:tcPr>
          <w:p>
            <w:pPr>
              <w:spacing w:before="28" w:after="28"/>
            </w:pPr>
            <w:r>
              <w:rPr>
                <w:sz w:val="15"/>
                <w:szCs w:val="15"/>
              </w:rPr>
              <w:t xml:space="preserve">637,000</w:t>
            </w:r>
          </w:p>
        </w:tc>
        <w:tc>
          <w:tcPr>
            <w:tcW w:type="pct" w:w="999"/>
            <w:tcMar>
              <w:top w:type="dxa" w:w="50"/>
              <w:left w:type="dxa" w:w="110"/>
              <w:bottom w:type="dxa" w:w="50"/>
              <w:right w:type="dxa" w:w="110"/>
            </w:tcMar>
          </w:tcPr>
          <w:p>
            <w:pPr>
              <w:spacing w:before="28" w:after="28"/>
            </w:pPr>
            <w:r>
              <w:rPr>
                <w:sz w:val="15"/>
                <w:szCs w:val="15"/>
              </w:rPr>
              <w:t xml:space="preserve">637,000</w:t>
            </w:r>
          </w:p>
        </w:tc>
        <w:tc>
          <w:tcPr>
            <w:tcW w:type="pct" w:w="1009"/>
            <w:tcMar>
              <w:top w:type="dxa" w:w="50"/>
              <w:left w:type="dxa" w:w="110"/>
              <w:bottom w:type="dxa" w:w="50"/>
              <w:right w:type="dxa" w:w="110"/>
            </w:tcMar>
          </w:tcPr>
          <w:p>
            <w:pPr>
              <w:spacing w:before="28" w:after="28"/>
            </w:pPr>
            <w:r>
              <w:rPr>
                <w:sz w:val="15"/>
                <w:szCs w:val="15"/>
              </w:rPr>
              <w:t xml:space="preserve">630,000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950"/>
            <w:shd w:fill="FBFAF6" w:val="clear"/>
            <w:tcMar>
              <w:top w:type="dxa" w:w="50"/>
              <w:left w:type="dxa" w:w="110"/>
              <w:bottom w:type="dxa" w:w="50"/>
              <w:right w:type="dxa" w:w="110"/>
            </w:tcMar>
          </w:tcPr>
          <w:p>
            <w:pPr>
              <w:spacing w:before="28" w:after="28"/>
            </w:pPr>
            <w:r>
              <w:rPr>
                <w:sz w:val="15"/>
                <w:szCs w:val="15"/>
              </w:rPr>
              <w:t xml:space="preserve">43,400</w:t>
            </w:r>
          </w:p>
        </w:tc>
        <w:tc>
          <w:tcPr>
            <w:tcW w:type="pct" w:w="999"/>
            <w:shd w:fill="FBFAF6" w:val="clear"/>
            <w:tcMar>
              <w:top w:type="dxa" w:w="50"/>
              <w:left w:type="dxa" w:w="110"/>
              <w:bottom w:type="dxa" w:w="50"/>
              <w:right w:type="dxa" w:w="110"/>
            </w:tcMar>
          </w:tcPr>
          <w:p>
            <w:pPr>
              <w:spacing w:before="28" w:after="28"/>
            </w:pPr>
            <w:r>
              <w:rPr>
                <w:sz w:val="15"/>
                <w:szCs w:val="15"/>
              </w:rPr>
              <w:t xml:space="preserve">43,400</w:t>
            </w:r>
          </w:p>
        </w:tc>
        <w:tc>
          <w:tcPr>
            <w:tcW w:type="pct" w:w="1009"/>
            <w:shd w:fill="FBFAF6" w:val="clear"/>
            <w:tcMar>
              <w:top w:type="dxa" w:w="50"/>
              <w:left w:type="dxa" w:w="110"/>
              <w:bottom w:type="dxa" w:w="50"/>
              <w:right w:type="dxa" w:w="110"/>
            </w:tcMar>
          </w:tcPr>
          <w:p>
            <w:pPr>
              <w:spacing w:before="28" w:after="28"/>
            </w:pPr>
            <w:r>
              <w:rPr>
                <w:sz w:val="15"/>
                <w:szCs w:val="15"/>
              </w:rPr>
              <w:t xml:space="preserve">42,000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950"/>
            <w:tcMar>
              <w:top w:type="dxa" w:w="50"/>
              <w:left w:type="dxa" w:w="110"/>
              <w:bottom w:type="dxa" w:w="50"/>
              <w:right w:type="dxa" w:w="110"/>
            </w:tcMar>
          </w:tcPr>
          <w:p>
            <w:pPr>
              <w:spacing w:before="28" w:after="28"/>
            </w:pPr>
            <w:r>
              <w:rPr>
                <w:sz w:val="15"/>
                <w:szCs w:val="15"/>
              </w:rPr>
              <w:t xml:space="preserve">222,600</w:t>
            </w:r>
          </w:p>
        </w:tc>
        <w:tc>
          <w:tcPr>
            <w:tcW w:type="pct" w:w="999"/>
            <w:tcMar>
              <w:top w:type="dxa" w:w="50"/>
              <w:left w:type="dxa" w:w="110"/>
              <w:bottom w:type="dxa" w:w="50"/>
              <w:right w:type="dxa" w:w="110"/>
            </w:tcMar>
          </w:tcPr>
          <w:p>
            <w:pPr>
              <w:spacing w:before="28" w:after="28"/>
            </w:pPr>
            <w:r>
              <w:rPr>
                <w:sz w:val="15"/>
                <w:szCs w:val="15"/>
              </w:rPr>
              <w:t xml:space="preserve">212,100</w:t>
            </w:r>
          </w:p>
        </w:tc>
        <w:tc>
          <w:tcPr>
            <w:tcW w:type="pct" w:w="1009"/>
            <w:tcMar>
              <w:top w:type="dxa" w:w="50"/>
              <w:left w:type="dxa" w:w="110"/>
              <w:bottom w:type="dxa" w:w="50"/>
              <w:right w:type="dxa" w:w="110"/>
            </w:tcMar>
          </w:tcPr>
          <w:p>
            <w:pPr>
              <w:spacing w:before="28" w:after="28"/>
            </w:pPr>
            <w:r>
              <w:rPr>
                <w:sz w:val="15"/>
                <w:szCs w:val="15"/>
              </w:rPr>
              <w:t xml:space="preserve">210,000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950"/>
            <w:shd w:fill="FBFAF6" w:val="clear"/>
            <w:tcMar>
              <w:top w:type="dxa" w:w="50"/>
              <w:left w:type="dxa" w:w="110"/>
              <w:bottom w:type="dxa" w:w="50"/>
              <w:right w:type="dxa" w:w="110"/>
            </w:tcMar>
          </w:tcPr>
          <w:p>
            <w:pPr>
              <w:spacing w:before="28" w:after="28"/>
            </w:pPr>
            <w:r>
              <w:rPr>
                <w:sz w:val="15"/>
                <w:szCs w:val="15"/>
              </w:rPr>
              <w:t xml:space="preserve">903,000</w:t>
            </w:r>
          </w:p>
        </w:tc>
        <w:tc>
          <w:tcPr>
            <w:tcW w:type="pct" w:w="999"/>
            <w:shd w:fill="FBFAF6" w:val="clear"/>
            <w:tcMar>
              <w:top w:type="dxa" w:w="50"/>
              <w:left w:type="dxa" w:w="110"/>
              <w:bottom w:type="dxa" w:w="50"/>
              <w:right w:type="dxa" w:w="110"/>
            </w:tcMar>
          </w:tcPr>
          <w:p>
            <w:pPr>
              <w:spacing w:before="28" w:after="28"/>
            </w:pPr>
            <w:r>
              <w:rPr>
                <w:sz w:val="15"/>
                <w:szCs w:val="15"/>
              </w:rPr>
              <w:t xml:space="preserve">892,500</w:t>
            </w:r>
          </w:p>
        </w:tc>
        <w:tc>
          <w:tcPr>
            <w:tcW w:type="pct" w:w="1009"/>
            <w:shd w:fill="FBFAF6" w:val="clear"/>
            <w:tcMar>
              <w:top w:type="dxa" w:w="50"/>
              <w:left w:type="dxa" w:w="110"/>
              <w:bottom w:type="dxa" w:w="50"/>
              <w:right w:type="dxa" w:w="110"/>
            </w:tcMar>
          </w:tcPr>
          <w:p>
            <w:pPr>
              <w:spacing w:before="28" w:after="28"/>
            </w:pPr>
            <w:r>
              <w:rPr>
                <w:sz w:val="15"/>
                <w:szCs w:val="15"/>
              </w:rPr>
              <w:t xml:space="preserve">882,000</w:t>
            </w:r>
          </w:p>
        </w:tc>
      </w:tr>
      <w:tr>
        <w:tc>
          <w:tcPr>
            <w:tcW w:type="pct" w:w="2042"/>
            <w:tcMar>
              <w:top w:type="dxa" w:w="50"/>
              <w:left w:type="dxa" w:w="110"/>
              <w:bottom w:type="dxa" w:w="50"/>
              <w:right w:type="dxa" w:w="110"/>
            </w:tcMar>
          </w:tcPr>
          <w:p>
            <w:pPr>
              <w:spacing w:before="28" w:after="28"/>
            </w:pPr>
            <w:r>
              <w:rPr>
                <w:sz w:val="15"/>
                <w:szCs w:val="15"/>
              </w:rPr>
              <w:t xml:space="preserve">Cost per case</w:t>
            </w:r>
          </w:p>
        </w:tc>
        <w:tc>
          <w:tcPr>
            <w:tcW w:type="pct" w:w="950"/>
            <w:tcMar>
              <w:top w:type="dxa" w:w="50"/>
              <w:left w:type="dxa" w:w="110"/>
              <w:bottom w:type="dxa" w:w="50"/>
              <w:right w:type="dxa" w:w="110"/>
            </w:tcMar>
          </w:tcPr>
          <w:p>
            <w:pPr>
              <w:spacing w:before="28" w:after="28"/>
            </w:pPr>
            <w:r>
              <w:rPr>
                <w:sz w:val="15"/>
                <w:szCs w:val="15"/>
              </w:rPr>
              <w:t xml:space="preserve">$12.90</w:t>
            </w:r>
          </w:p>
        </w:tc>
        <w:tc>
          <w:tcPr>
            <w:tcW w:type="pct" w:w="999"/>
            <w:tcMar>
              <w:top w:type="dxa" w:w="50"/>
              <w:left w:type="dxa" w:w="110"/>
              <w:bottom w:type="dxa" w:w="50"/>
              <w:right w:type="dxa" w:w="110"/>
            </w:tcMar>
          </w:tcPr>
          <w:p>
            <w:pPr>
              <w:spacing w:before="28" w:after="28"/>
            </w:pPr>
            <w:r>
              <w:rPr>
                <w:sz w:val="15"/>
                <w:szCs w:val="15"/>
              </w:rPr>
              <w:t xml:space="preserve">$12.75</w:t>
            </w:r>
          </w:p>
        </w:tc>
        <w:tc>
          <w:tcPr>
            <w:tcW w:type="pct" w:w="1009"/>
            <w:tcMar>
              <w:top w:type="dxa" w:w="50"/>
              <w:left w:type="dxa" w:w="110"/>
              <w:bottom w:type="dxa" w:w="50"/>
              <w:right w:type="dxa" w:w="110"/>
            </w:tcMar>
          </w:tcPr>
          <w:p>
            <w:pPr>
              <w:spacing w:before="28" w:after="28"/>
            </w:pPr>
            <w:r>
              <w:rPr>
                <w:sz w:val="15"/>
                <w:szCs w:val="15"/>
              </w:rPr>
              <w:t xml:space="preserve">$12.60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950"/>
            <w:shd w:fill="FBFAF6" w:val="clear"/>
            <w:tcMar>
              <w:top w:type="dxa" w:w="50"/>
              <w:left w:type="dxa" w:w="110"/>
              <w:bottom w:type="dxa" w:w="50"/>
              <w:right w:type="dxa" w:w="110"/>
            </w:tcMar>
          </w:tcPr>
          <w:p>
            <w:pPr>
              <w:spacing w:before="28" w:after="28"/>
            </w:pPr>
            <w:r>
              <w:rPr>
                <w:sz w:val="15"/>
                <w:szCs w:val="15"/>
              </w:rPr>
              <w:t xml:space="preserve">0</w:t>
            </w:r>
          </w:p>
        </w:tc>
        <w:tc>
          <w:tcPr>
            <w:tcW w:type="pct" w:w="999"/>
            <w:shd w:fill="FBFAF6" w:val="clear"/>
            <w:tcMar>
              <w:top w:type="dxa" w:w="50"/>
              <w:left w:type="dxa" w:w="110"/>
              <w:bottom w:type="dxa" w:w="50"/>
              <w:right w:type="dxa" w:w="110"/>
            </w:tcMar>
          </w:tcPr>
          <w:p>
            <w:pPr>
              <w:spacing w:before="28" w:after="28"/>
            </w:pPr>
            <w:r>
              <w:rPr>
                <w:sz w:val="15"/>
                <w:szCs w:val="15"/>
              </w:rPr>
              <w:t xml:space="preserve">10,500</w:t>
            </w:r>
          </w:p>
        </w:tc>
        <w:tc>
          <w:tcPr>
            <w:tcW w:type="pct" w:w="1009"/>
            <w:shd w:fill="FBFAF6" w:val="clear"/>
            <w:tcMar>
              <w:top w:type="dxa" w:w="50"/>
              <w:left w:type="dxa" w:w="110"/>
              <w:bottom w:type="dxa" w:w="50"/>
              <w:right w:type="dxa" w:w="110"/>
            </w:tcMar>
          </w:tcPr>
          <w:p>
            <w:pPr>
              <w:spacing w:before="28" w:after="28"/>
            </w:pPr>
            <w:r>
              <w:rPr>
                <w:sz w:val="15"/>
                <w:szCs w:val="15"/>
              </w:rPr>
              <w:t xml:space="preserve">21,000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in the job   ·   Overhead in product cost   ·   Cost moved to finished goods   ·   Actual cost not in product cost</w:t>
            </w:r>
          </w:p>
        </w:tc>
      </w:tr>
    </w:tbl>
    <w:p/>
    <w:p>
      <w:pPr>
        <w:spacing w:before="44" w:after="14"/>
      </w:pPr>
      <w:r>
        <w:rPr>
          <w:b/>
          <w:bCs/>
          <w:color w:val="353A7C"/>
          <w:sz w:val="18"/>
          <w:szCs w:val="18"/>
        </w:rPr>
        <w:t xml:space="preserve">Summary 2</w:t>
      </w:r>
      <w:r>
        <w:rPr>
          <w:color w:val="6B7280"/>
          <w:sz w:val="16"/>
          <w:szCs w:val="16"/>
        </w:rPr>
        <w:t xml:space="preserve">      gaps 16–17</w:t>
      </w:r>
    </w:p>
    <w:p>
      <w:pPr>
        <w:spacing w:before="20" w:after="20" w:line="360" w:lineRule="auto"/>
        <w:ind w:left="200"/>
      </w:pPr>
      <w:r>
        <w:rPr>
          <w:sz w:val="19"/>
          <w:szCs w:val="19"/>
        </w:rPr>
        <w:t xml:space="preserve">Only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entry differs for normal costing, while standard costing also records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labor at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technique   ·   materials   ·   overhead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15"/>
        <w:gridCol w:w="217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standard costing journal for May</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0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3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02"/>
            <w:tcMar>
              <w:top w:type="dxa" w:w="50"/>
              <w:left w:type="dxa" w:w="110"/>
              <w:bottom w:type="dxa" w:w="50"/>
              <w:right w:type="dxa" w:w="110"/>
            </w:tcMar>
          </w:tcPr>
          <w:p>
            <w:pPr>
              <w:spacing w:before="28" w:after="28"/>
            </w:pPr>
            <w:r>
              <w:rPr>
                <w:sz w:val="15"/>
                <w:szCs w:val="15"/>
              </w:rPr>
              <w:t xml:space="preserve">630,000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Direct Materials Variances</w:t>
            </w:r>
          </w:p>
        </w:tc>
        <w:tc>
          <w:tcPr>
            <w:tcW w:type="pct" w:w="1102"/>
            <w:shd w:fill="FBFAF6" w:val="clear"/>
            <w:tcMar>
              <w:top w:type="dxa" w:w="50"/>
              <w:left w:type="dxa" w:w="110"/>
              <w:bottom w:type="dxa" w:w="50"/>
              <w:right w:type="dxa" w:w="110"/>
            </w:tcMar>
          </w:tcPr>
          <w:p>
            <w:pPr>
              <w:spacing w:before="28" w:after="28"/>
            </w:pPr>
            <w:r>
              <w:rPr>
                <w:sz w:val="15"/>
                <w:szCs w:val="15"/>
              </w:rPr>
              <w:t xml:space="preserve">7,000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637,000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02"/>
            <w:shd w:fill="FBFAF6" w:val="clear"/>
            <w:tcMar>
              <w:top w:type="dxa" w:w="50"/>
              <w:left w:type="dxa" w:w="110"/>
              <w:bottom w:type="dxa" w:w="50"/>
              <w:right w:type="dxa" w:w="110"/>
            </w:tcMar>
          </w:tcPr>
          <w:p>
            <w:pPr>
              <w:spacing w:before="28" w:after="28"/>
            </w:pPr>
            <w:r>
              <w:rPr>
                <w:sz w:val="15"/>
                <w:szCs w:val="15"/>
              </w:rPr>
              <w:t xml:space="preserve">42,000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Direct Labor Variances</w:t>
            </w:r>
          </w:p>
        </w:tc>
        <w:tc>
          <w:tcPr>
            <w:tcW w:type="pct" w:w="1102"/>
            <w:tcMar>
              <w:top w:type="dxa" w:w="50"/>
              <w:left w:type="dxa" w:w="110"/>
              <w:bottom w:type="dxa" w:w="50"/>
              <w:right w:type="dxa" w:w="110"/>
            </w:tcMar>
          </w:tcPr>
          <w:p>
            <w:pPr>
              <w:spacing w:before="28" w:after="28"/>
            </w:pPr>
            <w:r>
              <w:rPr>
                <w:sz w:val="15"/>
                <w:szCs w:val="15"/>
              </w:rPr>
              <w:t xml:space="preserve">1,400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43,400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02"/>
            <w:tcMar>
              <w:top w:type="dxa" w:w="50"/>
              <w:left w:type="dxa" w:w="110"/>
              <w:bottom w:type="dxa" w:w="50"/>
              <w:right w:type="dxa" w:w="110"/>
            </w:tcMar>
          </w:tcPr>
          <w:p>
            <w:pPr>
              <w:spacing w:before="28" w:after="28"/>
            </w:pPr>
            <w:r>
              <w:rPr>
                <w:sz w:val="15"/>
                <w:szCs w:val="15"/>
              </w:rPr>
              <w:t xml:space="preserve">222,600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70,700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34,500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75,000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42,400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02"/>
            <w:shd w:fill="FBFAF6" w:val="clear"/>
            <w:tcMar>
              <w:top w:type="dxa" w:w="50"/>
              <w:left w:type="dxa" w:w="110"/>
              <w:bottom w:type="dxa" w:w="50"/>
              <w:right w:type="dxa" w:w="110"/>
            </w:tcMar>
          </w:tcPr>
          <w:p>
            <w:pPr>
              <w:spacing w:before="28" w:after="28"/>
            </w:pPr>
            <w:r>
              <w:rPr>
                <w:sz w:val="15"/>
                <w:szCs w:val="15"/>
              </w:rPr>
              <w:t xml:space="preserve">210,000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210,000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02"/>
            <w:shd w:fill="FBFAF6" w:val="clear"/>
            <w:tcMar>
              <w:top w:type="dxa" w:w="50"/>
              <w:left w:type="dxa" w:w="110"/>
              <w:bottom w:type="dxa" w:w="50"/>
              <w:right w:type="dxa" w:w="110"/>
            </w:tcMar>
          </w:tcPr>
          <w:p>
            <w:pPr>
              <w:spacing w:before="28" w:after="28"/>
            </w:pPr>
            <w:r>
              <w:rPr>
                <w:sz w:val="15"/>
                <w:szCs w:val="15"/>
              </w:rPr>
              <w:t xml:space="preserve">882,000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882,000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102"/>
            <w:shd w:fill="FBFAF6" w:val="clear"/>
            <w:tcMar>
              <w:top w:type="dxa" w:w="50"/>
              <w:left w:type="dxa" w:w="110"/>
              <w:bottom w:type="dxa" w:w="50"/>
              <w:right w:type="dxa" w:w="110"/>
            </w:tcMar>
          </w:tcPr>
          <w:p>
            <w:pPr>
              <w:spacing w:before="28" w:after="28"/>
            </w:pPr>
            <w:r>
              <w:rPr>
                <w:sz w:val="15"/>
                <w:szCs w:val="15"/>
              </w:rPr>
              <w:t xml:space="preserve">1,995,000</w:t>
            </w:r>
          </w:p>
        </w:tc>
        <w:tc>
          <w:tcPr>
            <w:tcW w:type="pct" w:w="1130"/>
            <w:shd w:fill="FBFAF6" w:val="clear"/>
            <w:tcMar>
              <w:top w:type="dxa" w:w="50"/>
              <w:left w:type="dxa" w:w="110"/>
              <w:bottom w:type="dxa" w:w="50"/>
              <w:right w:type="dxa" w:w="110"/>
            </w:tcMar>
          </w:tcPr>
          <w:p>
            <w:pPr>
              <w:spacing w:before="28" w:after="28"/>
            </w:pPr>
            <w:r>
              <w:rPr>
                <w:sz w:val="15"/>
                <w:szCs w:val="15"/>
              </w:rPr>
              <w:t xml:space="preserve">1,995,000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Totals   ·   Work-in-Process Inventory   ·   Raw Materials Inventory   ·   Wages Payable   ·   Manufacturing Overhead Control   ·   Service Department Charges   ·   normal costing   ·   Finished Goods Inventory   ·   Manufacturing Overhead Applied</w:t>
            </w:r>
          </w:p>
        </w:tc>
      </w:tr>
    </w:tbl>
    <w:p/>
    <w:p>
      <w:pPr>
        <w:spacing w:before="44" w:after="14"/>
      </w:pPr>
      <w:r>
        <w:rPr>
          <w:b/>
          <w:bCs/>
          <w:color w:val="353A7C"/>
          <w:sz w:val="18"/>
          <w:szCs w:val="18"/>
        </w:rPr>
        <w:t xml:space="preserve">Summary 3</w:t>
      </w:r>
      <w:r>
        <w:rPr>
          <w:color w:val="6B7280"/>
          <w:sz w:val="16"/>
          <w:szCs w:val="16"/>
        </w:rPr>
        <w:t xml:space="preserve">      gaps 26–27</w:t>
      </w:r>
    </w:p>
    <w:p>
      <w:pPr>
        <w:spacing w:before="20" w:after="20" w:line="360" w:lineRule="auto"/>
        <w:ind w:left="200"/>
      </w:pPr>
      <w:r>
        <w:rPr>
          <w:sz w:val="19"/>
          <w:szCs w:val="19"/>
        </w:rPr>
        <w:t xml:space="preserve">Standard is lowest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month used more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labor and machine time than the standard allows.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accounts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Normal: actual overhead $222,600 − applied $212,100 =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$10,500. </w:t>
      </w:r>
      <w:r>
        <w:rPr>
          <w:sz w:val="19"/>
          <w:szCs w:val="19"/>
        </w:rPr>
        <w:t xml:space="preserve">Standard: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variance $7,000 + labor variance $1,400 + overhead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$12,600 = $21,000. </w:t>
      </w:r>
      <w:r>
        <w:rPr>
          <w:sz w:val="19"/>
          <w:szCs w:val="19"/>
        </w:rPr>
        <w:t xml:space="preserve">Actual − standard = $903,000 − $882,000 = $21,000.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underapplied   ·   quantities   ·   variances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31–32</w:t>
      </w:r>
    </w:p>
    <w:p>
      <w:pPr>
        <w:spacing w:before="20" w:after="20" w:line="360" w:lineRule="auto"/>
        <w:ind w:left="200"/>
      </w:pPr>
      <w:r>
        <w:rPr>
          <w:sz w:val="19"/>
          <w:szCs w:val="19"/>
        </w:rPr>
        <w:t xml:space="preserve">Expect one set of data and a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about one technique. </w:t>
      </w:r>
      <w:r>
        <w:rPr>
          <w:sz w:val="19"/>
          <w:szCs w:val="19"/>
        </w:rPr>
        <w:t xml:space="preserve">Check which quantities and which rate the technique uses: actual or standard quantities, and an actual or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overhead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costing   ·   predetermined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 job T-0306 · June 2027 (whole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Direct materials used on job T-0306</w:t>
            </w:r>
          </w:p>
        </w:tc>
        <w:tc>
          <w:tcPr>
            <w:tcW w:type="pct" w:w="2400"/>
            <w:tcMar>
              <w:top w:type="dxa" w:w="50"/>
              <w:left w:type="dxa" w:w="110"/>
              <w:bottom w:type="dxa" w:w="50"/>
              <w:right w:type="dxa" w:w="110"/>
            </w:tcMar>
          </w:tcPr>
          <w:p>
            <w:pPr>
              <w:spacing w:before="28" w:after="28"/>
            </w:pPr>
            <w:r>
              <w:rPr>
                <w:sz w:val="15"/>
                <w:szCs w:val="15"/>
              </w:rPr>
              <w:t xml:space="preserve">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Direct labor on job T-0306</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Machine hours on job T-0306</w:t>
            </w:r>
          </w:p>
        </w:tc>
        <w:tc>
          <w:tcPr>
            <w:tcW w:type="pct" w:w="2400"/>
            <w:tcMar>
              <w:top w:type="dxa" w:w="50"/>
              <w:left w:type="dxa" w:w="110"/>
              <w:bottom w:type="dxa" w:w="50"/>
              <w:right w:type="dxa" w:w="110"/>
            </w:tcMar>
          </w:tcPr>
          <w:p>
            <w:pPr>
              <w:spacing w:before="28" w:after="28"/>
            </w:pPr>
            <w:r>
              <w:rPr>
                <w:sz w:val="15"/>
                <w:szCs w:val="15"/>
              </w:rPr>
              <w:t xml:space="preserve">1,200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in the job</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Tahini &amp; Spreads actual overhead for June (all jobs)</w:t>
            </w:r>
          </w:p>
        </w:tc>
        <w:tc>
          <w:tcPr>
            <w:tcW w:type="pct" w:w="2400"/>
            <w:tcMar>
              <w:top w:type="dxa" w:w="50"/>
              <w:left w:type="dxa" w:w="110"/>
              <w:bottom w:type="dxa" w:w="50"/>
              <w:right w:type="dxa" w:w="110"/>
            </w:tcMar>
          </w:tcPr>
          <w:p>
            <w:pPr>
              <w:spacing w:before="28" w:after="28"/>
            </w:pPr>
            <w:r>
              <w:rPr>
                <w:sz w:val="15"/>
                <w:szCs w:val="15"/>
              </w:rPr>
              <w:t xml:space="preserve">250,000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Tahini &amp; Spreads actual machine hours for June</w:t>
            </w:r>
          </w:p>
        </w:tc>
        <w:tc>
          <w:tcPr>
            <w:tcW w:type="pct" w:w="2400"/>
            <w:shd w:fill="FBFAF6" w:val="clear"/>
            <w:tcMar>
              <w:top w:type="dxa" w:w="50"/>
              <w:left w:type="dxa" w:w="110"/>
              <w:bottom w:type="dxa" w:w="50"/>
              <w:right w:type="dxa" w:w="110"/>
            </w:tcMar>
          </w:tcPr>
          <w:p>
            <w:pPr>
              <w:spacing w:before="28" w:after="28"/>
            </w:pPr>
            <w:r>
              <w:rPr>
                <w:sz w:val="15"/>
                <w:szCs w:val="15"/>
              </w:rPr>
              <w:t xml:space="preserve">8,000</w:t>
            </w:r>
          </w:p>
        </w:tc>
      </w:tr>
      <w:tr>
        <w:tc>
          <w:tcPr>
            <w:tcW w:type="pct" w:w="2600"/>
            <w:tcMar>
              <w:top w:type="dxa" w:w="50"/>
              <w:left w:type="dxa" w:w="110"/>
              <w:bottom w:type="dxa" w:w="50"/>
              <w:right w:type="dxa" w:w="110"/>
            </w:tcMar>
          </w:tcPr>
          <w:p>
            <w:pPr>
              <w:spacing w:before="28" w:after="28"/>
            </w:pPr>
            <w:r>
              <w:rPr>
                <w:sz w:val="15"/>
                <w:szCs w:val="15"/>
              </w:rPr>
              <w:t xml:space="preserve">Predetermined overhead rate (fixed + variable)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overhead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Standards for the job's output</w:t>
            </w:r>
          </w:p>
        </w:tc>
        <w:tc>
          <w:tcPr>
            <w:tcW w:type="pct" w:w="2400"/>
            <w:tcMar>
              <w:top w:type="dxa" w:w="50"/>
              <w:left w:type="dxa" w:w="110"/>
              <w:bottom w:type="dxa" w:w="50"/>
              <w:right w:type="dxa" w:w="110"/>
            </w:tcMar>
          </w:tcPr>
          <w:p>
            <w:pPr>
              <w:spacing w:before="28" w:after="28"/>
            </w:pPr>
            <w:r>
              <w:rPr>
                <w:sz w:val="15"/>
                <w:szCs w:val="15"/>
              </w:rPr>
              <w:t xml:space="preserve">DM 48,000; DL 18,000; 1,100 MH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 manager's salary   ·   $30 per MH   ·   $6 per MH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Spread jar (400 g)</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Private-label tub (5 kg)</w:t>
            </w:r>
          </w:p>
        </w:tc>
        <w:tc>
          <w:tcPr>
            <w:tcW w:type="pct" w:w="2400"/>
            <w:shd w:fill="FBFAF6" w:val="clear"/>
            <w:tcMar>
              <w:top w:type="dxa" w:w="50"/>
              <w:left w:type="dxa" w:w="110"/>
              <w:bottom w:type="dxa" w:w="50"/>
              <w:right w:type="dxa" w:w="110"/>
            </w:tcMar>
          </w:tcPr>
          <w:p>
            <w:pPr>
              <w:spacing w:before="28" w:after="28"/>
            </w:pPr>
            <w:r>
              <w:rPr>
                <w:sz w:val="15"/>
                <w:szCs w:val="15"/>
              </w:rPr>
              <w:t xml:space="preserve">0.20 × $6 = $1.20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0.03 × $6 = $0.18   ·   Direct labor on job T-0306</w:t>
            </w:r>
          </w:p>
        </w:tc>
      </w:tr>
    </w:tbl>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costing   ·   Sesame   ·   Power for the grinders   ·   Factory insurance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standard quantity allowed   ·   نظام التكاليف الفعلية</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actual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الفعلية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costing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التكاليف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Extended Example 5A: one month, three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Service Department Charges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Wages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Manufacturing Overhead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allowed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underapplied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predetermined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Overhead in product cost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$30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Cost moved to finished goods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$6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Actual cost not in product cost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0.03 × $6 = $0.18</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Power for the grinders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Work-in-Process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Factory insurance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standard quantity allowed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costs the same May output three ways and records each in the accounts. The costs per case are exam-core; the entries show where the differences go. Output: 70,000 cases, all finished in May. Actual costs: direct materials $637,000; direct labor $43,400; variable overhead $70,700; fixed overhead $151,900. Machine hours: 1,414 actual; 1,400 standard hours allowed for the output. Rates: predetermined overhead $150 per machine hour; standard cost $12.60 a case. Measure each cost part under each technique, record the entries, and see where the difference between actual and product cost goes. Actual: $637,000 + $43,400 + $222,600 = $903,000. Normal: $637,000 + $43,400 + 1,414 × $150 = $892,500. Standard: 70,000 × $12.60 = $882,000. The last row shows the actual cost that did not enter product cost: nothing under actual costing, $10,500 of underapplied overhead under normal costing, and $21,000 of variances under standard costing.</w:t>
      </w:r>
    </w:p>
    <w:p>
      <w:pPr>
        <w:spacing w:before="20" w:after="20"/>
        <w:ind w:left="240" w:hanging="240"/>
      </w:pPr>
      <w:r>
        <w:rPr>
          <w:b/>
          <w:bCs/>
          <w:color w:val="353A7C"/>
          <w:sz w:val="15"/>
          <w:szCs w:val="15"/>
        </w:rPr>
        <w:t xml:space="preserve">Summary 2   </w:t>
      </w:r>
      <w:r>
        <w:rPr>
          <w:color w:val="6B7280"/>
          <w:sz w:val="15"/>
          <w:szCs w:val="15"/>
        </w:rPr>
        <w:t xml:space="preserve">Only the overhead entry differs for normal costing, while standard costing also records materials and labor at standard.</w:t>
      </w:r>
    </w:p>
    <w:p>
      <w:pPr>
        <w:spacing w:before="20" w:after="20"/>
        <w:ind w:left="240" w:hanging="240"/>
      </w:pPr>
      <w:r>
        <w:rPr>
          <w:b/>
          <w:bCs/>
          <w:color w:val="353A7C"/>
          <w:sz w:val="15"/>
          <w:szCs w:val="15"/>
        </w:rPr>
        <w:t xml:space="preserve">Summary 3   </w:t>
      </w:r>
      <w:r>
        <w:rPr>
          <w:color w:val="6B7280"/>
          <w:sz w:val="15"/>
          <w:szCs w:val="15"/>
        </w:rPr>
        <w:t xml:space="preserve">Standard is lowest because the month used more materials, labor and machine time than the standard allows.</w:t>
      </w:r>
    </w:p>
    <w:p>
      <w:pPr>
        <w:spacing w:before="20" w:after="20"/>
        <w:ind w:left="240" w:hanging="240"/>
      </w:pPr>
      <w:r>
        <w:rPr>
          <w:b/>
          <w:bCs/>
          <w:color w:val="353A7C"/>
          <w:sz w:val="15"/>
          <w:szCs w:val="15"/>
        </w:rPr>
        <w:t xml:space="preserve">Summary 4   </w:t>
      </w:r>
      <w:r>
        <w:rPr>
          <w:color w:val="6B7280"/>
          <w:sz w:val="15"/>
          <w:szCs w:val="15"/>
        </w:rPr>
        <w:t xml:space="preserve">Normal: actual overhead $222,600 − applied $212,100 = underapplied $10,500. Standard: materials variance $7,000 + labor variance $1,400 + overhead variances $12,600 = $21,000. Actual − standard = $903,000 − $882,000 = $21,000.</w:t>
      </w:r>
    </w:p>
    <w:p>
      <w:pPr>
        <w:spacing w:before="20" w:after="20"/>
        <w:ind w:left="240" w:hanging="240"/>
      </w:pPr>
      <w:r>
        <w:rPr>
          <w:b/>
          <w:bCs/>
          <w:color w:val="353A7C"/>
          <w:sz w:val="15"/>
          <w:szCs w:val="15"/>
        </w:rPr>
        <w:t xml:space="preserve">Summary 5   </w:t>
      </w:r>
      <w:r>
        <w:rPr>
          <w:color w:val="6B7280"/>
          <w:sz w:val="15"/>
          <w:szCs w:val="15"/>
        </w:rPr>
        <w:t xml:space="preserve">Expect one set of data and a question about one technique. Check which quantities and which rate the technique uses: actual or standard quantities, and an actual or predetermined overhead rate.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Three measurement techniques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Actual costing</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Normal costing</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Standard costing</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Variable overhead: components, base and rate</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Extended Example 5A: one month, three costs</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3256a596b69d646d2864053d542ae946296f912.png" Type="http://schemas.openxmlformats.org/officeDocument/2006/relationships/image"/><Relationship Id="rId102" Target="media/c902f02d441ad3d7d9eb422aedcbf8726cdac70f.png" Type="http://schemas.openxmlformats.org/officeDocument/2006/relationships/image"/><Relationship Id="rId103" Target="media/16b5d9ee9445eab1510a45492a358971e45a0bd5.png" Type="http://schemas.openxmlformats.org/officeDocument/2006/relationships/image"/><Relationship Id="rId104" Target="media/d148fc00f1b5332b65913294384049e764e22ec5.png" Type="http://schemas.openxmlformats.org/officeDocument/2006/relationships/image"/><Relationship Id="rId105" Target="media/6a02d5987feaab6317c9be15b3a655ad53321c27.png" Type="http://schemas.openxmlformats.org/officeDocument/2006/relationships/image"/><Relationship Id="rId106" Target="media/c53953f163d5f0b14838b6ffa4e71ecc5093c96f.png" Type="http://schemas.openxmlformats.org/officeDocument/2006/relationships/image"/><Relationship Id="rId107" Target="media/afb9c220509c58b3ce38835854611044afd3413a.png" Type="http://schemas.openxmlformats.org/officeDocument/2006/relationships/image"/><Relationship Id="rId108" Target="media/a51b5b29bf8fa05daa2b9ffe63ccb6ed1259c824.png" Type="http://schemas.openxmlformats.org/officeDocument/2006/relationships/image"/><Relationship Id="rId109" Target="media/e3e981b0601816a526689aa51048c1e409bfbaa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5</dc:title>
  <dc:subject>Summary handouts</dc:subject>
  <cp:category>Student Book</cp:category>
</cp:coreProperties>
</file>