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Process analysis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analysis   ·   section 15.1   ·   Extended Example 15A: the business case for th   ·   Best practice analysis</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process is a chain of steps that turns an input into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a customer, such as an order into cash. </w:t>
      </w:r>
      <w:r>
        <w:rPr>
          <w:sz w:val="19"/>
          <w:szCs w:val="19"/>
        </w:rPr>
        <w:t xml:space="preserve">Process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studies each step: what it does, who does it, how long it takes, what it costs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adds value. </w:t>
      </w:r>
      <w:r>
        <w:rPr>
          <w:sz w:val="19"/>
          <w:szCs w:val="19"/>
        </w:rPr>
        <w:t xml:space="preserve">The first tool is a process map,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the steps in order. </w:t>
      </w:r>
      <w:r>
        <w:rPr>
          <w:sz w:val="19"/>
          <w:szCs w:val="19"/>
        </w:rPr>
        <w:t xml:space="preserve">Only two of its eight steps, picking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steps the customer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second tool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each step. </w:t>
      </w:r>
      <w:r>
        <w:rPr>
          <w:sz w:val="19"/>
          <w:szCs w:val="19"/>
        </w:rPr>
        <w:t xml:space="preserve">The cycle time from order to cash is 9 days, and the staff time is 2.10 hours per order.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measures   ·   values   ·   analysis   ·   shipping   ·   process   ·   business   ·   diagram   ·   whether   ·   result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cost of one order</w:t>
            </w:r>
          </w:p>
        </w:tc>
      </w:tr>
    </w:tbl>
    <w:p/>
    <w:p>
      <w:pPr>
        <w:spacing w:before="20" w:after="20" w:line="360" w:lineRule="auto"/>
        <w:ind w:left="200"/>
      </w:pPr>
      <w:r>
        <w:rPr>
          <w:sz w:val="19"/>
          <w:szCs w:val="19"/>
        </w:rPr>
        <w:t xml:space="preserve">Staff cost $20 an hour.</w:t>
      </w:r>
    </w:p>
    <w:p>
      <w:pPr>
        <w:pageBreakBefore w:val="true"/>
        <w:spacing w:after="0"/>
      </w:pPr>
      <w:r>
        <w:rPr>
          <w:sz w:val="2"/>
        </w:rPr>
        <w:t xml:space="preserve"> </w:t>
      </w:r>
    </w:p>
    <w:p>
      <w:pPr>
        <w:spacing w:before="44" w:after="10"/>
      </w:pPr>
      <w:r>
        <w:rPr>
          <w:b/>
          <w:bCs/>
          <w:color w:val="353A7C"/>
          <w:sz w:val="18"/>
          <w:szCs w:val="18"/>
        </w:rPr>
        <w:t xml:space="preserve">Worked example: staff time and cost of each step, per order</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33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319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Prepare the invoice by hand   ·   Copy the order to the warehouse pick list   ·   Take the order by phone and type it in   ·   Pick and pack   ·   Check the customer's credit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map   ·   process analysis   ·   competitive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process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العمليات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process map</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خريطة العملية</w:t>
            </w:r>
          </w:p>
        </w:tc>
      </w:tr>
      <w:tr>
        <w:tc>
          <w:tcPr>
            <w:tcW w:type="pct" w:w="2600"/>
            <w:tcMar>
              <w:top w:type="dxa" w:w="50"/>
              <w:left w:type="dxa" w:w="110"/>
              <w:bottom w:type="dxa" w:w="50"/>
              <w:right w:type="dxa" w:w="110"/>
            </w:tcMar>
          </w:tcPr>
          <w:p>
            <w:pPr>
              <w:spacing w:before="26" w:after="26"/>
            </w:pPr>
            <w:r>
              <w:rPr>
                <w:color w:val="232733"/>
                <w:sz w:val="16"/>
                <w:szCs w:val="16"/>
              </w:rPr>
              <w:t xml:space="preserve">cycle time</w:t>
            </w:r>
          </w:p>
        </w:tc>
        <w:tc>
          <w:tcPr>
            <w:tcW w:type="pct" w:w="2400"/>
            <w:tcMar>
              <w:top w:type="dxa" w:w="50"/>
              <w:left w:type="dxa" w:w="110"/>
              <w:bottom w:type="dxa" w:w="50"/>
              <w:right w:type="dxa" w:w="110"/>
            </w:tcMar>
          </w:tcPr>
          <w:p>
            <w:pPr>
              <w:spacing w:before="26" w:after="26"/>
            </w:pPr>
            <w:r>
              <w:rPr>
                <w:color w:val="232733"/>
                <w:sz w:val="16"/>
                <w:szCs w:val="16"/>
              </w:rPr>
              <w:t xml:space="preserve">زمن الدورة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Process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Process 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values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Best practice analysis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15A: the business case for th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Take the order by phone and type it 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Check the customer's 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Pick and pack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Prepare the invoice by hand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process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diagram</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process map</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shipping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business process is a chain of steps that turns an input into a result for a customer, such as an order into cash. Process analysis studies each step: what it does, who does it, how long it takes, what it costs and whether it adds value. The first tool is a process map, a diagram of the steps in order. Only two of its eight steps, picking and shipping, are steps the customer values. The second tool measures each step. The cycle time from order to cash is 9 days, and the staff time is 2.10 hours per order.</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Business process reengineering and its savings</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Business process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 radical redesign of a process, not a small improvement. </w:t>
      </w:r>
      <w:r>
        <w:rPr>
          <w:sz w:val="19"/>
          <w:szCs w:val="19"/>
        </w:rPr>
        <w:t xml:space="preserve">Instead of typing orders faster, Tahini lets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order online; instead of preparing invoices by hand, the invoice is created from the shipment record. </w:t>
      </w:r>
      <w:r>
        <w:rPr>
          <w:sz w:val="19"/>
          <w:szCs w:val="19"/>
        </w:rPr>
        <w:t xml:space="preserve">Two steps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four are shortened, and staff time falls to 0.87 hours per order. </w:t>
      </w:r>
      <w:r>
        <w:rPr>
          <w:sz w:val="19"/>
          <w:szCs w:val="19"/>
        </w:rPr>
        <w:t xml:space="preserve">Cycle time falls to 4 days, so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sooner.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must be net. </w:t>
      </w:r>
      <w:r>
        <w:rPr>
          <w:sz w:val="19"/>
          <w:szCs w:val="19"/>
        </w:rPr>
        <w:t xml:space="preserve">The 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saving is $200,000.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process   ·   reengineering   ·   savings   ·   disappear   ·   yearly   ·   arrives</w:t>
            </w:r>
          </w:p>
        </w:tc>
      </w:tr>
    </w:tbl>
    <w:p/>
    <w:p>
      <w:pPr>
        <w:spacing w:before="44" w:after="10"/>
      </w:pPr>
      <w:r>
        <w:rPr>
          <w:b/>
          <w:bCs/>
          <w:color w:val="353A7C"/>
          <w:sz w:val="18"/>
          <w:szCs w:val="18"/>
        </w:rPr>
        <w:t xml:space="preserve">Yearly cost of the old and new processes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Gross yearly saving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saving over three years</w:t>
            </w:r>
          </w:p>
        </w:tc>
      </w:tr>
    </w:tbl>
    <w:p/>
    <w:p>
      <w:pPr>
        <w:spacing w:before="20" w:after="20" w:line="360" w:lineRule="auto"/>
        <w:ind w:left="200"/>
      </w:pPr>
      <w:r>
        <w:rPr>
          <w:sz w:val="19"/>
          <w:szCs w:val="19"/>
        </w:rPr>
        <w:t xml:space="preserve">The change also has a one-off cost of $150,000.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net saving over three years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Three-year view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yearly saving × 3 years</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tcMar>
              <w:top w:type="dxa" w:w="50"/>
              <w:left w:type="dxa" w:w="110"/>
              <w:bottom w:type="dxa" w:w="50"/>
              <w:right w:type="dxa" w:w="110"/>
            </w:tcMar>
          </w:tcPr>
          <w:p>
            <w:pPr>
              <w:spacing w:before="28" w:after="28"/>
            </w:pPr>
            <w:r>
              <w:rPr>
                <w:sz w:val="15"/>
                <w:szCs w:val="15"/>
              </w:rPr>
              <w:t xml:space="preserve">Net saving over three years</w:t>
            </w:r>
          </w:p>
        </w:tc>
        <w:tc>
          <w:tcPr>
            <w:tcW w:type="pct" w:w="24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One-off cost of the change   ·   Net saving over three years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Gross is not net</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often show the gross saving.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answer deducts the running cost of the new process every year and the one-off cost of the change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options   ·   Business   ·   correct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process map   ·   cycle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reengineering</w:t>
            </w:r>
          </w:p>
        </w:tc>
        <w:tc>
          <w:tcPr>
            <w:tcW w:type="pct" w:w="2400"/>
            <w:tcMar>
              <w:top w:type="dxa" w:w="50"/>
              <w:left w:type="dxa" w:w="110"/>
              <w:bottom w:type="dxa" w:w="50"/>
              <w:right w:type="dxa" w:w="110"/>
            </w:tcMar>
          </w:tcPr>
          <w:p>
            <w:pPr>
              <w:spacing w:before="26" w:after="26"/>
            </w:pPr>
            <w:r>
              <w:rPr>
                <w:color w:val="232733"/>
                <w:sz w:val="16"/>
                <w:szCs w:val="16"/>
              </w:rPr>
              <w:t xml:space="preserve">إعادة هندسة العمليات</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Business process reengineering and its savings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reengineering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Gross yearly 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One-off cost of the 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disappear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arrives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correct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savings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process map</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business process reengineering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Business process reengineering is a radical redesign of a process, not a small improvement. Instead of typing orders faster, Tahini lets customers order online; instead of preparing invoices by hand, the invoice is created from the shipment record. Two steps disappear, four are shortened, and staff time falls to 0.87 hours per order. Cycle time falls to 4 days, so cash arrives sooner. The savings must be net. The net yearly saving is $200,000.</w:t>
      </w:r>
    </w:p>
    <w:p>
      <w:pPr>
        <w:spacing w:before="20" w:after="20"/>
        <w:ind w:left="240" w:hanging="240"/>
      </w:pPr>
      <w:r>
        <w:rPr>
          <w:b/>
          <w:bCs/>
          <w:color w:val="353A7C"/>
          <w:sz w:val="15"/>
          <w:szCs w:val="15"/>
        </w:rPr>
        <w:t xml:space="preserve">Summary 2   </w:t>
      </w:r>
      <w:r>
        <w:rPr>
          <w:color w:val="6B7280"/>
          <w:sz w:val="15"/>
          <w:szCs w:val="15"/>
        </w:rPr>
        <w:t xml:space="preserve">Exam options often show the gross saving. The correct answer deducts the running cost of the new process every year and the one-off cost of the change once.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Best practice analysis</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Best practice analysis finds the practices that make the best performers better and adapts them to one's own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 aim is not to copy the result, but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how it is achieved. </w:t>
      </w:r>
      <w:r>
        <w:rPr>
          <w:sz w:val="19"/>
          <w:szCs w:val="19"/>
        </w:rPr>
        <w:t xml:space="preserve">Every one of them removes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step.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   ·   non-value-added   ·   channel   ·   understand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56"/>
        <w:gridCol w:w="292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Best practices found among leading food distributors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Best practice</w:t>
            </w:r>
          </w:p>
        </w:tc>
        <w:tc>
          <w:tcPr>
            <w:tcW w:type="pct" w:w="1279"/>
            <w:shd w:fill="353A7C" w:val="clear"/>
            <w:tcMar>
              <w:top w:type="dxa" w:w="50"/>
              <w:left w:type="dxa" w:w="110"/>
              <w:bottom w:type="dxa" w:w="50"/>
              <w:right w:type="dxa" w:w="110"/>
            </w:tcMar>
          </w:tcPr>
          <w:p>
            <w:pPr>
              <w:spacing w:before="30" w:after="30"/>
            </w:pPr>
            <w:r>
              <w:rPr>
                <w:b/>
                <w:bCs/>
                <w:color w:val="FFFFFF"/>
                <w:sz w:val="15"/>
                <w:szCs w:val="15"/>
              </w:rPr>
              <w:t xml:space="preserve">Why it works</w:t>
            </w:r>
          </w:p>
        </w:tc>
        <w:tc>
          <w:tcPr>
            <w:tcW w:type="pct" w:w="1521"/>
            <w:shd w:fill="353A7C" w:val="clear"/>
            <w:tcMar>
              <w:top w:type="dxa" w:w="50"/>
              <w:left w:type="dxa" w:w="110"/>
              <w:bottom w:type="dxa" w:w="50"/>
              <w:right w:type="dxa" w:w="110"/>
            </w:tcMar>
          </w:tcPr>
          <w:p>
            <w:pPr>
              <w:spacing w:before="30" w:after="30"/>
            </w:pPr>
            <w:r>
              <w:rPr>
                <w:b/>
                <w:bCs/>
                <w:color w:val="FFFFFF"/>
                <w:sz w:val="15"/>
                <w:szCs w:val="15"/>
              </w:rPr>
              <w:t xml:space="preserve">Tahini step it affects</w:t>
            </w:r>
          </w:p>
        </w:tc>
      </w:tr>
      <w:tr>
        <w:tc>
          <w:tcPr>
            <w:tcW w:type="pct" w:w="2200"/>
            <w:tcMar>
              <w:top w:type="dxa" w:w="50"/>
              <w:left w:type="dxa" w:w="110"/>
              <w:bottom w:type="dxa" w:w="50"/>
              <w:right w:type="dxa" w:w="110"/>
            </w:tcMar>
          </w:tcPr>
          <w:p>
            <w:pPr>
              <w:spacing w:before="28" w:after="28"/>
            </w:pPr>
            <w:r>
              <w:rPr>
                <w:sz w:val="15"/>
                <w:szCs w:val="15"/>
              </w:rPr>
              <w:t xml:space="preserve">Customers order online</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521"/>
            <w:tcMar>
              <w:top w:type="dxa" w:w="50"/>
              <w:left w:type="dxa" w:w="110"/>
              <w:bottom w:type="dxa" w:w="50"/>
              <w:right w:type="dxa" w:w="110"/>
            </w:tcMar>
          </w:tcPr>
          <w:p>
            <w:pPr>
              <w:spacing w:before="28" w:after="28"/>
            </w:pPr>
            <w:r>
              <w:rPr>
                <w:sz w:val="15"/>
                <w:szCs w:val="15"/>
              </w:rPr>
              <w:t xml:space="preserve">Order taking, credit check</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Invoice created from the shipment</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21"/>
            <w:shd w:fill="FBFAF6" w:val="clear"/>
            <w:tcMar>
              <w:top w:type="dxa" w:w="50"/>
              <w:left w:type="dxa" w:w="110"/>
              <w:bottom w:type="dxa" w:w="50"/>
              <w:right w:type="dxa" w:w="110"/>
            </w:tcMar>
          </w:tcPr>
          <w:p>
            <w:pPr>
              <w:spacing w:before="28" w:after="28"/>
            </w:pPr>
            <w:r>
              <w:rPr>
                <w:sz w:val="15"/>
                <w:szCs w:val="15"/>
              </w:rPr>
              <w:t xml:space="preserve">Invoicing</w:t>
            </w:r>
          </w:p>
        </w:tc>
      </w:tr>
      <w:tr>
        <w:tc>
          <w:tcPr>
            <w:tcW w:type="pct" w:w="2200"/>
            <w:tcMar>
              <w:top w:type="dxa" w:w="50"/>
              <w:left w:type="dxa" w:w="110"/>
              <w:bottom w:type="dxa" w:w="50"/>
              <w:right w:type="dxa" w:w="110"/>
            </w:tcMar>
          </w:tcPr>
          <w:p>
            <w:pPr>
              <w:spacing w:before="28" w:after="28"/>
            </w:pPr>
            <w:r>
              <w:rPr>
                <w:sz w:val="15"/>
                <w:szCs w:val="15"/>
              </w:rPr>
              <w:t xml:space="preserve">Payments matched automatically by reference</w:t>
            </w:r>
          </w:p>
        </w:tc>
        <w:tc>
          <w:tcPr>
            <w:tcW w:type="pct" w:w="1279"/>
            <w:tcMar>
              <w:top w:type="dxa" w:w="50"/>
              <w:left w:type="dxa" w:w="110"/>
              <w:bottom w:type="dxa" w:w="50"/>
              <w:right w:type="dxa" w:w="110"/>
            </w:tcMar>
          </w:tcPr>
          <w:p>
            <w:pPr>
              <w:spacing w:before="28" w:after="28"/>
            </w:pPr>
            <w:r>
              <w:rPr>
                <w:sz w:val="15"/>
                <w:szCs w:val="15"/>
              </w:rPr>
              <w:t xml:space="preserve">Faster cash, fewer queries</w:t>
            </w:r>
          </w:p>
        </w:tc>
        <w:tc>
          <w:tcPr>
            <w:tcW w:type="pct" w:w="1521"/>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Suppliers deliver to the line</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21"/>
            <w:shd w:fill="FBFAF6" w:val="clear"/>
            <w:tcMar>
              <w:top w:type="dxa" w:w="50"/>
              <w:left w:type="dxa" w:w="110"/>
              <w:bottom w:type="dxa" w:w="50"/>
              <w:right w:type="dxa" w:w="110"/>
            </w:tcMar>
          </w:tcPr>
          <w:p>
            <w:pPr>
              <w:spacing w:before="28" w:after="28"/>
            </w:pPr>
            <w:r>
              <w:rPr>
                <w:sz w:val="15"/>
                <w:szCs w:val="15"/>
              </w:rPr>
              <w:t xml:space="preserve">Receiving (Chapter 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separate invoicing step   ·   Less storage and handling   ·   competitive benchmarking   ·   Cash collection   ·   Removes typing and copying errors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A practice must fit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Online ordering works for Barada and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many small shops still order by phone, so Tahini keeps a simple phone channel for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supermarkets   ·   organization   ·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best practice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أفضل الممارسات</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Best practice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Cash collection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understand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Less storage and handling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non-value-added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organization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Removes typing and copying errors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supermarkets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 separate invoicing step</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Best practice analysis finds the practices that make the best performers better and adapts them to one's own organization. The aim is not to copy the result, but to understand how it is achieved. Every one of them removes a non-value-added step.</w:t>
      </w:r>
    </w:p>
    <w:p>
      <w:pPr>
        <w:spacing w:before="20" w:after="20"/>
        <w:ind w:left="240" w:hanging="240"/>
      </w:pPr>
      <w:r>
        <w:rPr>
          <w:b/>
          <w:bCs/>
          <w:color w:val="353A7C"/>
          <w:sz w:val="15"/>
          <w:szCs w:val="15"/>
        </w:rPr>
        <w:t xml:space="preserve">Summary 2   </w:t>
      </w:r>
      <w:r>
        <w:rPr>
          <w:color w:val="6B7280"/>
          <w:sz w:val="15"/>
          <w:szCs w:val="15"/>
        </w:rPr>
        <w:t xml:space="preserve">A practice must fit the organization. Online ordering works for Barada and the supermarkets; many small shops still order by phone, so Tahini keeps a simple phone channel for them.</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Benchmarking process performance</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Benchmarking compares a process and its results with those of the best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There are four common types: internal benchmarking,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benchmarking, functional benchmarking and generic benchmarking.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correction   ·   performers   ·   competitive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types of benchmarking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Type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Compare with</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758"/>
            <w:tcMar>
              <w:top w:type="dxa" w:w="50"/>
              <w:left w:type="dxa" w:w="110"/>
              <w:bottom w:type="dxa" w:w="50"/>
              <w:right w:type="dxa" w:w="110"/>
            </w:tcMar>
          </w:tcPr>
          <w:p>
            <w:pPr>
              <w:spacing w:before="28" w:after="28"/>
            </w:pPr>
            <w:r>
              <w:rPr>
                <w:sz w:val="15"/>
                <w:szCs w:val="15"/>
              </w:rPr>
              <w:t xml:space="preserve">Internal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42"/>
            <w:tcMar>
              <w:top w:type="dxa" w:w="50"/>
              <w:left w:type="dxa" w:w="110"/>
              <w:bottom w:type="dxa" w:w="50"/>
              <w:right w:type="dxa" w:w="110"/>
            </w:tcMar>
          </w:tcPr>
          <w:p>
            <w:pPr>
              <w:spacing w:before="28" w:after="28"/>
            </w:pPr>
            <w:r>
              <w:rPr>
                <w:sz w:val="15"/>
                <w:szCs w:val="15"/>
              </w:rPr>
              <w:t xml:space="preserve">Tahini vs Oils order handling</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Competitive</w:t>
            </w:r>
          </w:p>
        </w:tc>
        <w:tc>
          <w:tcPr>
            <w:tcW w:type="pct" w:w="2200"/>
            <w:shd w:fill="FBFAF6" w:val="clear"/>
            <w:tcMar>
              <w:top w:type="dxa" w:w="50"/>
              <w:left w:type="dxa" w:w="110"/>
              <w:bottom w:type="dxa" w:w="50"/>
              <w:right w:type="dxa" w:w="110"/>
            </w:tcMar>
          </w:tcPr>
          <w:p>
            <w:pPr>
              <w:spacing w:before="28" w:after="28"/>
            </w:pPr>
            <w:r>
              <w:rPr>
                <w:sz w:val="15"/>
                <w:szCs w:val="15"/>
              </w:rPr>
              <w:t xml:space="preserve">Direct competitors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Functional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Order handling at a pharmaceutical distributor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Generic</w:t>
            </w:r>
          </w:p>
        </w:tc>
        <w:tc>
          <w:tcPr>
            <w:tcW w:type="pct" w:w="2200"/>
            <w:shd w:fill="FBFAF6" w:val="clear"/>
            <w:tcMar>
              <w:top w:type="dxa" w:w="50"/>
              <w:left w:type="dxa" w:w="110"/>
              <w:bottom w:type="dxa" w:w="50"/>
              <w:right w:type="dxa" w:w="110"/>
            </w:tcMar>
          </w:tcPr>
          <w:p>
            <w:pPr>
              <w:spacing w:before="28" w:after="28"/>
            </w:pPr>
            <w:r>
              <w:rPr>
                <w:sz w:val="15"/>
                <w:szCs w:val="15"/>
              </w:rPr>
              <w:t xml:space="preserve">A basic process at the best organizations anywhere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Order handling at a pharmaceutical distributor   ·   Units of the same organization   ·   Invoice-to-cash at a global retailer   ·   Another Jordanian tahini maker   ·   The same function in other industries</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Benchmarking follows a cycle: plan, find partners, collect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data, analyse the gap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behind it, act, and monitor.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closes most of the gap, but best practice is still $16.00 an order and 3 days.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practices   ·   redesign   ·   results   ·   comparable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804"/>
        <w:gridCol w:w="1689"/>
        <w:gridCol w:w="188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Tahini's order-to-cash process against best practice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940"/>
            <w:shd w:fill="353A7C" w:val="clear"/>
            <w:tcMar>
              <w:top w:type="dxa" w:w="50"/>
              <w:left w:type="dxa" w:w="110"/>
              <w:bottom w:type="dxa" w:w="50"/>
              <w:right w:type="dxa" w:w="110"/>
            </w:tcMar>
          </w:tcPr>
          <w:p>
            <w:pPr>
              <w:spacing w:before="30" w:after="30"/>
            </w:pPr>
            <w:r>
              <w:rPr>
                <w:b/>
                <w:bCs/>
                <w:color w:val="FFFFFF"/>
                <w:sz w:val="15"/>
                <w:szCs w:val="15"/>
              </w:rPr>
              <w:t xml:space="preserve">Tahini before</w:t>
            </w:r>
          </w:p>
        </w:tc>
        <w:tc>
          <w:tcPr>
            <w:tcW w:type="pct" w:w="880"/>
            <w:shd w:fill="353A7C" w:val="clear"/>
            <w:tcMar>
              <w:top w:type="dxa" w:w="50"/>
              <w:left w:type="dxa" w:w="110"/>
              <w:bottom w:type="dxa" w:w="50"/>
              <w:right w:type="dxa" w:w="110"/>
            </w:tcMar>
          </w:tcPr>
          <w:p>
            <w:pPr>
              <w:spacing w:before="30" w:after="30"/>
            </w:pPr>
            <w:r>
              <w:rPr>
                <w:b/>
                <w:bCs/>
                <w:color w:val="FFFFFF"/>
                <w:sz w:val="15"/>
                <w:szCs w:val="15"/>
              </w:rPr>
              <w:t xml:space="preserve">Tahini after</w:t>
            </w:r>
          </w:p>
        </w:tc>
        <w:tc>
          <w:tcPr>
            <w:tcW w:type="pct" w:w="980"/>
            <w:shd w:fill="353A7C" w:val="clear"/>
            <w:tcMar>
              <w:top w:type="dxa" w:w="50"/>
              <w:left w:type="dxa" w:w="110"/>
              <w:bottom w:type="dxa" w:w="50"/>
              <w:right w:type="dxa" w:w="110"/>
            </w:tcMar>
          </w:tcPr>
          <w:p>
            <w:pPr>
              <w:spacing w:before="30" w:after="30"/>
            </w:pPr>
            <w:r>
              <w:rPr>
                <w:b/>
                <w:bCs/>
                <w:color w:val="FFFFFF"/>
                <w:sz w:val="15"/>
                <w:szCs w:val="15"/>
              </w:rPr>
              <w:t xml:space="preserve">Best practice</w:t>
            </w:r>
          </w:p>
        </w:tc>
      </w:tr>
      <w:tr>
        <w:tc>
          <w:tcPr>
            <w:tcW w:type="pct" w:w="2200"/>
            <w:tcMar>
              <w:top w:type="dxa" w:w="50"/>
              <w:left w:type="dxa" w:w="110"/>
              <w:bottom w:type="dxa" w:w="50"/>
              <w:right w:type="dxa" w:w="110"/>
            </w:tcMar>
          </w:tcPr>
          <w:p>
            <w:pPr>
              <w:spacing w:before="28" w:after="28"/>
            </w:pPr>
            <w:r>
              <w:rPr>
                <w:sz w:val="15"/>
                <w:szCs w:val="15"/>
              </w:rPr>
              <w:t xml:space="preserve">Cost per order (all-in)</w:t>
            </w:r>
          </w:p>
        </w:tc>
        <w:tc>
          <w:tcPr>
            <w:tcW w:type="pct" w:w="940"/>
            <w:tcMar>
              <w:top w:type="dxa" w:w="50"/>
              <w:left w:type="dxa" w:w="110"/>
              <w:bottom w:type="dxa" w:w="50"/>
              <w:right w:type="dxa" w:w="110"/>
            </w:tcMar>
          </w:tcPr>
          <w:p>
            <w:pPr>
              <w:spacing w:before="28" w:after="28"/>
            </w:pPr>
            <w:r>
              <w:rPr>
                <w:sz w:val="15"/>
                <w:szCs w:val="15"/>
              </w:rPr>
              <w:t xml:space="preserve">$44.50</w:t>
            </w:r>
          </w:p>
        </w:tc>
        <w:tc>
          <w:tcPr>
            <w:tcW w:type="pct" w:w="880"/>
            <w:tcMar>
              <w:top w:type="dxa" w:w="50"/>
              <w:left w:type="dxa" w:w="110"/>
              <w:bottom w:type="dxa" w:w="50"/>
              <w:right w:type="dxa" w:w="110"/>
            </w:tcMar>
          </w:tcPr>
          <w:p>
            <w:pPr>
              <w:spacing w:before="28" w:after="28"/>
            </w:pPr>
            <w:r>
              <w:rPr>
                <w:sz w:val="15"/>
                <w:szCs w:val="15"/>
              </w:rPr>
              <w:t xml:space="preserve">$19.50</w:t>
            </w:r>
          </w:p>
        </w:tc>
        <w:tc>
          <w:tcPr>
            <w:tcW w:type="pct" w:w="980"/>
            <w:tcMar>
              <w:top w:type="dxa" w:w="50"/>
              <w:left w:type="dxa" w:w="110"/>
              <w:bottom w:type="dxa" w:w="50"/>
              <w:right w:type="dxa" w:w="110"/>
            </w:tcMar>
          </w:tcPr>
          <w:p>
            <w:pPr>
              <w:spacing w:before="28" w:after="28"/>
            </w:pPr>
            <w:r>
              <w:rPr>
                <w:sz w:val="15"/>
                <w:szCs w:val="15"/>
              </w:rPr>
              <w:t xml:space="preserve">$16.00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40"/>
            <w:shd w:fill="FBFAF6" w:val="clear"/>
            <w:tcMar>
              <w:top w:type="dxa" w:w="50"/>
              <w:left w:type="dxa" w:w="110"/>
              <w:bottom w:type="dxa" w:w="50"/>
              <w:right w:type="dxa" w:w="110"/>
            </w:tcMar>
          </w:tcPr>
          <w:p>
            <w:pPr>
              <w:spacing w:before="28" w:after="28"/>
            </w:pPr>
            <w:r>
              <w:rPr>
                <w:sz w:val="15"/>
                <w:szCs w:val="15"/>
              </w:rPr>
              <w:t xml:space="preserve">9</w:t>
            </w:r>
          </w:p>
        </w:tc>
        <w:tc>
          <w:tcPr>
            <w:tcW w:type="pct" w:w="880"/>
            <w:shd w:fill="FBFAF6" w:val="clear"/>
            <w:tcMar>
              <w:top w:type="dxa" w:w="50"/>
              <w:left w:type="dxa" w:w="110"/>
              <w:bottom w:type="dxa" w:w="50"/>
              <w:right w:type="dxa" w:w="110"/>
            </w:tcMar>
          </w:tcPr>
          <w:p>
            <w:pPr>
              <w:spacing w:before="28" w:after="28"/>
            </w:pPr>
            <w:r>
              <w:rPr>
                <w:sz w:val="15"/>
                <w:szCs w:val="15"/>
              </w:rPr>
              <w:t xml:space="preserve">4</w:t>
            </w:r>
          </w:p>
        </w:tc>
        <w:tc>
          <w:tcPr>
            <w:tcW w:type="pct" w:w="980"/>
            <w:shd w:fill="FBFAF6" w:val="clear"/>
            <w:tcMar>
              <w:top w:type="dxa" w:w="50"/>
              <w:left w:type="dxa" w:w="110"/>
              <w:bottom w:type="dxa" w:w="50"/>
              <w:right w:type="dxa" w:w="110"/>
            </w:tcMar>
          </w:tcPr>
          <w:p>
            <w:pPr>
              <w:spacing w:before="28" w:after="28"/>
            </w:pPr>
            <w:r>
              <w:rPr>
                <w:sz w:val="15"/>
                <w:szCs w:val="15"/>
              </w:rPr>
              <w:t xml:space="preserve">3</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940"/>
            <w:tcMar>
              <w:top w:type="dxa" w:w="50"/>
              <w:left w:type="dxa" w:w="110"/>
              <w:bottom w:type="dxa" w:w="50"/>
              <w:right w:type="dxa" w:w="110"/>
            </w:tcMar>
          </w:tcPr>
          <w:p>
            <w:pPr>
              <w:spacing w:before="28" w:after="28"/>
            </w:pPr>
            <w:r>
              <w:rPr>
                <w:sz w:val="15"/>
                <w:szCs w:val="15"/>
              </w:rPr>
              <w:t xml:space="preserve">5</w:t>
            </w:r>
          </w:p>
        </w:tc>
        <w:tc>
          <w:tcPr>
            <w:tcW w:type="pct" w:w="880"/>
            <w:tcMar>
              <w:top w:type="dxa" w:w="50"/>
              <w:left w:type="dxa" w:w="110"/>
              <w:bottom w:type="dxa" w:w="50"/>
              <w:right w:type="dxa" w:w="110"/>
            </w:tcMar>
          </w:tcPr>
          <w:p>
            <w:pPr>
              <w:spacing w:before="28" w:after="28"/>
            </w:pPr>
            <w:r>
              <w:rPr>
                <w:sz w:val="15"/>
                <w:szCs w:val="15"/>
              </w:rPr>
              <w:t xml:space="preserve">1</w:t>
            </w:r>
          </w:p>
        </w:tc>
        <w:tc>
          <w:tcPr>
            <w:tcW w:type="pct" w:w="980"/>
            <w:tcMar>
              <w:top w:type="dxa" w:w="50"/>
              <w:left w:type="dxa" w:w="110"/>
              <w:bottom w:type="dxa" w:w="50"/>
              <w:right w:type="dxa" w:w="110"/>
            </w:tcMar>
          </w:tcPr>
          <w:p>
            <w:pPr>
              <w:spacing w:before="28" w:after="28"/>
            </w:pPr>
            <w:r>
              <w:rPr>
                <w:sz w:val="15"/>
                <w:szCs w:val="15"/>
              </w:rPr>
              <w:t xml:space="preserve">0.5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Another Jordanian tahini maker   ·   Cycle time, order to cash (days)   ·   Faulty orders (%)</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Measures must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same way on both sides. </w:t>
      </w:r>
      <w:r>
        <w:rPr>
          <w:sz w:val="19"/>
          <w:szCs w:val="19"/>
        </w:rPr>
        <w:t xml:space="preserve">Tahini's all-in cost per order includes error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the running cost of the portal; the survey figure must include the same items, or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misleads.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compares   ·   correction   ·   comparison   ·   defined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competitive benchmarking   ·   functional benchmarking   ·   internal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internal benchmarking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المقارنة المرجعية الداخلية</w:t>
            </w:r>
          </w:p>
        </w:tc>
      </w:tr>
      <w:tr>
        <w:tc>
          <w:tcPr>
            <w:tcW w:type="pct" w:w="2400"/>
            <w:tcMar>
              <w:top w:type="dxa" w:w="50"/>
              <w:left w:type="dxa" w:w="110"/>
              <w:bottom w:type="dxa" w:w="50"/>
              <w:right w:type="dxa" w:w="110"/>
            </w:tcMar>
          </w:tcPr>
          <w:p>
            <w:pPr>
              <w:spacing w:before="26" w:after="26"/>
            </w:pPr>
            <w:r>
              <w:rPr>
                <w:color w:val="232733"/>
                <w:sz w:val="16"/>
                <w:szCs w:val="16"/>
              </w:rPr>
              <w:t xml:space="preserve">competitive 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 التنافسية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functional benchmarking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المقارنة المرجعية الوظيفية</w:t>
            </w:r>
          </w:p>
        </w:tc>
      </w:tr>
      <w:tr>
        <w:tc>
          <w:tcPr>
            <w:tcW w:type="pct" w:w="2400"/>
            <w:tcMar>
              <w:top w:type="dxa" w:w="50"/>
              <w:left w:type="dxa" w:w="110"/>
              <w:bottom w:type="dxa" w:w="50"/>
              <w:right w:type="dxa" w:w="110"/>
            </w:tcMar>
          </w:tcPr>
          <w:p>
            <w:pPr>
              <w:spacing w:before="26" w:after="26"/>
            </w:pPr>
            <w:r>
              <w:rPr>
                <w:color w:val="232733"/>
                <w:sz w:val="16"/>
                <w:szCs w:val="16"/>
              </w:rPr>
              <w:t xml:space="preserve">generic 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 العامة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Benchmarking process performance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performers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redesign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competitive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Cycle time, order to cash (days)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Units of the same 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Faulty orders (%)</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Another Jordanian tahini maker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same function in other industries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correction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Invoice-to-cash at a global retailer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comparison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comparable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internal benchmarking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practices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functional benchmarking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Benchmarking compares a process and its results with those of the best performers. There are four common types: internal benchmarking, competitive benchmarking, functional benchmarking and generic benchmarking.</w:t>
      </w:r>
    </w:p>
    <w:p>
      <w:pPr>
        <w:spacing w:before="20" w:after="20"/>
        <w:ind w:left="240" w:hanging="240"/>
      </w:pPr>
      <w:r>
        <w:rPr>
          <w:b/>
          <w:bCs/>
          <w:color w:val="353A7C"/>
          <w:sz w:val="15"/>
          <w:szCs w:val="15"/>
        </w:rPr>
        <w:t xml:space="preserve">Summary 2   </w:t>
      </w:r>
      <w:r>
        <w:rPr>
          <w:color w:val="6B7280"/>
          <w:sz w:val="15"/>
          <w:szCs w:val="15"/>
        </w:rPr>
        <w:t xml:space="preserve">Benchmarking follows a cycle: plan, find partners, collect comparable data, analyse the gap and the practices behind it, act, and monitor. The redesign closes most of the gap, but best practice is still $16.00 an order and 3 days.</w:t>
      </w:r>
    </w:p>
    <w:p>
      <w:pPr>
        <w:spacing w:before="20" w:after="20"/>
        <w:ind w:left="240" w:hanging="240"/>
      </w:pPr>
      <w:r>
        <w:rPr>
          <w:b/>
          <w:bCs/>
          <w:color w:val="353A7C"/>
          <w:sz w:val="15"/>
          <w:szCs w:val="15"/>
        </w:rPr>
        <w:t xml:space="preserve">Summary 3   </w:t>
      </w:r>
      <w:r>
        <w:rPr>
          <w:color w:val="6B7280"/>
          <w:sz w:val="15"/>
          <w:szCs w:val="15"/>
        </w:rPr>
        <w:t xml:space="preserve">Measures must be defined the same way on both sides. Tahini's all-in cost per order includes error correction and the running cost of the portal; the survey figure must include the same items, or the comparison misleads.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Benchmarking and competitive advantage</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Benchmarking helps create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four ways. </w:t>
      </w:r>
      <w:r>
        <w:rPr>
          <w:sz w:val="19"/>
          <w:szCs w:val="19"/>
        </w:rPr>
        <w:t xml:space="preserve">It sets targets that others already achieve, brings in ideas from outside, focuses on measures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feel, and builds a habit of improving.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advantage   ·   tomorrow's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of benchmarking for competitive advantage</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gives the company</w:t>
            </w:r>
          </w:p>
        </w:tc>
      </w:tr>
      <w:tr>
        <w:tc>
          <w:tcPr>
            <w:tcW w:type="pct" w:w="2400"/>
            <w:tcMar>
              <w:top w:type="dxa" w:w="50"/>
              <w:left w:type="dxa" w:w="110"/>
              <w:bottom w:type="dxa" w:w="50"/>
              <w:right w:type="dxa" w:w="110"/>
            </w:tcMar>
          </w:tcPr>
          <w:p>
            <w:pPr>
              <w:spacing w:before="28" w:after="28"/>
            </w:pPr>
            <w:r>
              <w:rPr>
                <w:sz w:val="15"/>
                <w:szCs w:val="15"/>
              </w:rPr>
              <w:t xml:space="preserve">Realistic targets</w:t>
            </w:r>
          </w:p>
        </w:tc>
        <w:tc>
          <w:tcPr>
            <w:tcW w:type="pct" w:w="2600"/>
            <w:tcMar>
              <w:top w:type="dxa" w:w="50"/>
              <w:left w:type="dxa" w:w="110"/>
              <w:bottom w:type="dxa" w:w="50"/>
              <w:right w:type="dxa" w:w="110"/>
            </w:tcMar>
          </w:tcPr>
          <w:p>
            <w:pPr>
              <w:spacing w:before="28" w:after="28"/>
            </w:pPr>
            <w:r>
              <w:rPr>
                <w:sz w:val="15"/>
                <w:szCs w:val="15"/>
              </w:rPr>
              <w:t xml:space="preserve">Targets based on what others already achieve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New ideas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tcMar>
              <w:top w:type="dxa" w:w="50"/>
              <w:left w:type="dxa" w:w="110"/>
              <w:bottom w:type="dxa" w:w="50"/>
              <w:right w:type="dxa" w:w="110"/>
            </w:tcMar>
          </w:tcPr>
          <w:p>
            <w:pPr>
              <w:spacing w:before="28" w:after="28"/>
            </w:pPr>
            <w:r>
              <w:rPr>
                <w:sz w:val="15"/>
                <w:szCs w:val="15"/>
              </w:rPr>
              <w:t xml:space="preserve">Customer focus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Lasting advantage</w:t>
            </w:r>
          </w:p>
        </w:tc>
        <w:tc>
          <w:tcPr>
            <w:tcW w:type="pct" w:w="2600"/>
            <w:shd w:fill="FBFAF6" w:val="clear"/>
            <w:tcMar>
              <w:top w:type="dxa" w:w="50"/>
              <w:left w:type="dxa" w:w="110"/>
              <w:bottom w:type="dxa" w:w="50"/>
              <w:right w:type="dxa" w:w="110"/>
            </w:tcMar>
          </w:tcPr>
          <w:p>
            <w:pPr>
              <w:spacing w:before="28" w:after="28"/>
            </w:pPr>
            <w:r>
              <w:rPr>
                <w:sz w:val="15"/>
                <w:szCs w:val="15"/>
              </w:rPr>
              <w:t xml:space="preserve">A habit of improving faster than rivals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habit of improving faster than rivals   ·   Measures such as cycle time that customers feel   ·   Practices the company would not have thought of</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For Tahini, a four-day cycle time is now a selling point: Barada receives its orders faster than from other suppliers, and fewer invoices need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lasts only if benchmarking continues.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improve too, so today's best practice becomes tomorrow's normal practice. </w:t>
      </w:r>
      <w:r>
        <w:rPr>
          <w:sz w:val="19"/>
          <w:szCs w:val="19"/>
        </w:rPr>
        <w:t xml:space="preserve">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means benchmarking.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Competitors   ·   advantage   ·   improve   ·   management   ·   correcting</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Lasting advantage   ·   Customer focus   ·   Realistic targets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Benchmarking and competitive advantage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advantage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advantage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Practices the company would not have thought of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Measures such as cycle time that customers feel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Realistic targets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correcting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Customer focus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Benchmarking helps create an advantage in four ways. It sets targets that others already achieve, brings in ideas from outside, focuses on measures customers feel, and builds a habit of improving.</w:t>
      </w:r>
    </w:p>
    <w:p>
      <w:pPr>
        <w:spacing w:before="20" w:after="20"/>
        <w:ind w:left="240" w:hanging="240"/>
      </w:pPr>
      <w:r>
        <w:rPr>
          <w:b/>
          <w:bCs/>
          <w:color w:val="353A7C"/>
          <w:sz w:val="15"/>
          <w:szCs w:val="15"/>
        </w:rPr>
        <w:t xml:space="preserve">Summary 2   </w:t>
      </w:r>
      <w:r>
        <w:rPr>
          <w:color w:val="6B7280"/>
          <w:sz w:val="15"/>
          <w:szCs w:val="15"/>
        </w:rPr>
        <w:t xml:space="preserve">For Tahini, a four-day cycle time is now a selling point: Barada receives its orders faster than from other suppliers, and fewer invoices need correcting. The advantage lasts only if benchmarking continues. Competitors improve too, so today's best practice becomes tomorrow's normal practice. In management it means benchmarking.</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Extended Example 15A: the business case for the new order-to-cash process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This example builds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business case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manager signed.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8,000 orders a year; staff cost $20 an hour;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faulty order costs $50. </w:t>
      </w:r>
      <w:r>
        <w:rPr>
          <w:sz w:val="19"/>
          <w:szCs w:val="19"/>
        </w:rPr>
        <w:t xml:space="preserve">Change: one-off cost $150,000;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$12,800 a year. </w:t>
      </w:r>
      <w:r>
        <w:rPr>
          <w:sz w:val="19"/>
          <w:szCs w:val="19"/>
        </w:rPr>
        <w:t xml:space="preserve">Old process: staff $336,000 + corrections $20,000 = $356,000 a year. </w:t>
      </w:r>
      <w:r>
        <w:rPr>
          <w:sz w:val="19"/>
          <w:szCs w:val="19"/>
        </w:rPr>
        <w:t xml:space="preserve">New process: staff $139,200 + corrections $4,000 = $143,200 a year. </w:t>
      </w:r>
      <w:r>
        <w:rPr>
          <w:sz w:val="19"/>
          <w:szCs w:val="19"/>
        </w:rPr>
        <w:t xml:space="preserve">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saving: $212,800 − $12,800 = $200,000. </w:t>
      </w:r>
      <w:r>
        <w:rPr>
          <w:sz w:val="19"/>
          <w:szCs w:val="19"/>
        </w:rPr>
        <w:t xml:space="preserve">The one-off cost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0.75 years, and the net saving over three years is $450,000.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   recovered   ·   division   ·   yearly   ·   three-year   ·   Volume   ·   correcting   ·   running</w:t>
            </w:r>
          </w:p>
        </w:tc>
      </w:tr>
    </w:tbl>
    <w:p/>
    <w:p>
      <w:pPr>
        <w:spacing w:before="44" w:after="10"/>
      </w:pPr>
      <w:r>
        <w:rPr>
          <w:b/>
          <w:bCs/>
          <w:color w:val="353A7C"/>
          <w:sz w:val="18"/>
          <w:szCs w:val="18"/>
        </w:rPr>
        <w:t xml:space="preserve">Extended Example: the three-year business case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 2   ·   cycle time   ·   Year 1</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Three net yearly savings of $200,000 minus the one-off $150,000 = $450,000, the last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figure.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 per order after the change: ($143,200 + $12,800) ÷ 8,000 = $19.50.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corrections   ·   All-in   ·   cumulative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Expect hours or costs per step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after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volume, and the costs of the change.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yearly cost of each process, deduct the running cost, then deduct the one-off cost once over the period asked.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redesign   ·   Compute   ·   before   ·   three-year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receiving, 2027</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Redesigned</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0"/>
            <w:tcMar>
              <w:top w:type="dxa" w:w="50"/>
              <w:left w:type="dxa" w:w="110"/>
              <w:bottom w:type="dxa" w:w="50"/>
              <w:right w:type="dxa" w:w="110"/>
            </w:tcMar>
          </w:tcPr>
          <w:p>
            <w:pPr>
              <w:spacing w:before="28" w:after="28"/>
            </w:pPr>
            <w:r>
              <w:rPr>
                <w:sz w:val="15"/>
                <w:szCs w:val="15"/>
              </w:rPr>
              <w:t xml:space="preserve">1.0</w:t>
            </w:r>
          </w:p>
        </w:tc>
        <w:tc>
          <w:tcPr>
            <w:tcW w:type="pct" w:w="1400"/>
            <w:tcMar>
              <w:top w:type="dxa" w:w="50"/>
              <w:left w:type="dxa" w:w="110"/>
              <w:bottom w:type="dxa" w:w="50"/>
              <w:right w:type="dxa" w:w="110"/>
            </w:tcMar>
          </w:tcPr>
          <w:p>
            <w:pPr>
              <w:spacing w:before="28" w:after="28"/>
            </w:pPr>
            <w:r>
              <w:rPr>
                <w:sz w:val="15"/>
                <w:szCs w:val="15"/>
              </w:rPr>
              <w:t xml:space="preserve">1.0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c>
          <w:tcPr>
            <w:tcW w:type="pct" w:w="1400"/>
            <w:shd w:fill="FBFAF6" w:val="clear"/>
            <w:tcMar>
              <w:top w:type="dxa" w:w="50"/>
              <w:left w:type="dxa" w:w="110"/>
              <w:bottom w:type="dxa" w:w="50"/>
              <w:right w:type="dxa" w:w="110"/>
            </w:tcMar>
          </w:tcPr>
          <w:p>
            <w:pPr>
              <w:spacing w:before="28" w:after="28"/>
            </w:pPr>
            <w:r>
              <w:rPr>
                <w:sz w:val="15"/>
                <w:szCs w:val="15"/>
              </w:rPr>
              <w:t xml:space="preserve">0.1</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00"/>
            <w:tcMar>
              <w:top w:type="dxa" w:w="50"/>
              <w:left w:type="dxa" w:w="110"/>
              <w:bottom w:type="dxa" w:w="50"/>
              <w:right w:type="dxa" w:w="110"/>
            </w:tcMar>
          </w:tcPr>
          <w:p>
            <w:pPr>
              <w:spacing w:before="28" w:after="28"/>
            </w:pPr>
            <w:r>
              <w:rPr>
                <w:sz w:val="15"/>
                <w:szCs w:val="15"/>
              </w:rPr>
              <w:t xml:space="preserve">0.5</w:t>
            </w:r>
          </w:p>
        </w:tc>
        <w:tc>
          <w:tcPr>
            <w:tcW w:type="pct" w:w="1400"/>
            <w:tcMar>
              <w:top w:type="dxa" w:w="50"/>
              <w:left w:type="dxa" w:w="110"/>
              <w:bottom w:type="dxa" w:w="50"/>
              <w:right w:type="dxa" w:w="110"/>
            </w:tcMar>
          </w:tcPr>
          <w:p>
            <w:pPr>
              <w:spacing w:before="28" w:after="28"/>
            </w:pPr>
            <w:r>
              <w:rPr>
                <w:sz w:val="15"/>
                <w:szCs w:val="15"/>
              </w:rPr>
              <w:t xml:space="preserve">0.3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Type the receipt into the records</w:t>
            </w:r>
          </w:p>
        </w:tc>
        <w:tc>
          <w:tcPr>
            <w:tcW w:type="pct" w:w="1400"/>
            <w:shd w:fill="FBFAF6" w:val="clear"/>
            <w:tcMar>
              <w:top w:type="dxa" w:w="50"/>
              <w:left w:type="dxa" w:w="110"/>
              <w:bottom w:type="dxa" w:w="50"/>
              <w:right w:type="dxa" w:w="110"/>
            </w:tcMar>
          </w:tcPr>
          <w:p>
            <w:pPr>
              <w:spacing w:before="28" w:after="28"/>
            </w:pPr>
            <w:r>
              <w:rPr>
                <w:sz w:val="15"/>
                <w:szCs w:val="15"/>
              </w:rPr>
              <w:t xml:space="preserve">0.8</w:t>
            </w:r>
          </w:p>
        </w:tc>
        <w:tc>
          <w:tcPr>
            <w:tcW w:type="pct" w:w="1400"/>
            <w:shd w:fill="FBFAF6" w:val="clear"/>
            <w:tcMar>
              <w:top w:type="dxa" w:w="50"/>
              <w:left w:type="dxa" w:w="110"/>
              <w:bottom w:type="dxa" w:w="50"/>
              <w:right w:type="dxa" w:w="110"/>
            </w:tcMar>
          </w:tcPr>
          <w:p>
            <w:pPr>
              <w:spacing w:before="28" w:after="28"/>
            </w:pPr>
            <w:r>
              <w:rPr>
                <w:sz w:val="15"/>
                <w:szCs w:val="15"/>
              </w:rPr>
              <w:t xml:space="preserve">0.0</w:t>
            </w:r>
          </w:p>
        </w:tc>
      </w:tr>
      <w:tr>
        <w:tc>
          <w:tcPr>
            <w:tcW w:type="pct" w:w="2200"/>
            <w:tcMar>
              <w:top w:type="dxa" w:w="50"/>
              <w:left w:type="dxa" w:w="110"/>
              <w:bottom w:type="dxa" w:w="50"/>
              <w:right w:type="dxa" w:w="110"/>
            </w:tcMar>
          </w:tcPr>
          <w:p>
            <w:pPr>
              <w:spacing w:before="28" w:after="28"/>
            </w:pPr>
            <w:r>
              <w:rPr>
                <w:sz w:val="15"/>
                <w:szCs w:val="15"/>
              </w:rPr>
              <w:t xml:space="preserve">Put away</w:t>
            </w:r>
          </w:p>
        </w:tc>
        <w:tc>
          <w:tcPr>
            <w:tcW w:type="pct" w:w="1400"/>
            <w:tcMar>
              <w:top w:type="dxa" w:w="50"/>
              <w:left w:type="dxa" w:w="110"/>
              <w:bottom w:type="dxa" w:w="50"/>
              <w:right w:type="dxa" w:w="110"/>
            </w:tcMar>
          </w:tcPr>
          <w:p>
            <w:pPr>
              <w:spacing w:before="28" w:after="28"/>
            </w:pPr>
            <w:r>
              <w:rPr>
                <w:sz w:val="15"/>
                <w:szCs w:val="15"/>
              </w:rPr>
              <w:t xml:space="preserve">0.5</w:t>
            </w:r>
          </w:p>
        </w:tc>
        <w:tc>
          <w:tcPr>
            <w:tcW w:type="pct" w:w="1400"/>
            <w:tcMar>
              <w:top w:type="dxa" w:w="50"/>
              <w:left w:type="dxa" w:w="110"/>
              <w:bottom w:type="dxa" w:w="50"/>
              <w:right w:type="dxa" w:w="110"/>
            </w:tcMar>
          </w:tcPr>
          <w:p>
            <w:pPr>
              <w:spacing w:before="28" w:after="28"/>
            </w:pPr>
            <w:r>
              <w:rPr>
                <w:sz w:val="15"/>
                <w:szCs w:val="15"/>
              </w:rPr>
              <w:t xml:space="preserve">0.5</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Hours per truck</w:t>
            </w:r>
          </w:p>
        </w:tc>
        <w:tc>
          <w:tcPr>
            <w:tcW w:type="pct" w:w="1400"/>
            <w:shd w:fill="FBFAF6" w:val="clear"/>
            <w:tcMar>
              <w:top w:type="dxa" w:w="50"/>
              <w:left w:type="dxa" w:w="110"/>
              <w:bottom w:type="dxa" w:w="50"/>
              <w:right w:type="dxa" w:w="110"/>
            </w:tcMar>
          </w:tcPr>
          <w:p>
            <w:pPr>
              <w:spacing w:before="28" w:after="28"/>
            </w:pPr>
            <w:r>
              <w:rPr>
                <w:sz w:val="15"/>
                <w:szCs w:val="15"/>
              </w:rPr>
              <w:t xml:space="preserve">4.0</w:t>
            </w:r>
          </w:p>
        </w:tc>
        <w:tc>
          <w:tcPr>
            <w:tcW w:type="pct" w:w="1400"/>
            <w:shd w:fill="FBFAF6" w:val="clear"/>
            <w:tcMar>
              <w:top w:type="dxa" w:w="50"/>
              <w:left w:type="dxa" w:w="110"/>
              <w:bottom w:type="dxa" w:w="50"/>
              <w:right w:type="dxa" w:w="110"/>
            </w:tcMar>
          </w:tcPr>
          <w:p>
            <w:pPr>
              <w:spacing w:before="28" w:after="28"/>
            </w:pPr>
            <w:r>
              <w:rPr>
                <w:sz w:val="15"/>
                <w:szCs w:val="15"/>
              </w:rPr>
              <w:t xml:space="preserve">1.9</w:t>
            </w:r>
          </w:p>
        </w:tc>
      </w:tr>
      <w:tr>
        <w:tc>
          <w:tcPr>
            <w:tcW w:type="pct" w:w="2200"/>
            <w:tcMar>
              <w:top w:type="dxa" w:w="50"/>
              <w:left w:type="dxa" w:w="110"/>
              <w:bottom w:type="dxa" w:w="50"/>
              <w:right w:type="dxa" w:w="110"/>
            </w:tcMar>
          </w:tcPr>
          <w:p>
            <w:pPr>
              <w:spacing w:before="28" w:after="28"/>
            </w:pPr>
            <w:r>
              <w:rPr>
                <w:sz w:val="15"/>
                <w:szCs w:val="15"/>
              </w:rPr>
              <w:t xml:space="preserve">Trucks received per year</w:t>
            </w:r>
          </w:p>
        </w:tc>
        <w:tc>
          <w:tcPr>
            <w:tcW w:type="pct" w:w="1400"/>
            <w:tcMar>
              <w:top w:type="dxa" w:w="50"/>
              <w:left w:type="dxa" w:w="110"/>
              <w:bottom w:type="dxa" w:w="50"/>
              <w:right w:type="dxa" w:w="110"/>
            </w:tcMar>
          </w:tcPr>
          <w:p>
            <w:pPr>
              <w:spacing w:before="28" w:after="28"/>
            </w:pPr>
            <w:r>
              <w:rPr>
                <w:sz w:val="15"/>
                <w:szCs w:val="15"/>
              </w:rPr>
              <w:t xml:space="preserve">2,000</w:t>
            </w:r>
          </w:p>
        </w:tc>
        <w:tc>
          <w:tcPr>
            <w:tcW w:type="pct" w:w="1400"/>
            <w:tcMar>
              <w:top w:type="dxa" w:w="50"/>
              <w:left w:type="dxa" w:w="110"/>
              <w:bottom w:type="dxa" w:w="50"/>
              <w:right w:type="dxa" w:w="110"/>
            </w:tcMar>
          </w:tcPr>
          <w:p>
            <w:pPr>
              <w:spacing w:before="28" w:after="28"/>
            </w:pPr>
            <w:r>
              <w:rPr>
                <w:sz w:val="15"/>
                <w:szCs w:val="15"/>
              </w:rPr>
              <w:t xml:space="preserve">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0"/>
            <w:shd w:fill="FBFAF6" w:val="clear"/>
            <w:tcMar>
              <w:top w:type="dxa" w:w="50"/>
              <w:left w:type="dxa" w:w="110"/>
              <w:bottom w:type="dxa" w:w="50"/>
              <w:right w:type="dxa" w:w="110"/>
            </w:tcMar>
          </w:tcPr>
          <w:p>
            <w:pPr>
              <w:spacing w:before="28" w:after="28"/>
            </w:pPr>
            <w:r>
              <w:rPr>
                <w:sz w:val="15"/>
                <w:szCs w:val="15"/>
              </w:rPr>
              <w:t xml:space="preserve">$18</w:t>
            </w:r>
          </w:p>
        </w:tc>
        <w:tc>
          <w:tcPr>
            <w:tcW w:type="pct" w:w="1400"/>
            <w:shd w:fill="FBFAF6" w:val="clear"/>
            <w:tcMar>
              <w:top w:type="dxa" w:w="50"/>
              <w:left w:type="dxa" w:w="110"/>
              <w:bottom w:type="dxa" w:w="50"/>
              <w:right w:type="dxa" w:w="110"/>
            </w:tcMar>
          </w:tcPr>
          <w:p>
            <w:pPr>
              <w:spacing w:before="28" w:after="28"/>
            </w:pPr>
            <w:r>
              <w:rPr>
                <w:sz w:val="15"/>
                <w:szCs w:val="15"/>
              </w:rPr>
              <w:t xml:space="preserve">$18</w:t>
            </w:r>
          </w:p>
        </w:tc>
      </w:tr>
      <w:tr>
        <w:tc>
          <w:tcPr>
            <w:tcW w:type="pct" w:w="2200"/>
            <w:tcMar>
              <w:top w:type="dxa" w:w="50"/>
              <w:left w:type="dxa" w:w="110"/>
              <w:bottom w:type="dxa" w:w="50"/>
              <w:right w:type="dxa" w:w="110"/>
            </w:tcMar>
          </w:tcPr>
          <w:p>
            <w:pPr>
              <w:spacing w:before="28" w:after="28"/>
            </w:pPr>
            <w:r>
              <w:rPr>
                <w:sz w:val="15"/>
                <w:szCs w:val="15"/>
              </w:rPr>
              <w:t xml:space="preserve">One-off cost of the change</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60,000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Yearly running cost (scanners, advance notices)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5,600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Staff cost per hour   ·   Best-practice distributor, hours per truck   ·   Internal   ·   Inspect   ·   Count every carton   ·   Unload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Net yearly saving × 3 years</w:t>
            </w:r>
          </w:p>
        </w:tc>
        <w:tc>
          <w:tcPr>
            <w:tcW w:type="pct" w:w="2400"/>
            <w:tcMar>
              <w:top w:type="dxa" w:w="50"/>
              <w:left w:type="dxa" w:w="110"/>
              <w:bottom w:type="dxa" w:w="50"/>
              <w:right w:type="dxa" w:w="110"/>
            </w:tcMar>
          </w:tcPr>
          <w:p>
            <w:pPr>
              <w:spacing w:before="28" w:after="28"/>
            </w:pPr>
            <w:r>
              <w:rPr>
                <w:sz w:val="15"/>
                <w:szCs w:val="15"/>
              </w:rPr>
              <w:t xml:space="preserve">$200,000 × 3 = $600,000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saving over three years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One-off cost of the change   ·   $600,000 − $150,000 = $450,000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Comparison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Comparison</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Levant's two warehouses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Oils division's receiving dock</w:t>
            </w:r>
          </w:p>
        </w:tc>
        <w:tc>
          <w:tcPr>
            <w:tcW w:type="pct" w:w="2400"/>
            <w:shd w:fill="FBFAF6" w:val="clear"/>
            <w:tcMar>
              <w:top w:type="dxa" w:w="50"/>
              <w:left w:type="dxa" w:w="110"/>
              <w:bottom w:type="dxa" w:w="50"/>
              <w:right w:type="dxa" w:w="110"/>
            </w:tcMar>
          </w:tcPr>
          <w:p>
            <w:pPr>
              <w:spacing w:before="28" w:after="28"/>
            </w:pPr>
            <w:r>
              <w:rPr>
                <w:sz w:val="15"/>
                <w:szCs w:val="15"/>
              </w:rPr>
              <w:t xml:space="preserve">Internal</w:t>
            </w:r>
          </w:p>
        </w:tc>
      </w:tr>
      <w:tr>
        <w:tc>
          <w:tcPr>
            <w:tcW w:type="pct" w:w="2600"/>
            <w:tcMar>
              <w:top w:type="dxa" w:w="50"/>
              <w:left w:type="dxa" w:w="110"/>
              <w:bottom w:type="dxa" w:w="50"/>
              <w:right w:type="dxa" w:w="110"/>
            </w:tcMar>
          </w:tcPr>
          <w:p>
            <w:pPr>
              <w:spacing w:before="28" w:after="28"/>
            </w:pPr>
            <w:r>
              <w:rPr>
                <w:sz w:val="15"/>
                <w:szCs w:val="15"/>
              </w:rPr>
              <w:t xml:space="preserve">Another juice distributor in Amman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Receiving at a pharmaceutical distributor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tcMar>
              <w:top w:type="dxa" w:w="50"/>
              <w:left w:type="dxa" w:w="110"/>
              <w:bottom w:type="dxa" w:w="50"/>
              <w:right w:type="dxa" w:w="110"/>
            </w:tcMar>
          </w:tcPr>
          <w:p>
            <w:pPr>
              <w:spacing w:before="28" w:after="28"/>
            </w:pPr>
            <w:r>
              <w:rPr>
                <w:sz w:val="15"/>
                <w:szCs w:val="15"/>
              </w:rPr>
              <w:t xml:space="preserve">The best receiving process in any industry</w:t>
            </w:r>
          </w:p>
        </w:tc>
        <w:tc>
          <w:tcPr>
            <w:tcW w:type="pct" w:w="2400"/>
            <w:tcMar>
              <w:top w:type="dxa" w:w="50"/>
              <w:left w:type="dxa" w:w="110"/>
              <w:bottom w:type="dxa" w:w="50"/>
              <w:right w:type="dxa" w:w="110"/>
            </w:tcMar>
          </w:tcPr>
          <w:p>
            <w:pPr>
              <w:spacing w:before="28" w:after="28"/>
            </w:pPr>
            <w:r>
              <w:rPr>
                <w:sz w:val="15"/>
                <w:szCs w:val="15"/>
              </w:rPr>
              <w:t xml:space="preserve">Generic</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Functional   ·   Competitive   ·   Generic</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internal benchmarking   ·   cycle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reengineering</w:t>
            </w:r>
          </w:p>
        </w:tc>
        <w:tc>
          <w:tcPr>
            <w:tcW w:type="pct" w:w="2400"/>
            <w:tcMar>
              <w:top w:type="dxa" w:w="50"/>
              <w:left w:type="dxa" w:w="110"/>
              <w:bottom w:type="dxa" w:w="50"/>
              <w:right w:type="dxa" w:w="110"/>
            </w:tcMar>
          </w:tcPr>
          <w:p>
            <w:pPr>
              <w:spacing w:before="26" w:after="26"/>
            </w:pPr>
            <w:r>
              <w:rPr>
                <w:color w:val="232733"/>
                <w:sz w:val="16"/>
                <w:szCs w:val="16"/>
              </w:rPr>
              <w:t xml:space="preserve">إعادة هندسة العمليات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cycle time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زمن الدورة</w:t>
            </w:r>
          </w:p>
        </w:tc>
      </w:tr>
      <w:tr>
        <w:tc>
          <w:tcPr>
            <w:tcW w:type="pct" w:w="2600"/>
            <w:tcMar>
              <w:top w:type="dxa" w:w="50"/>
              <w:left w:type="dxa" w:w="110"/>
              <w:bottom w:type="dxa" w:w="50"/>
              <w:right w:type="dxa" w:w="110"/>
            </w:tcMar>
          </w:tcPr>
          <w:p>
            <w:pPr>
              <w:spacing w:before="26" w:after="26"/>
            </w:pPr>
            <w:r>
              <w:rPr>
                <w:color w:val="232733"/>
                <w:sz w:val="16"/>
                <w:szCs w:val="16"/>
              </w:rPr>
              <w:t xml:space="preserve">benchmarking</w:t>
            </w:r>
          </w:p>
        </w:tc>
        <w:tc>
          <w:tcPr>
            <w:tcW w:type="pct" w:w="2400"/>
            <w:tcMar>
              <w:top w:type="dxa" w:w="50"/>
              <w:left w:type="dxa" w:w="110"/>
              <w:bottom w:type="dxa" w:w="50"/>
              <w:right w:type="dxa" w:w="110"/>
            </w:tcMar>
          </w:tcPr>
          <w:p>
            <w:pPr>
              <w:spacing w:before="26" w:after="26"/>
            </w:pPr>
            <w:r>
              <w:rPr>
                <w:color w:val="232733"/>
                <w:sz w:val="16"/>
                <w:szCs w:val="16"/>
              </w:rPr>
              <w:t xml:space="preserve">المقارنة المرجعية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Extended Example 15A: the business case for the new order-to-cash process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three-year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Unload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Count every carton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correcting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running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Staff cost per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Best-practice distributor, hours per truck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recovered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$600,000 − $150,000 = $450,000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Year 1</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Internal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Year 2</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Competitive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Functional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All-in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business process reengineering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cycle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redesign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builds the three-year business case the division manager signed. Volume: 8,000 orders a year; staff cost $20 an hour; correcting a faulty order costs $50. Change: one-off cost $150,000; running cost $12,800 a year. Old process: staff $336,000 + corrections $20,000 = $356,000 a year. New process: staff $139,200 + corrections $4,000 = $143,200 a year. Net yearly saving: $212,800 − $12,800 = $200,000. The one-off cost is recovered in 0.75 years, and the net saving over three years is $450,000.</w:t>
      </w:r>
    </w:p>
    <w:p>
      <w:pPr>
        <w:spacing w:before="20" w:after="20"/>
        <w:ind w:left="240" w:hanging="240"/>
      </w:pPr>
      <w:r>
        <w:rPr>
          <w:b/>
          <w:bCs/>
          <w:color w:val="353A7C"/>
          <w:sz w:val="15"/>
          <w:szCs w:val="15"/>
        </w:rPr>
        <w:t xml:space="preserve">Summary 2   </w:t>
      </w:r>
      <w:r>
        <w:rPr>
          <w:color w:val="6B7280"/>
          <w:sz w:val="15"/>
          <w:szCs w:val="15"/>
        </w:rPr>
        <w:t xml:space="preserve">Three net yearly savings of $200,000 minus the one-off $150,000 = $450,000, the last cumulative figure. All-in cost per order after the change: ($143,200 + $12,800) ÷ 8,000 = $19.50.</w:t>
      </w:r>
    </w:p>
    <w:p>
      <w:pPr>
        <w:spacing w:before="20" w:after="20"/>
        <w:ind w:left="240" w:hanging="240"/>
      </w:pPr>
      <w:r>
        <w:rPr>
          <w:b/>
          <w:bCs/>
          <w:color w:val="353A7C"/>
          <w:sz w:val="15"/>
          <w:szCs w:val="15"/>
        </w:rPr>
        <w:t xml:space="preserve">Summary 3   </w:t>
      </w:r>
      <w:r>
        <w:rPr>
          <w:color w:val="6B7280"/>
          <w:sz w:val="15"/>
          <w:szCs w:val="15"/>
        </w:rPr>
        <w:t xml:space="preserve">Expect hours or costs per step before and after a redesign, a volume, and the costs of the change. Compute the yearly cost of each process, deduct the running cost, then deduct the one-off cost once over the period asked.</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Process analysis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Business process reengineering and its savings</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Best practice analysis</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Benchmarking process performance</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Benchmarking and competitive advantage</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Extended Example 15A: the business case for the new order-to-cash process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f79e1e575b9419dcf64ef6d69d4e021b421f0a6.png" Type="http://schemas.openxmlformats.org/officeDocument/2006/relationships/image"/><Relationship Id="rId102" Target="media/e6a41349d4f2761f278ac57aa174eff3ee392e0e.png" Type="http://schemas.openxmlformats.org/officeDocument/2006/relationships/image"/><Relationship Id="rId103" Target="media/a29d60d44027b4afedf12ebc09fdc1daddc1ea6d.png" Type="http://schemas.openxmlformats.org/officeDocument/2006/relationships/image"/><Relationship Id="rId104" Target="media/248d0c6123602e8063d773f1f38defda6026fb52.png" Type="http://schemas.openxmlformats.org/officeDocument/2006/relationships/image"/><Relationship Id="rId105" Target="media/52db19643e400a7c10883407340553d978f8bdf2.png" Type="http://schemas.openxmlformats.org/officeDocument/2006/relationships/image"/><Relationship Id="rId106" Target="media/83a291887b977450d649273138265b39bc672648.png" Type="http://schemas.openxmlformats.org/officeDocument/2006/relationships/image"/><Relationship Id="rId107" Target="media/87bc316c0c1c8a6f3916b03ab591c2f1e3d7053f.png" Type="http://schemas.openxmlformats.org/officeDocument/2006/relationships/image"/><Relationship Id="rId108" Target="media/7481e2c1715c3757f46db3a0187f9636520c80cd.png" Type="http://schemas.openxmlformats.org/officeDocument/2006/relationships/image"/><Relationship Id="rId109" Target="media/157839fe3efc06d5428fa73dff07b905f64b20c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15</dc:title>
  <dc:subject>Summary handouts</dc:subject>
  <cp:category>Student Book</cp:category>
</cp:coreProperties>
</file>