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2.1  Analysing the external environment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2.1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Chapter 2, section by section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stage leads to the next.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2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Analysing the external environment   ·   SWOT and situational analysis   ·   Scenario planning and contingency planning   ·   Analysing the internal environment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4–12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External factors are outside the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control. </w:t>
      </w:r>
      <w:r>
        <w:rPr>
          <w:sz w:val="19"/>
          <w:szCs w:val="19"/>
        </w:rPr>
        <w:t xml:space="preserve">They create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to use and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to defend against. </w:t>
      </w:r>
      <w:r>
        <w:rPr>
          <w:sz w:val="19"/>
          <w:szCs w:val="19"/>
        </w:rPr>
        <w:t xml:space="preserve">A PEST analysis reviews four groups of them: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economic, social and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factors.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(9)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five forces describe the industry itself: new entrants, </w:t>
      </w:r>
      <w:r>
        <w:rPr>
          <w:b/>
          <w:bCs/>
          <w:color w:val="8186EF"/>
          <w:sz w:val="15"/>
          <w:szCs w:val="15"/>
        </w:rPr>
        <w:t xml:space="preserve"> (10)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buyers, substitutes and rivalry. </w:t>
      </w:r>
      <w:r>
        <w:rPr>
          <w:sz w:val="19"/>
          <w:szCs w:val="19"/>
        </w:rPr>
        <w:t xml:space="preserve">The </w:t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the forces, the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it is to earn a good profit. </w:t>
      </w:r>
      <w:r>
        <w:rPr>
          <w:sz w:val="19"/>
          <w:szCs w:val="19"/>
        </w:rPr>
        <w:t xml:space="preserve">In the juice market, rivalry is the strongest force and supplier power the weakest, partly because Jordan Glass, which supplies the bottles, is a company Orontes partly owns. </w:t>
      </w:r>
      <w:r>
        <w:rPr>
          <w:sz w:val="19"/>
          <w:szCs w:val="19"/>
        </w:rPr>
        <w:t xml:space="preserve">The external analysis therefore points to a threat from rivals and substitutes, and an opportunity in stable supply.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threats   ·   company's   ·   suppliers   ·   opportunities   ·   harder   ·   political   ·   Porter's   ·   weakest   ·   technological   ·   stronger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Strong forces, weak industry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13–14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</w:t>
      </w:r>
      <w:r>
        <w:rPr>
          <w:b/>
          <w:bCs/>
          <w:color w:val="8186EF"/>
          <w:sz w:val="15"/>
          <w:szCs w:val="15"/>
        </w:rPr>
        <w:t xml:space="preserve"> (13)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force is bad news for profit. </w:t>
      </w:r>
      <w:r>
        <w:rPr>
          <w:sz w:val="19"/>
          <w:szCs w:val="19"/>
        </w:rPr>
        <w:t xml:space="preserve">An answer that calls a market with powerful buyers and many </w:t>
      </w:r>
      <w:r>
        <w:rPr>
          <w:b/>
          <w:bCs/>
          <w:color w:val="8186EF"/>
          <w:sz w:val="15"/>
          <w:szCs w:val="15"/>
        </w:rPr>
        <w:t xml:space="preserve"> (14)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'attractive' has read the forces backwards.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substitutes   ·   strong   ·   reviews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PEST analysis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five forces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القوى الخمس</w:t>
            </w:r>
          </w:p>
        </w:tc>
      </w:tr>
    </w:tbl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2.1  Analysing the external environment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Analysing the external environment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technological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SWOT and situational analysis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Porter's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Scenario planning and contingency planning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suppliers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company's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stronger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opportunities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harder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threats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strong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political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substitutes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External factors are outside the company's control. They create opportunities to use and threats to defend against. A PEST analysis reviews four groups of them: political, economic, social and technological factors. Porter's five forces describe the industry itself: new entrants, suppliers, buyers, substitutes and rivalry. The stronger the forces, the harder it is to earn a good profit. In the juice market, rivalry is the strongest force and supplier power the weakest, partly because Jordan Glass, which supplies the bottles, is a company Orontes partly owns. The external analysis therefore points to a threat from rivals and substitutes, and an opportunity in stable supply.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A strong force is bad news for profit. An answer that calls a market with powerful buyers and many substitutes 'attractive' has read the forces backwards.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2.2  Analysing the internal environment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2.2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1–2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Internal factors are the company's own resources and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: its brands, people, equipment, systems and the things it does well. </w:t>
      </w:r>
      <w:r>
        <w:rPr>
          <w:sz w:val="19"/>
          <w:szCs w:val="19"/>
        </w:rPr>
        <w:t xml:space="preserve">They show strengths to build on and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to fix.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capabilities   ·   machine   ·   weaknesses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Internal factors at Orontes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Every item belongs to exactly one group.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6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Capabilities   ·   Strength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4–8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strength becomes a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advantage only if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value it, few rivals have it, and it is hard to copy. </w:t>
      </w:r>
      <w:r>
        <w:rPr>
          <w:sz w:val="19"/>
          <w:szCs w:val="19"/>
        </w:rPr>
        <w:t xml:space="preserve">The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tahini recipes and brand pass this test; a new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machine that any rival can buy does not. </w:t>
      </w:r>
      <w:r>
        <w:rPr>
          <w:sz w:val="19"/>
          <w:szCs w:val="19"/>
        </w:rPr>
        <w:t xml:space="preserve">The value chain of Book 2: it shows which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create the advantage and which only add cost.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Internal   ·   filling   ·   activities   ·   customers   ·   Orontes   ·   competitive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competitive advantage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الميزة التنافسية</w:t>
            </w:r>
          </w:p>
        </w:tc>
      </w:tr>
    </w:tbl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2.2  Analysing the internal environment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capabilities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customers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weaknesses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Capabilities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filling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competitive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activities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Internal factors are the company's own resources and capabilities: its brands, people, equipment, systems and the things it does well. They show strengths to build on and weaknesses to fix.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A strength becomes a competitive advantage only if customers value it, few rivals have it, and it is hard to copy. The Orontes tahini recipes and brand pass this test; a new filling machine that any rival can buy does not. The value chain of Book 2: it shows which activities create the advantage and which only add cost.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2.3  SWOT and situational analysis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2.3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1–6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SWOT analysis brings the two views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: strengths and weaknesses from inside, opportunities and threats from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A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analysis is the wider study of the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current position that feeds the SWOT. </w:t>
      </w:r>
      <w:r>
        <w:rPr>
          <w:sz w:val="19"/>
          <w:szCs w:val="19"/>
        </w:rPr>
        <w:t xml:space="preserve">The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step is the next one: match strengths to opportunities, for example the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brand to Gulf demand, and plan how to fix the weaknesses that expose the company to threats.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outside   ·   together   ·   opportunities   ·   situational   ·   useful   ·   company's   ·   tahini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The English this section uses, and its Arabic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term sits against what it means.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05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5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PEST analysis   ·   SWOT analysis   ·   situational analysis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SWOT analysis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SWOT (القوة والضعف والفرص والتهديدات)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situational analysis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الموقف</w:t>
            </w:r>
          </w:p>
        </w:tc>
      </w:tr>
    </w:tbl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2.3  SWOT and situational analysis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together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useful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outside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tahini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situational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SWOT analysis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company's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situational analysis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A SWOT analysis brings the two views together: strengths and weaknesses from inside, opportunities and threats from outside. A situational analysis is the wider study of the company's current position that feeds the SWOT. The useful step is the next one: match strengths to opportunities, for example the tahini brand to Gulf demand, and plan how to fix the weaknesses that expose the company to threats.</w:t>
      </w:r>
    </w:p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2.4  Porter's generic strategies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2.4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1–6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Porter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three ways to win. </w:t>
      </w:r>
      <w:r>
        <w:rPr>
          <w:sz w:val="19"/>
          <w:szCs w:val="19"/>
        </w:rPr>
        <w:t xml:space="preserve">Cost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sells at or near the market price with the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costs.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offers something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value and will pay more for. </w:t>
      </w:r>
      <w:r>
        <w:rPr>
          <w:sz w:val="19"/>
          <w:szCs w:val="19"/>
        </w:rPr>
        <w:t xml:space="preserve">A focus strategy serves a narrow segment, either at low cost or with a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Beverages competes on cost in the mass juice market; Oils differentiates with traced, cold-pressed oil; Tahini &amp; Spreads focuses on premium Gulf buyers and private label for Barada.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lowest   ·   described   ·   customers   ·   Beverages   ·   Differentiation   ·   leadership   ·   difference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290"/>
        <w:gridCol w:w="2387"/>
        <w:gridCol w:w="392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generic strategy of each Orontes unit</w:t>
            </w:r>
          </w:p>
        </w:tc>
      </w:tr>
      <w:tr>
        <w:tc>
          <w:tcPr>
            <w:tcW w:type="pct" w:w="1713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pct" w:w="1243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Generic strategy</w:t>
            </w:r>
          </w:p>
        </w:tc>
        <w:tc>
          <w:tcPr>
            <w:tcW w:type="pct" w:w="2044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How it competes</w:t>
            </w:r>
          </w:p>
        </w:tc>
      </w:tr>
      <w:tr>
        <w:tc>
          <w:tcPr>
            <w:tcW w:type="pct" w:w="17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Oils</w:t>
            </w:r>
          </w:p>
        </w:tc>
        <w:tc>
          <w:tcPr>
            <w:tcW w:type="pct" w:w="1243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(7)</w:t>
            </w:r>
          </w:p>
        </w:tc>
        <w:tc>
          <w:tcPr>
            <w:tcW w:type="pct" w:w="20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premium price for traced oil</w:t>
            </w:r>
          </w:p>
        </w:tc>
      </w:tr>
      <w:tr>
        <w:tc>
          <w:tcPr>
            <w:tcW w:type="pct" w:w="17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Tahini &amp; Spreads</w:t>
            </w:r>
          </w:p>
        </w:tc>
        <w:tc>
          <w:tcPr>
            <w:tcW w:type="pct" w:w="12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Focus</w:t>
            </w:r>
          </w:p>
        </w:tc>
        <w:tc>
          <w:tcPr>
            <w:tcW w:type="pct" w:w="204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(8)</w:t>
            </w:r>
          </w:p>
        </w:tc>
      </w:tr>
      <w:tr>
        <w:tc>
          <w:tcPr>
            <w:tcW w:type="pct" w:w="17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Beverages</w:t>
            </w:r>
          </w:p>
        </w:tc>
        <w:tc>
          <w:tcPr>
            <w:tcW w:type="pct" w:w="12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leadership</w:t>
            </w:r>
          </w:p>
        </w:tc>
        <w:tc>
          <w:tcPr>
            <w:tcW w:type="pct" w:w="204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(9)</w:t>
            </w:r>
          </w:p>
        </w:tc>
      </w:tr>
      <w:tr>
        <w:tc>
          <w:tcPr>
            <w:tcW w:type="pct" w:w="17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Pulses &amp; Spices line</w:t>
            </w:r>
          </w:p>
        </w:tc>
        <w:tc>
          <w:tcPr>
            <w:tcW w:type="pct" w:w="12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Review</w:t>
            </w:r>
          </w:p>
        </w:tc>
        <w:tc>
          <w:tcPr>
            <w:tcW w:type="pct" w:w="2044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(10)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competitive advantage   ·   Differentiation   ·   niche buyers: Gulf and private label   ·   lowest cost per case   ·   decide to fix or leave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11–12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company that tries to be </w:t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and most special at the same time,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 clear choice, risks being 'stuck in the middle' and losing to rivals that chose.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cheapest   ·   middle'   ·   without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The English this section uses, and its Arabic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term sits against what it means.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3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استراتيجية التركيز   ·   focus strategy   ·   cost leadership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59"/>
        <w:gridCol w:w="4841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leadership</w:t>
            </w:r>
          </w:p>
        </w:tc>
        <w:tc>
          <w:tcPr>
            <w:tcW w:type="pct" w:w="25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ريادة التكلفة</w:t>
            </w:r>
          </w:p>
        </w:tc>
      </w:tr>
      <w:tr>
        <w:tc>
          <w:tcPr>
            <w:tcW w:type="pct" w:w="24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differentiation</w:t>
            </w:r>
          </w:p>
        </w:tc>
        <w:tc>
          <w:tcPr>
            <w:tcW w:type="pct" w:w="252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التمايز</w:t>
            </w:r>
          </w:p>
        </w:tc>
      </w:tr>
      <w:tr>
        <w:tc>
          <w:tcPr>
            <w:tcW w:type="pct" w:w="24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focus strategy</w:t>
            </w:r>
          </w:p>
        </w:tc>
        <w:tc>
          <w:tcPr>
            <w:tcW w:type="pct" w:w="252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استراتيجية التركيز</w:t>
            </w:r>
          </w:p>
        </w:tc>
      </w:tr>
    </w:tbl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2.4  Porter's generic strategies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described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niche buyers: Gulf and private label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leadership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lowest cost per case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lowest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decide to fix or leave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Differentiation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cheapest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customers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without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difference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cost leadership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Differentiation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focus strategy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Porter described three ways to win. Cost leadership sells at or near the market price with the lowest costs. Differentiation offers something customers value and will pay more for. A focus strategy serves a narrow segment, either at low cost or with a difference. Beverages competes on cost in the mass juice market; Oils differentiates with traced, cold-pressed oil; Tahini &amp; Spreads focuses on premium Gulf buyers and private label for Barada.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A company that tries to be cheapest and most special at the same time, without a clear choice, risks being 'stuck in the middle' and losing to rivals that chose.</w:t>
      </w:r>
    </w:p>
    <w:p>
      <w:pPr>
        <w:sectPr>
          <w:headerReference w:type="default" r:id="rIdHdr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2.5  Portfolio and competitive analysis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2.5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1–3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The BCG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matrix places each business unit by market growth and relative market share: the unit's share divided by the share of its largest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Growth above 10.0% and relative share above 1.0 mark the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lines.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competitor   ·   dividing   ·   withdraw   ·   growth-share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Worked example: placing Oils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4–6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Oils holds 22.0% of its market; the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rival holds 15.0%.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share = 22.0 ÷ 15.0 = 1.47. </w:t>
      </w:r>
      <w:r>
        <w:rPr>
          <w:sz w:val="19"/>
          <w:szCs w:val="19"/>
        </w:rPr>
        <w:t xml:space="preserve">The market grows 3.0% a year, below the line, so Oils is in the Cash cow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Relative   ·   quadrant   ·   rival's   ·   largest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Worked example: BCG data for the Orontes portfolio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The bars are drawn to scale.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4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Oils   ·   situational analysis   ·   Pulses &amp; Spices line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Placing Beverages and Pulses &amp; Spices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3</w:t>
      </w:r>
      <w:r>
        <w:rPr>
          <w:color w:val="6B7280"/>
          <w:sz w:val="16"/>
          <w:szCs w:val="16"/>
        </w:rPr>
        <w:t xml:space="preserve">      gaps 9–11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Complete the blank cells. </w:t>
      </w:r>
      <w:r>
        <w:rPr>
          <w:sz w:val="19"/>
          <w:szCs w:val="19"/>
        </w:rPr>
        <w:t xml:space="preserve">Stars need </w:t>
      </w:r>
      <w:r>
        <w:rPr>
          <w:b/>
          <w:bCs/>
          <w:color w:val="8186EF"/>
          <w:sz w:val="15"/>
          <w:szCs w:val="15"/>
        </w:rPr>
        <w:t xml:space="preserve"> (9)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to hold their lead, cash cows fund the others, </w:t>
      </w:r>
      <w:r>
        <w:rPr>
          <w:b/>
          <w:bCs/>
          <w:color w:val="8186EF"/>
          <w:sz w:val="15"/>
          <w:szCs w:val="15"/>
        </w:rPr>
        <w:t xml:space="preserve"> (10)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marks need a decision to invest or withdraw, and dogs are fixed or sold. </w:t>
      </w:r>
      <w:r>
        <w:rPr>
          <w:sz w:val="19"/>
          <w:szCs w:val="19"/>
        </w:rPr>
        <w:t xml:space="preserve">A </w:t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analysis looks closely at the main rivals.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question   ·   investment   ·   competitive   ·   Complete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870"/>
        <w:gridCol w:w="3160"/>
        <w:gridCol w:w="357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Competitive analysis: Orontes Beverages and the largest juice producer</w:t>
            </w:r>
          </w:p>
        </w:tc>
      </w:tr>
      <w:tr>
        <w:tc>
          <w:tcPr>
            <w:tcW w:type="pct" w:w="149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Juice market</w:t>
            </w:r>
          </w:p>
        </w:tc>
        <w:tc>
          <w:tcPr>
            <w:tcW w:type="pct" w:w="164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Orontes Beverages</w:t>
            </w:r>
          </w:p>
        </w:tc>
        <w:tc>
          <w:tcPr>
            <w:tcW w:type="pct" w:w="186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Largest rival</w:t>
            </w:r>
          </w:p>
        </w:tc>
      </w:tr>
      <w:tr>
        <w:tc>
          <w:tcPr>
            <w:tcW w:type="pct" w:w="14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Market share in Jordan</w:t>
            </w:r>
          </w:p>
        </w:tc>
        <w:tc>
          <w:tcPr>
            <w:tcW w:type="pct" w:w="16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8.0%</w:t>
            </w:r>
          </w:p>
        </w:tc>
        <w:tc>
          <w:tcPr>
            <w:tcW w:type="pct" w:w="18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25.0%</w:t>
            </w:r>
          </w:p>
        </w:tc>
      </w:tr>
      <w:tr>
        <w:tc>
          <w:tcPr>
            <w:tcW w:type="pct" w:w="149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Strategy</w:t>
            </w:r>
          </w:p>
        </w:tc>
        <w:tc>
          <w:tcPr>
            <w:tcW w:type="pct" w:w="16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leadership</w:t>
            </w:r>
          </w:p>
        </w:tc>
        <w:tc>
          <w:tcPr>
            <w:tcW w:type="pct" w:w="18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(12)</w:t>
            </w:r>
          </w:p>
        </w:tc>
      </w:tr>
      <w:tr>
        <w:tc>
          <w:tcPr>
            <w:tcW w:type="pct" w:w="14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Strength</w:t>
            </w:r>
          </w:p>
        </w:tc>
        <w:tc>
          <w:tcPr>
            <w:tcW w:type="pct" w:w="164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(13)</w:t>
            </w:r>
          </w:p>
        </w:tc>
        <w:tc>
          <w:tcPr>
            <w:tcW w:type="pct" w:w="186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Advertising budget; shelf space</w:t>
            </w:r>
          </w:p>
        </w:tc>
      </w:tr>
      <w:tr>
        <w:tc>
          <w:tcPr>
            <w:tcW w:type="pct" w:w="149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Weakness</w:t>
            </w:r>
          </w:p>
        </w:tc>
        <w:tc>
          <w:tcPr>
            <w:tcW w:type="pct" w:w="16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Small brand; few flavours</w:t>
            </w:r>
          </w:p>
        </w:tc>
        <w:tc>
          <w:tcPr>
            <w:tcW w:type="pct" w:w="18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(14)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Low cost per case; Levant's distribution   ·   Higher costs   ·   Relative share   ·   Brand and wide range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Relative, not own, share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4</w:t>
      </w:r>
      <w:r>
        <w:rPr>
          <w:color w:val="6B7280"/>
          <w:sz w:val="16"/>
          <w:szCs w:val="16"/>
        </w:rPr>
        <w:t xml:space="preserve">      gaps 15–16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Beverages holds 8.0% of its market, but its </w:t>
      </w:r>
      <w:r>
        <w:rPr>
          <w:b/>
          <w:bCs/>
          <w:color w:val="8186EF"/>
          <w:sz w:val="15"/>
          <w:szCs w:val="15"/>
        </w:rPr>
        <w:t xml:space="preserve"> (15)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share is 0.32, not 0.08. </w:t>
      </w:r>
      <w:r>
        <w:rPr>
          <w:sz w:val="19"/>
          <w:szCs w:val="19"/>
        </w:rPr>
        <w:t xml:space="preserve">Always divide by the </w:t>
      </w:r>
      <w:r>
        <w:rPr>
          <w:b/>
          <w:bCs/>
          <w:color w:val="8186EF"/>
          <w:sz w:val="15"/>
          <w:szCs w:val="15"/>
        </w:rPr>
        <w:t xml:space="preserve"> (16)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rival's share.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growth-share   ·   largest   ·   relative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The English this section uses, and its Arabic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term sits against what it means.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21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relative market share   ·   الحصة السوقية النسبية   ·   competitive analysis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BCG growth-share matrix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مصفوفة النمو والحصة السوقية (BCG)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relative market share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الحصة السوقية النسبية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competitive analysis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المنافسين</w:t>
            </w:r>
          </w:p>
        </w:tc>
      </w:tr>
    </w:tbl>
    <w:p/>
    <w:p>
      <w:pPr>
        <w:sectPr>
          <w:headerReference w:type="default" r:id="rIdHdr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2.5  Portfolio and competitive analysis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growth-share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question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competitor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competitive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dividing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Brand and wide range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largest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Low cost per case; Levant's distribution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Relative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Higher costs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quadrant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15  </w:t>
            </w:r>
            <w:r>
              <w:rPr>
                <w:sz w:val="16"/>
                <w:szCs w:val="16"/>
              </w:rPr>
              <w:t xml:space="preserve">relative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Oils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16  </w:t>
            </w:r>
            <w:r>
              <w:rPr>
                <w:sz w:val="16"/>
                <w:szCs w:val="16"/>
              </w:rPr>
              <w:t xml:space="preserve">largest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Pulses &amp; Spices line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17  </w:t>
            </w:r>
            <w:r>
              <w:rPr>
                <w:sz w:val="16"/>
                <w:szCs w:val="16"/>
              </w:rPr>
              <w:t xml:space="preserve">relative market share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investment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18  </w:t>
            </w:r>
            <w:r>
              <w:rPr>
                <w:sz w:val="16"/>
                <w:szCs w:val="16"/>
              </w:rPr>
              <w:t xml:space="preserve">competitive analysis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The BCG growth-share matrix places each business unit by market growth and relative market share: the unit's share divided by the share of its largest competitor. Growth above 10.0% and relative share above 1.0 mark the dividing lines.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Oils holds 22.0% of its market; the largest rival holds 15.0%. Relative share = 22.0 ÷ 15.0 = 1.47. The market grows 3.0% a year, below the line, so Oils is in the Cash cow quadrant.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3   </w:t>
      </w:r>
      <w:r>
        <w:rPr>
          <w:color w:val="6B7280"/>
          <w:sz w:val="15"/>
          <w:szCs w:val="15"/>
        </w:rPr>
        <w:t xml:space="preserve">Complete the blank cells. Stars need investment to hold their lead, cash cows fund the others, question marks need a decision to invest or withdraw, and dogs are fixed or sold. A competitive analysis looks closely at the main rivals.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4   </w:t>
      </w:r>
      <w:r>
        <w:rPr>
          <w:color w:val="6B7280"/>
          <w:sz w:val="15"/>
          <w:szCs w:val="15"/>
        </w:rPr>
        <w:t xml:space="preserve">Beverages holds 8.0% of its market, but its relative share is 0.32, not 0.08. Always divide by the largest rival's share.</w:t>
      </w:r>
    </w:p>
    <w:p>
      <w:pPr>
        <w:sectPr>
          <w:headerReference w:type="default" r:id="rIdHdr1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2.6  Scenario planning and contingency planning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2.6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1–3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Scenario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prepares for several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futures instead of one forecast. </w:t>
      </w:r>
      <w:r>
        <w:rPr>
          <w:sz w:val="19"/>
          <w:szCs w:val="19"/>
        </w:rPr>
        <w:t xml:space="preserve">For tahini exports in 2032, the board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three scenarios, from open Gulf and EU markets to a new EU import tariff.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planning   ·   possible   ·   considers   ·   Contingency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21"/>
        <w:gridCol w:w="1455"/>
        <w:gridCol w:w="422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Tahini export scenarios for 2030 and the contingency trigger</w:t>
            </w:r>
          </w:p>
        </w:tc>
      </w:tr>
      <w:tr>
        <w:tc>
          <w:tcPr>
            <w:tcW w:type="pct" w:w="2042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Scenario for tahini exports, 2030</w:t>
            </w:r>
          </w:p>
        </w:tc>
        <w:tc>
          <w:tcPr>
            <w:tcW w:type="pct" w:w="75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Operating income (USD)</w:t>
            </w:r>
          </w:p>
        </w:tc>
        <w:tc>
          <w:tcPr>
            <w:tcW w:type="pct" w:w="22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Response</w:t>
            </w:r>
          </w:p>
        </w:tc>
      </w:tr>
      <w:tr>
        <w:tc>
          <w:tcPr>
            <w:tcW w:type="pct" w:w="2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Open Gulf and EU markets</w:t>
            </w:r>
          </w:p>
        </w:tc>
        <w:tc>
          <w:tcPr>
            <w:tcW w:type="pct" w:w="7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2,400,000</w:t>
            </w:r>
          </w:p>
        </w:tc>
        <w:tc>
          <w:tcPr>
            <w:tcW w:type="pct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no action</w:t>
            </w:r>
          </w:p>
        </w:tc>
      </w:tr>
      <w:tr>
        <w:tc>
          <w:tcPr>
            <w:tcW w:type="pct" w:w="20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Gulf growth as planned</w:t>
            </w:r>
          </w:p>
        </w:tc>
        <w:tc>
          <w:tcPr>
            <w:tcW w:type="pct" w:w="7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1,800,000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(4)</w:t>
            </w:r>
          </w:p>
        </w:tc>
      </w:tr>
      <w:tr>
        <w:tc>
          <w:tcPr>
            <w:tcW w:type="pct" w:w="2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New EU import tariff</w:t>
            </w:r>
          </w:p>
        </w:tc>
        <w:tc>
          <w:tcPr>
            <w:tcW w:type="pct" w:w="7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900,000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(5)</w:t>
            </w:r>
          </w:p>
        </w:tc>
      </w:tr>
      <w:tr>
        <w:tc>
          <w:tcPr>
            <w:tcW w:type="pct" w:w="20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Contingency trigger</w:t>
            </w:r>
          </w:p>
        </w:tc>
        <w:tc>
          <w:tcPr>
            <w:tcW w:type="pct" w:w="75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(6)</w:t>
            </w:r>
          </w:p>
        </w:tc>
        <w:tc>
          <w:tcPr>
            <w:tcW w:type="pct" w:w="22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shift export sales to Gulf buyers; delay the EU warehouse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below 1,200,000   ·   relative market share   ·   no action   ·   start the contingency plan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7–11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Contingency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prepares a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in advance and names the trigger that starts it. </w:t>
      </w:r>
      <w:r>
        <w:rPr>
          <w:sz w:val="19"/>
          <w:szCs w:val="19"/>
        </w:rPr>
        <w:t xml:space="preserve">If the export </w:t>
      </w:r>
      <w:r>
        <w:rPr>
          <w:b/>
          <w:bCs/>
          <w:color w:val="8186EF"/>
          <w:sz w:val="15"/>
          <w:szCs w:val="15"/>
        </w:rPr>
        <w:t xml:space="preserve"> (9)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falls below $1,200,000, as it would in the tariff scenario, Orontes will shift sales to Gulf buyers and delay its EU </w:t>
      </w:r>
      <w:r>
        <w:rPr>
          <w:b/>
          <w:bCs/>
          <w:color w:val="8186EF"/>
          <w:sz w:val="15"/>
          <w:szCs w:val="15"/>
        </w:rPr>
        <w:t xml:space="preserve"> (10)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The two tools work together: </w:t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show what could happen; the contingency plan says what the company will do.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forecast   ·   scenarios   ·   response   ·   planning   ·   warehouse   ·   futures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The English this section uses, and its Arabic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term sits against what it means.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27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SWOT analysis   ·   competitive analysis   ·   scenario planning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78"/>
        <w:gridCol w:w="472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scenario planning</w:t>
            </w:r>
          </w:p>
        </w:tc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التخطيط بالسيناريوهات</w:t>
            </w:r>
          </w:p>
        </w:tc>
      </w:tr>
      <w:tr>
        <w:tc>
          <w:tcPr>
            <w:tcW w:type="pct" w:w="25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contingency planning</w:t>
            </w:r>
          </w:p>
        </w:tc>
        <w:tc>
          <w:tcPr>
            <w:tcW w:type="pct" w:w="24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التخطيط للطوارئ</w:t>
            </w:r>
          </w:p>
        </w:tc>
      </w:tr>
    </w:tbl>
    <w:p/>
    <w:p>
      <w:pPr>
        <w:sectPr>
          <w:headerReference w:type="default" r:id="rIdHdr1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2.6  Scenario planning and contingency planning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planning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response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possible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forecast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considers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warehouse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no action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scenarios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start the contingency plan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SWOT analysis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below 1,200,000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scenario planning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planning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Scenario planning prepares for several possible futures instead of one forecast. For tahini exports in 2032, the board considers three scenarios, from open Gulf and EU markets to a new EU import tariff.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Contingency planning prepares a response in advance and names the trigger that starts it. If the export forecast falls below $1,200,000, as it would in the tariff scenario, Orontes will shift sales to Gulf buyers and delay its EU warehouse. The two tools work together: scenarios show what could happen; the contingency plan says what the company will do.</w:t>
      </w:r>
    </w:p>
    <w:p>
      <w:pPr>
        <w:sectPr>
          <w:headerReference w:type="default" r:id="rIdHdr1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2.7  Extended Example 2A: the Orontes strategic review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2 · section 2.7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1–4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This example brings the tools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for the board meeting that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the 2028 to 2032 plan.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: strong rivalry and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in juice; growing Gulf demand for tahini; a possible EU tariff. </w:t>
      </w:r>
      <w:r>
        <w:rPr>
          <w:sz w:val="19"/>
          <w:szCs w:val="19"/>
        </w:rPr>
        <w:t xml:space="preserve">Internal: a strong tahini brand and low-cost juice filling; a small juice share and an old bottling line in Oils.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approves   ·   together   ·   strategy   ·   External   ·   substitutes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Extended Example: the strategic review of each unit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The bars are drawn to scale.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4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Beverages   ·   competitive advantage   ·   Pulses &amp; Spices line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7–8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The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range from $900,000 to $2,400,000 of export operating income, a spread of $1,500,000. </w:t>
      </w:r>
      <w:r>
        <w:rPr>
          <w:sz w:val="19"/>
          <w:szCs w:val="19"/>
        </w:rPr>
        <w:t xml:space="preserve">The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plan starts if the forecast falls below $1,200,000.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contingency   ·   scenarios   ·   strengths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Everything ties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3</w:t>
      </w:r>
      <w:r>
        <w:rPr>
          <w:color w:val="6B7280"/>
          <w:sz w:val="16"/>
          <w:szCs w:val="16"/>
        </w:rPr>
        <w:t xml:space="preserve">      gaps 9–10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Every </w:t>
      </w:r>
      <w:r>
        <w:rPr>
          <w:b/>
          <w:bCs/>
          <w:color w:val="8186EF"/>
          <w:sz w:val="15"/>
          <w:szCs w:val="15"/>
        </w:rPr>
        <w:t xml:space="preserve"> (9)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share equals the unit's share divided by the largest rival's share.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(10)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spread: $2,400,000 − $900,000 = $1,500,000.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planning   ·   Scenario   ·   relative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Exam view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4</w:t>
      </w:r>
      <w:r>
        <w:rPr>
          <w:color w:val="6B7280"/>
          <w:sz w:val="16"/>
          <w:szCs w:val="16"/>
        </w:rPr>
        <w:t xml:space="preserve">      gaps 11–13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Expect to classify factors as strengths, weaknesses, </w:t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or threats; to compute a relative share and place a unit in the BCG matrix; to name a generic strategy from a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; and to tell scenario planning from </w:t>
      </w:r>
      <w:r>
        <w:rPr>
          <w:b/>
          <w:bCs/>
          <w:color w:val="8186EF"/>
          <w:sz w:val="15"/>
          <w:szCs w:val="15"/>
        </w:rPr>
        <w:t xml:space="preserve"> (13)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planning.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contingency   ·   opportunities   ·   growing   ·   description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Exam view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Name each point on the scale from where it sits.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60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Gulf tahini market growth a year   ·   Bargaining power of suppliers (1–5)   ·   Largest rival's share   ·   Orontes's share of the Gulf market   ·   Operating income 2030: base   ·   Rivalry among competitors (1–5)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Answer</w:t>
            </w:r>
          </w:p>
        </w:tc>
      </w:tr>
      <w:tr>
        <w:tc>
          <w:tcPr>
            <w:tcW w:type="pct" w:w="24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Beverages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(19)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Pulses &amp; Spices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5.0 ÷ 20.0 = 0.25; growth 2.0% → Dog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An EU tariff may push more exporters to the Gulf   ·   8.0 ÷ 25.0 = 0.32; growth 14.0% → Question mark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Factor — Category</w:t>
            </w:r>
          </w:p>
        </w:tc>
      </w:tr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Factor</w:t>
            </w:r>
          </w:p>
        </w:tc>
        <w:tc>
          <w:tcPr>
            <w:tcW w:type="pct" w:w="24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The Orontes tahini brand is well known in Jordan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Strength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The Gulf sales team has only three people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Gulf demand for healthy traditional foods is growing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(21)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The market leader is cutting prices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(22)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An EU tariff may push more exporters to the Gulf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Threat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Weakness   ·   Threat   ·   Opportunity   ·   Beverages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The English this section uses, and its Arabic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term sits against what it means.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07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BCG growth-share matrix   ·   contingency planning   ·   PEST analysis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SWOT analysis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SWOT (القوة والضعف والفرص والتهديدات)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BCG growth-share matrix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مصفوفة النمو والحصة السوقية (BCG)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contingency planning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التخطيط للطوارئ</w:t>
            </w:r>
          </w:p>
        </w:tc>
      </w:tr>
    </w:tbl>
    <w:p/>
    <w:p>
      <w:pPr>
        <w:sectPr>
          <w:headerReference w:type="default" r:id="rIdHdr1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2.7  Extended Example 2A: the Orontes strategic review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together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contingency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approves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Gulf tahini market growth a year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External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15  </w:t>
            </w:r>
            <w:r>
              <w:rPr>
                <w:sz w:val="16"/>
                <w:szCs w:val="16"/>
              </w:rPr>
              <w:t xml:space="preserve">Largest rival's share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substitutes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16  </w:t>
            </w:r>
            <w:r>
              <w:rPr>
                <w:sz w:val="16"/>
                <w:szCs w:val="16"/>
              </w:rPr>
              <w:t xml:space="preserve">Bargaining power of suppliers (1–5)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Beverages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17  </w:t>
            </w:r>
            <w:r>
              <w:rPr>
                <w:sz w:val="16"/>
                <w:szCs w:val="16"/>
              </w:rPr>
              <w:t xml:space="preserve">Rivalry among competitors (1–5)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Pulses &amp; Spices line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18  </w:t>
            </w:r>
            <w:r>
              <w:rPr>
                <w:sz w:val="16"/>
                <w:szCs w:val="16"/>
              </w:rPr>
              <w:t xml:space="preserve">Operating income 2030: base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scenarios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19  </w:t>
            </w:r>
            <w:r>
              <w:rPr>
                <w:sz w:val="16"/>
                <w:szCs w:val="16"/>
              </w:rPr>
              <w:t xml:space="preserve">8.0 ÷ 25.0 = 0.32; growth 14.0% → Question mark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contingency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20  </w:t>
            </w:r>
            <w:r>
              <w:rPr>
                <w:sz w:val="16"/>
                <w:szCs w:val="16"/>
              </w:rPr>
              <w:t xml:space="preserve">Weakness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relative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21  </w:t>
            </w:r>
            <w:r>
              <w:rPr>
                <w:sz w:val="16"/>
                <w:szCs w:val="16"/>
              </w:rPr>
              <w:t xml:space="preserve">Opportunity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Scenario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22  </w:t>
            </w:r>
            <w:r>
              <w:rPr>
                <w:sz w:val="16"/>
                <w:szCs w:val="16"/>
              </w:rPr>
              <w:t xml:space="preserve">Threat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opportunities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23  </w:t>
            </w:r>
            <w:r>
              <w:rPr>
                <w:sz w:val="16"/>
                <w:szCs w:val="16"/>
              </w:rPr>
              <w:t xml:space="preserve">BCG growth-share matrix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24  </w:t>
            </w:r>
            <w:r>
              <w:rPr>
                <w:sz w:val="16"/>
                <w:szCs w:val="16"/>
              </w:rPr>
              <w:t xml:space="preserve">contingency planning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This example brings the tools together for the board meeting that approves the 2028 to 2032 plan. External: strong rivalry and substitutes in juice; growing Gulf demand for tahini; a possible EU tariff. Internal: a strong tahini brand and low-cost juice filling; a small juice share and an old bottling line in Oils.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The scenarios range from $900,000 to $2,400,000 of export operating income, a spread of $1,500,000. The contingency plan starts if the forecast falls below $1,200,000.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3   </w:t>
      </w:r>
      <w:r>
        <w:rPr>
          <w:color w:val="6B7280"/>
          <w:sz w:val="15"/>
          <w:szCs w:val="15"/>
        </w:rPr>
        <w:t xml:space="preserve">Every relative share equals the unit's share divided by the largest rival's share. Scenario spread: $2,400,000 − $900,000 = $1,500,000.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4   </w:t>
      </w:r>
      <w:r>
        <w:rPr>
          <w:color w:val="6B7280"/>
          <w:sz w:val="15"/>
          <w:szCs w:val="15"/>
        </w:rPr>
        <w:t xml:space="preserve">Expect to classify factors as strengths, weaknesses, opportunities or threats; to compute a relative share and place a unit in the BCG matrix; to name a generic strategy from a description; and to tell scenario planning from contingency planning.</w:t>
      </w:r>
    </w:p>
    <w:p>
      <w:pPr>
        <w:sectPr>
          <w:headerReference w:type="default" r:id="rIdHdr1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1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2.1 · Analysing the external environment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2.1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2.2 · Analysing the internal environment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1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2.3 · SWOT and situational analysis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1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2.4 · Porter's generic strategies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2.4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2.5 · Portfolio and competitive analysis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2.5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2.6 · Scenario planning and contingency planning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2.6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2.7 · Extended Example 2A: the Orontes strategic review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2.7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2.7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00695bb2aa5de514e98a665ac2068b88ffeeda27.png" Type="http://schemas.openxmlformats.org/officeDocument/2006/relationships/image"/><Relationship Id="rId102" Target="media/d35f5a71445bb0bf0124db304f0a21dd194c3f6e.png" Type="http://schemas.openxmlformats.org/officeDocument/2006/relationships/image"/><Relationship Id="rId103" Target="media/c73b957b0159b430a04e7e844e8803f67b548d8f.png" Type="http://schemas.openxmlformats.org/officeDocument/2006/relationships/image"/><Relationship Id="rId104" Target="media/53814b0d20b0c670ce02d0761b3aa59c8a720421.png" Type="http://schemas.openxmlformats.org/officeDocument/2006/relationships/image"/><Relationship Id="rId105" Target="media/4860a408981d8130b3b69f7cd26ff95eb9e82289.png" Type="http://schemas.openxmlformats.org/officeDocument/2006/relationships/image"/><Relationship Id="rId106" Target="media/ddd1685ff02def65c0b0abafc310ee9c1509a0ac.png" Type="http://schemas.openxmlformats.org/officeDocument/2006/relationships/image"/><Relationship Id="rId107" Target="media/fb7984ab775d863be89423a1a73dc6e186f11a8e.png" Type="http://schemas.openxmlformats.org/officeDocument/2006/relationships/image"/><Relationship Id="rId108" Target="media/9024a8b5add7117da536b1fcaf65e3967fde0f40.png" Type="http://schemas.openxmlformats.org/officeDocument/2006/relationships/image"/><Relationship Id="rId109" Target="media/91e8b7c6e9887cb55158cccaa38f12bbfa059ea6.png" Type="http://schemas.openxmlformats.org/officeDocument/2006/relationships/image"/><Relationship Id="rId110" Target="media/3cb088e89ee8536cac2778988c4c90bece08e219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Relationship Id="rIdHdr8" Target="header8.xml" Type="http://schemas.openxmlformats.org/officeDocument/2006/relationships/header"/><Relationship Id="rIdHdr9" Target="header9.xml" Type="http://schemas.openxmlformats.org/officeDocument/2006/relationships/header"/><Relationship Id="rIdHdr10" Target="header10.xml" Type="http://schemas.openxmlformats.org/officeDocument/2006/relationships/header"/><Relationship Id="rIdHdr11" Target="header11.xml" Type="http://schemas.openxmlformats.org/officeDocument/2006/relationships/header"/><Relationship Id="rIdHdr12" Target="header12.xml" Type="http://schemas.openxmlformats.org/officeDocument/2006/relationships/header"/><Relationship Id="rIdHdr13" Target="header13.xml" Type="http://schemas.openxmlformats.org/officeDocument/2006/relationships/header"/><Relationship Id="rIdHdr14" Target="header1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Chapter 2</dc:title>
  <dc:subject>Summary handouts</dc:subject>
  <cp:category>Student Book</cp:category>
</cp:coreProperties>
</file>