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11.1  Measuring performance against the plan</w:t>
            </w:r>
          </w:p>
          <w:p>
            <w:pPr>
              <w:spacing w:before="0" w:after="46"/>
            </w:pPr>
            <w:r>
              <w:rPr>
                <w:color w:val="E8EAF6"/>
                <w:sz w:val="16"/>
                <w:szCs w:val="16"/>
              </w:rPr>
              <w:t xml:space="preserve">Chapter 11 · section 11.1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flexible budget   ·   Sales-volume, sales-price and flexible-budget    ·   The master-budget variance   ·   Extended Example 11A: the June review meeting</w:t>
            </w:r>
          </w:p>
        </w:tc>
      </w:tr>
    </w:tbl>
    <w:p/>
    <w:p>
      <w:pPr>
        <w:spacing w:before="44" w:after="14"/>
      </w:pPr>
      <w:r>
        <w:rPr>
          <w:b/>
          <w:bCs/>
          <w:color w:val="353A7C"/>
          <w:sz w:val="18"/>
          <w:szCs w:val="18"/>
        </w:rPr>
        <w:t xml:space="preserve">Summary 1</w:t>
      </w:r>
      <w:r>
        <w:rPr>
          <w:color w:val="6B7280"/>
          <w:sz w:val="16"/>
          <w:szCs w:val="16"/>
        </w:rPr>
        <w:t xml:space="preserve">      gaps 4–5</w:t>
      </w:r>
    </w:p>
    <w:p>
      <w:pPr>
        <w:spacing w:before="20" w:after="20" w:line="360" w:lineRule="auto"/>
        <w:ind w:left="200"/>
      </w:pPr>
      <w:r>
        <w:rPr>
          <w:sz w:val="19"/>
          <w:szCs w:val="19"/>
        </w:rPr>
        <w:t xml:space="preserve">Performance is measured against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goals set in the budget: revenue, manufacturing costs,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costs and profit.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describe   ·   operational   ·   non-manufacturing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42"/>
        <w:gridCol w:w="4224"/>
        <w:gridCol w:w="283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Measures of performance against operational goals</w:t>
            </w:r>
          </w:p>
        </w:tc>
      </w:tr>
      <w:tr>
        <w:tc>
          <w:tcPr>
            <w:tcW w:type="pct" w:w="1324"/>
            <w:shd w:fill="353A7C" w:val="clear"/>
            <w:tcMar>
              <w:top w:type="dxa" w:w="50"/>
              <w:left w:type="dxa" w:w="110"/>
              <w:bottom w:type="dxa" w:w="50"/>
              <w:right w:type="dxa" w:w="110"/>
            </w:tcMar>
          </w:tcPr>
          <w:p>
            <w:pPr>
              <w:spacing w:before="30" w:after="30"/>
            </w:pPr>
            <w:r>
              <w:rPr>
                <w:b/>
                <w:bCs/>
                <w:color w:val="FFFFFF"/>
                <w:sz w:val="15"/>
                <w:szCs w:val="15"/>
              </w:rPr>
              <w:t xml:space="preserve">Measure (C.1.a)</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June 2028</w:t>
            </w:r>
          </w:p>
        </w:tc>
        <w:tc>
          <w:tcPr>
            <w:tcW w:type="pct" w:w="1476"/>
            <w:shd w:fill="353A7C" w:val="clear"/>
            <w:tcMar>
              <w:top w:type="dxa" w:w="50"/>
              <w:left w:type="dxa" w:w="110"/>
              <w:bottom w:type="dxa" w:w="50"/>
              <w:right w:type="dxa" w:w="110"/>
            </w:tcMar>
          </w:tcPr>
          <w:p>
            <w:pPr>
              <w:spacing w:before="30" w:after="30"/>
            </w:pPr>
            <w:r>
              <w:rPr>
                <w:b/>
                <w:bCs/>
                <w:color w:val="FFFFFF"/>
                <w:sz w:val="15"/>
                <w:szCs w:val="15"/>
              </w:rPr>
              <w:t xml:space="preserve">What it reflects</w:t>
            </w:r>
          </w:p>
        </w:tc>
      </w:tr>
      <w:tr>
        <w:tc>
          <w:tcPr>
            <w:tcW w:type="pct" w:w="1324"/>
            <w:tcMar>
              <w:top w:type="dxa" w:w="50"/>
              <w:left w:type="dxa" w:w="110"/>
              <w:bottom w:type="dxa" w:w="50"/>
              <w:right w:type="dxa" w:w="110"/>
            </w:tcMar>
          </w:tcPr>
          <w:p>
            <w:pPr>
              <w:spacing w:before="28" w:after="28"/>
            </w:pPr>
            <w:r>
              <w:rPr>
                <w:sz w:val="15"/>
                <w:szCs w:val="15"/>
              </w:rPr>
              <w:t xml:space="preserve">Revenue</w:t>
            </w:r>
          </w:p>
        </w:tc>
        <w:tc>
          <w:tcPr>
            <w:tcW w:type="pct" w:w="2200"/>
            <w:tcMar>
              <w:top w:type="dxa" w:w="50"/>
              <w:left w:type="dxa" w:w="110"/>
              <w:bottom w:type="dxa" w:w="50"/>
              <w:right w:type="dxa" w:w="110"/>
            </w:tcMar>
          </w:tcPr>
          <w:p>
            <w:pPr>
              <w:spacing w:before="28" w:after="28"/>
            </w:pPr>
            <w:r>
              <w:rPr>
                <w:sz w:val="15"/>
                <w:szCs w:val="15"/>
              </w:rPr>
              <w:t xml:space="preserve">Sales of $1,468,800 against $1,500,000 planned</w:t>
            </w:r>
          </w:p>
        </w:tc>
        <w:tc>
          <w:tcPr>
            <w:tcW w:type="pct" w:w="1476"/>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324"/>
            <w:shd w:fill="FBFAF6" w:val="clear"/>
            <w:tcMar>
              <w:top w:type="dxa" w:w="50"/>
              <w:left w:type="dxa" w:w="110"/>
              <w:bottom w:type="dxa" w:w="50"/>
              <w:right w:type="dxa" w:w="110"/>
            </w:tcMar>
          </w:tcPr>
          <w:p>
            <w:pPr>
              <w:spacing w:before="28" w:after="28"/>
            </w:pPr>
            <w:r>
              <w:rPr>
                <w:sz w:val="15"/>
                <w:szCs w:val="15"/>
              </w:rPr>
              <w:t xml:space="preserve">Manufacturing costs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476"/>
            <w:shd w:fill="FBFAF6" w:val="clear"/>
            <w:tcMar>
              <w:top w:type="dxa" w:w="50"/>
              <w:left w:type="dxa" w:w="110"/>
              <w:bottom w:type="dxa" w:w="50"/>
              <w:right w:type="dxa" w:w="110"/>
            </w:tcMar>
          </w:tcPr>
          <w:p>
            <w:pPr>
              <w:spacing w:before="28" w:after="28"/>
            </w:pPr>
            <w:r>
              <w:rPr>
                <w:sz w:val="15"/>
                <w:szCs w:val="15"/>
              </w:rPr>
              <w:t xml:space="preserve">Input prices and quantities</w:t>
            </w:r>
          </w:p>
        </w:tc>
      </w:tr>
      <w:tr>
        <w:tc>
          <w:tcPr>
            <w:tcW w:type="pct" w:w="1324"/>
            <w:tcMar>
              <w:top w:type="dxa" w:w="50"/>
              <w:left w:type="dxa" w:w="110"/>
              <w:bottom w:type="dxa" w:w="50"/>
              <w:right w:type="dxa" w:w="110"/>
            </w:tcMar>
          </w:tcPr>
          <w:p>
            <w:pPr>
              <w:spacing w:before="28" w:after="28"/>
            </w:pPr>
            <w:r>
              <w:rPr>
                <w:sz w:val="15"/>
                <w:szCs w:val="15"/>
              </w:rPr>
              <w:t xml:space="preserve">Non-manufacturing costs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476"/>
            <w:tcMar>
              <w:top w:type="dxa" w:w="50"/>
              <w:left w:type="dxa" w:w="110"/>
              <w:bottom w:type="dxa" w:w="50"/>
              <w:right w:type="dxa" w:w="110"/>
            </w:tcMar>
          </w:tcPr>
          <w:p>
            <w:pPr>
              <w:spacing w:before="28" w:after="28"/>
            </w:pPr>
            <w:r>
              <w:rPr>
                <w:sz w:val="15"/>
                <w:szCs w:val="15"/>
              </w:rPr>
              <w:t xml:space="preserve">Rates and spending decisions</w:t>
            </w:r>
          </w:p>
        </w:tc>
      </w:tr>
      <w:tr>
        <w:tc>
          <w:tcPr>
            <w:tcW w:type="pct" w:w="1324"/>
            <w:shd w:fill="FBFAF6" w:val="clear"/>
            <w:tcMar>
              <w:top w:type="dxa" w:w="50"/>
              <w:left w:type="dxa" w:w="110"/>
              <w:bottom w:type="dxa" w:w="50"/>
              <w:right w:type="dxa" w:w="110"/>
            </w:tcMar>
          </w:tcPr>
          <w:p>
            <w:pPr>
              <w:spacing w:before="28" w:after="28"/>
            </w:pPr>
            <w:r>
              <w:rPr>
                <w:sz w:val="15"/>
                <w:szCs w:val="15"/>
              </w:rPr>
              <w:t xml:space="preserve">Profitability</w:t>
            </w:r>
          </w:p>
        </w:tc>
        <w:tc>
          <w:tcPr>
            <w:tcW w:type="pct" w:w="2200"/>
            <w:shd w:fill="FBFAF6" w:val="clear"/>
            <w:tcMar>
              <w:top w:type="dxa" w:w="50"/>
              <w:left w:type="dxa" w:w="110"/>
              <w:bottom w:type="dxa" w:w="50"/>
              <w:right w:type="dxa" w:w="110"/>
            </w:tcMar>
          </w:tcPr>
          <w:p>
            <w:pPr>
              <w:spacing w:before="28" w:after="28"/>
            </w:pPr>
            <w:r>
              <w:rPr>
                <w:sz w:val="15"/>
                <w:szCs w:val="15"/>
              </w:rPr>
              <w:t xml:space="preserve">Operating income of $247,632 against $265,000 planned</w:t>
            </w:r>
          </w:p>
        </w:tc>
        <w:tc>
          <w:tcPr>
            <w:tcW w:type="pct" w:w="1476"/>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Input prices and quantities   ·   Variable selling, fixed selling and administrative   ·   Volume and price   ·   Concentrate, bottles, labor and overhead per case   ·   All of the above together</w:t>
            </w:r>
          </w:p>
        </w:tc>
      </w:tr>
    </w:tbl>
    <w:p/>
    <w:p>
      <w:pPr>
        <w:spacing w:before="44" w:after="14"/>
      </w:pPr>
      <w:r>
        <w:rPr>
          <w:b/>
          <w:bCs/>
          <w:color w:val="353A7C"/>
          <w:sz w:val="18"/>
          <w:szCs w:val="18"/>
        </w:rPr>
        <w:t xml:space="preserve">Summary 2</w:t>
      </w:r>
      <w:r>
        <w:rPr>
          <w:color w:val="6B7280"/>
          <w:sz w:val="16"/>
          <w:szCs w:val="16"/>
        </w:rPr>
        <w:t xml:space="preserve">      gaps 10–13</w:t>
      </w:r>
    </w:p>
    <w:p>
      <w:pPr>
        <w:spacing w:before="20" w:after="20" w:line="360" w:lineRule="auto"/>
        <w:ind w:left="200"/>
      </w:pP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between an actual result and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figure is a variance. </w:t>
      </w:r>
      <w:r>
        <w:rPr>
          <w:sz w:val="19"/>
          <w:szCs w:val="19"/>
        </w:rPr>
        <w:t xml:space="preserve">It is a favorable variance when it raises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income above the budget and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variance when it lowers it. </w:t>
      </w:r>
      <w:r>
        <w:rPr>
          <w:sz w:val="19"/>
          <w:szCs w:val="19"/>
        </w:rPr>
        <w:t xml:space="preserve">The words describe the effect on income, not whether the news is good.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   ·   Performance   ·   operating   ·   budgeted   ·   unfavorable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Favorable is not always good</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A favorable material price variance may come from buying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concentrate that later causes spillage. </w:t>
      </w:r>
      <w:r>
        <w:rPr>
          <w:sz w:val="19"/>
          <w:szCs w:val="19"/>
        </w:rPr>
        <w:t xml:space="preserve">Always ask what caused the variance before judging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non-manufacturing   ·   poor-quality   ·   performance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favorable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ملائم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unfavorable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غير ملائم</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11.1  Measuring performance against the plan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master-budget variance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All of the above 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Sales-volume, sales-price and flexible-budget </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11A: the June review meeting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budgeted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operational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non-manufacturing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Volume and price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poor-quality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Concentrate, bottles, labor and overhead per case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Variable selling, fixed selling and administrative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Performance is measured against the operational goals set in the budget: revenue, manufacturing costs, non-manufacturing costs and profit.</w:t>
      </w:r>
    </w:p>
    <w:p>
      <w:pPr>
        <w:spacing w:before="20" w:after="20"/>
        <w:ind w:left="240" w:hanging="240"/>
      </w:pPr>
      <w:r>
        <w:rPr>
          <w:b/>
          <w:bCs/>
          <w:color w:val="353A7C"/>
          <w:sz w:val="15"/>
          <w:szCs w:val="15"/>
        </w:rPr>
        <w:t xml:space="preserve">Summary 2   </w:t>
      </w:r>
      <w:r>
        <w:rPr>
          <w:color w:val="6B7280"/>
          <w:sz w:val="15"/>
          <w:szCs w:val="15"/>
        </w:rPr>
        <w:t xml:space="preserve">A difference between an actual result and a budgeted figure is a variance. It is a favorable variance when it raises operating income above the budget and an unfavorable variance when it lowers it. The words describe the effect on income, not whether the news is good.</w:t>
      </w:r>
    </w:p>
    <w:p>
      <w:pPr>
        <w:spacing w:before="20" w:after="20"/>
        <w:ind w:left="240" w:hanging="240"/>
      </w:pPr>
      <w:r>
        <w:rPr>
          <w:b/>
          <w:bCs/>
          <w:color w:val="353A7C"/>
          <w:sz w:val="15"/>
          <w:szCs w:val="15"/>
        </w:rPr>
        <w:t xml:space="preserve">Summary 3   </w:t>
      </w:r>
      <w:r>
        <w:rPr>
          <w:color w:val="6B7280"/>
          <w:sz w:val="15"/>
          <w:szCs w:val="15"/>
        </w:rPr>
        <w:t xml:space="preserve">A favorable material price variance may come from buying poor-quality concentrate that later causes spillage. Always ask what caused the variance before judging performance.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11.2  The master-budget variance</w:t>
            </w:r>
          </w:p>
          <w:p>
            <w:pPr>
              <w:spacing w:before="0" w:after="46"/>
            </w:pPr>
            <w:r>
              <w:rPr>
                <w:color w:val="E8EAF6"/>
                <w:sz w:val="16"/>
                <w:szCs w:val="16"/>
              </w:rPr>
              <w:t xml:space="preserve">Chapter 11 · section 11.2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(static-budget) variance is the difference between the actual result and the master budget. </w:t>
      </w:r>
      <w:r>
        <w:rPr>
          <w:sz w:val="19"/>
          <w:szCs w:val="19"/>
        </w:rPr>
        <w:t xml:space="preserve">For June,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income was $17,368 below the plan.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master-budget   ·   operating   ·   constant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June against the master budget</w:t>
            </w:r>
          </w:p>
        </w:tc>
      </w:tr>
    </w:tbl>
    <w:p/>
    <w:p>
      <w:pPr>
        <w:spacing w:before="20" w:after="20" w:line="360" w:lineRule="auto"/>
        <w:ind w:left="200"/>
      </w:pPr>
      <w:r>
        <w:rPr>
          <w:sz w:val="19"/>
          <w:szCs w:val="19"/>
        </w:rPr>
        <w:t xml:space="preserve">Sales were $1,468,800 against $1,500,000 planned, and operating income $247,632 against $265,000.</w:t>
      </w:r>
    </w:p>
    <w:p>
      <w:pPr>
        <w:spacing w:before="44" w:after="10"/>
      </w:pPr>
      <w:r>
        <w:rPr>
          <w:b/>
          <w:bCs/>
          <w:color w:val="353A7C"/>
          <w:sz w:val="18"/>
          <w:szCs w:val="18"/>
        </w:rPr>
        <w:t xml:space="preserve">Worked example: June actual results against the master budget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costs   ·   Contribution margin   ·   Sales   ·   Fixed costs</w:t>
            </w:r>
          </w:p>
        </w:tc>
      </w:tr>
    </w:tbl>
    <w:p/>
    <w:p>
      <w:pPr>
        <w:spacing w:before="44" w:after="14"/>
      </w:pPr>
      <w:r>
        <w:rPr>
          <w:b/>
          <w:bCs/>
          <w:color w:val="353A7C"/>
          <w:sz w:val="18"/>
          <w:szCs w:val="18"/>
        </w:rPr>
        <w:t xml:space="preserve">Summary 2</w:t>
      </w:r>
      <w:r>
        <w:rPr>
          <w:color w:val="6B7280"/>
          <w:sz w:val="16"/>
          <w:szCs w:val="16"/>
        </w:rPr>
        <w:t xml:space="preserve">      gaps 6–13</w:t>
      </w:r>
    </w:p>
    <w:p>
      <w:pPr>
        <w:spacing w:before="20" w:after="20" w:line="360" w:lineRule="auto"/>
        <w:ind w:left="200"/>
      </w:pPr>
      <w:r>
        <w:rPr>
          <w:sz w:val="19"/>
          <w:szCs w:val="19"/>
        </w:rPr>
        <w:t xml:space="preserve">The total is not very useful on its own, because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sold 3,000 fewer cases than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Lower volume reduces both revenue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costs, so the comparison mixes two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stories. </w:t>
      </w:r>
      <w:r>
        <w:rPr>
          <w:sz w:val="19"/>
          <w:szCs w:val="19"/>
        </w:rPr>
        <w:t xml:space="preserve">It shows the full gap from the plan, which the board wants to know, but it is not a fair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cost control when volume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comparison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kept for the board and for the sales team, who are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for volume. </w:t>
      </w:r>
      <w:r>
        <w:rPr>
          <w:sz w:val="19"/>
          <w:szCs w:val="19"/>
        </w:rPr>
        <w:t xml:space="preserve">The plant manager is judged on the flexible budget of the next section, which holds volume constant.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responsible   ·   differs   ·   variable   ·   planned   ·   measure   ·   because   ·   therefore   ·   division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4"/>
        <w:gridCol w:w="472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Benefits and limitations of comparing with the master budget</w:t>
            </w:r>
          </w:p>
        </w:tc>
      </w:tr>
      <w:tr>
        <w:tc>
          <w:tcPr>
            <w:tcW w:type="pct" w:w="2538"/>
            <w:shd w:fill="353A7C" w:val="clear"/>
            <w:tcMar>
              <w:top w:type="dxa" w:w="50"/>
              <w:left w:type="dxa" w:w="110"/>
              <w:bottom w:type="dxa" w:w="50"/>
              <w:right w:type="dxa" w:w="110"/>
            </w:tcMar>
          </w:tcPr>
          <w:p>
            <w:pPr>
              <w:spacing w:before="30" w:after="30"/>
            </w:pPr>
            <w:r>
              <w:rPr>
                <w:b/>
                <w:bCs/>
                <w:color w:val="FFFFFF"/>
                <w:sz w:val="15"/>
                <w:szCs w:val="15"/>
              </w:rPr>
              <w:t xml:space="preserve">Benefits of comparing with the master budget (C.</w:t>
            </w:r>
          </w:p>
        </w:tc>
        <w:tc>
          <w:tcPr>
            <w:tcW w:type="pct" w:w="2462"/>
            <w:shd w:fill="353A7C" w:val="clear"/>
            <w:tcMar>
              <w:top w:type="dxa" w:w="50"/>
              <w:left w:type="dxa" w:w="110"/>
              <w:bottom w:type="dxa" w:w="50"/>
              <w:right w:type="dxa" w:w="110"/>
            </w:tcMar>
          </w:tcPr>
          <w:p>
            <w:pPr>
              <w:spacing w:before="30" w:after="30"/>
            </w:pPr>
            <w:r>
              <w:rPr>
                <w:b/>
                <w:bCs/>
                <w:color w:val="FFFFFF"/>
                <w:sz w:val="15"/>
                <w:szCs w:val="15"/>
              </w:rPr>
              <w:t xml:space="preserve">Limitations</w:t>
            </w:r>
          </w:p>
        </w:tc>
      </w:tr>
      <w:tr>
        <w:tc>
          <w:tcPr>
            <w:tcW w:type="pct" w:w="2538"/>
            <w:tcMar>
              <w:top w:type="dxa" w:w="50"/>
              <w:left w:type="dxa" w:w="110"/>
              <w:bottom w:type="dxa" w:w="50"/>
              <w:right w:type="dxa" w:w="110"/>
            </w:tcMar>
          </w:tcPr>
          <w:p>
            <w:pPr>
              <w:spacing w:before="28" w:after="28"/>
            </w:pPr>
            <w:r>
              <w:rPr>
                <w:sz w:val="15"/>
                <w:szCs w:val="15"/>
              </w:rPr>
              <w:t xml:space="preserve">Shows the total gap from the plan, including volume</w:t>
            </w:r>
          </w:p>
        </w:tc>
        <w:tc>
          <w:tcPr>
            <w:tcW w:type="pct" w:w="2462"/>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538"/>
            <w:shd w:fill="FBFAF6" w:val="clear"/>
            <w:tcMar>
              <w:top w:type="dxa" w:w="50"/>
              <w:left w:type="dxa" w:w="110"/>
              <w:bottom w:type="dxa" w:w="50"/>
              <w:right w:type="dxa" w:w="110"/>
            </w:tcMar>
          </w:tcPr>
          <w:p>
            <w:pPr>
              <w:spacing w:before="28" w:after="28"/>
            </w:pPr>
            <w:r>
              <w:rPr>
                <w:sz w:val="15"/>
                <w:szCs w:val="15"/>
              </w:rPr>
              <w:t xml:space="preserve">Simple and well understood</w:t>
            </w:r>
          </w:p>
        </w:tc>
        <w:tc>
          <w:tcPr>
            <w:tcW w:type="pct" w:w="2462"/>
            <w:shd w:fill="FBFAF6" w:val="clear"/>
            <w:tcMar>
              <w:top w:type="dxa" w:w="50"/>
              <w:left w:type="dxa" w:w="110"/>
              <w:bottom w:type="dxa" w:w="50"/>
              <w:right w:type="dxa" w:w="110"/>
            </w:tcMar>
          </w:tcPr>
          <w:p>
            <w:pPr>
              <w:spacing w:before="28" w:after="28"/>
            </w:pPr>
            <w:r>
              <w:rPr>
                <w:sz w:val="15"/>
                <w:szCs w:val="15"/>
              </w:rPr>
              <w:t xml:space="preserve">Can blame a manager for a volume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caused by the market</w:t>
            </w:r>
          </w:p>
        </w:tc>
      </w:tr>
      <w:tr>
        <w:tc>
          <w:tcPr>
            <w:tcW w:type="pct" w:w="2538"/>
            <w:tcMar>
              <w:top w:type="dxa" w:w="50"/>
              <w:left w:type="dxa" w:w="110"/>
              <w:bottom w:type="dxa" w:w="50"/>
              <w:right w:type="dxa" w:w="110"/>
            </w:tcMar>
          </w:tcPr>
          <w:p>
            <w:pPr>
              <w:spacing w:before="28" w:after="28"/>
            </w:pPr>
            <w:r>
              <w:rPr>
                <w:sz w:val="15"/>
                <w:szCs w:val="15"/>
              </w:rPr>
              <w:t xml:space="preserve">Useful for the board, which approved the plan</w:t>
            </w:r>
          </w:p>
        </w:tc>
        <w:tc>
          <w:tcPr>
            <w:tcW w:type="pct" w:w="2462"/>
            <w:tcMar>
              <w:top w:type="dxa" w:w="50"/>
              <w:left w:type="dxa" w:w="110"/>
              <w:bottom w:type="dxa" w:w="50"/>
              <w:right w:type="dxa" w:w="110"/>
            </w:tcMar>
          </w:tcPr>
          <w:p>
            <w:pPr>
              <w:spacing w:before="28" w:after="28"/>
            </w:pPr>
            <w:r>
              <w:rPr>
                <w:sz w:val="15"/>
                <w:szCs w:val="15"/>
              </w:rPr>
              <w:t xml:space="preserve">Not a fair measure of cost control when volume differs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shortfall   ·   Variance   ·   Mixes volume with prices and efficiency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504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unfavorable variance   ·   flexible-budget variance   ·   sales-volume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master-budget (static-budget)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الموازنة الشاملة (الثابتة)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11.2  The master-budget variance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master-budget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measure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differs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Sales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Contribution margin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responsible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Fixed costs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Mixes volume with prices and efficiency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shortfall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planned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flexible-budget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sales-volume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different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master-budget (static-budget) variance is the difference between the actual result and the master budget. For June, operating income was $17,368 below the plan.</w:t>
      </w:r>
    </w:p>
    <w:p>
      <w:pPr>
        <w:spacing w:before="20" w:after="20"/>
        <w:ind w:left="240" w:hanging="240"/>
      </w:pPr>
      <w:r>
        <w:rPr>
          <w:b/>
          <w:bCs/>
          <w:color w:val="353A7C"/>
          <w:sz w:val="15"/>
          <w:szCs w:val="15"/>
        </w:rPr>
        <w:t xml:space="preserve">Summary 2   </w:t>
      </w:r>
      <w:r>
        <w:rPr>
          <w:color w:val="6B7280"/>
          <w:sz w:val="15"/>
          <w:szCs w:val="15"/>
        </w:rPr>
        <w:t xml:space="preserve">The total is not very useful on its own, because the division sold 3,000 fewer cases than planned. Lower volume reduces both revenue and variable costs, so the comparison mixes two different stories. It shows the full gap from the plan, which the board wants to know, but it is not a fair measure of cost control when volume differs. The comparison is therefore kept for the board and for the sales team, who are responsible for volume. The plant manager is judged on the flexible budget of the next section, which holds volume constant.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11.3  The flexible budget</w:t>
            </w:r>
          </w:p>
          <w:p>
            <w:pPr>
              <w:spacing w:before="0" w:after="46"/>
            </w:pPr>
            <w:r>
              <w:rPr>
                <w:color w:val="E8EAF6"/>
                <w:sz w:val="16"/>
                <w:szCs w:val="16"/>
              </w:rPr>
              <w:t xml:space="preserve">Chapter 11 · section 11.3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budget answers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what should the results have been at the volume actually sold? It uses the actual volume with budgeted prices and budgeted costs. </w:t>
      </w:r>
      <w:r>
        <w:rPr>
          <w:sz w:val="19"/>
          <w:szCs w:val="19"/>
        </w:rPr>
        <w:t xml:space="preserve">Fixed costs do not change,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they do not depend on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flexible   ·   because   ·   overspending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flexible budget for June</w:t>
            </w:r>
          </w:p>
        </w:tc>
      </w:tr>
    </w:tbl>
    <w:p/>
    <w:p>
      <w:pPr>
        <w:spacing w:before="44" w:after="14"/>
      </w:pPr>
      <w:r>
        <w:rPr>
          <w:b/>
          <w:bCs/>
          <w:color w:val="353A7C"/>
          <w:sz w:val="18"/>
          <w:szCs w:val="18"/>
        </w:rPr>
        <w:t xml:space="preserve">Summary 2</w:t>
      </w:r>
      <w:r>
        <w:rPr>
          <w:color w:val="6B7280"/>
          <w:sz w:val="16"/>
          <w:szCs w:val="16"/>
        </w:rPr>
        <w:t xml:space="preserve">      gaps 4–5</w:t>
      </w:r>
    </w:p>
    <w:p>
      <w:pPr>
        <w:spacing w:before="20" w:after="20" w:line="360" w:lineRule="auto"/>
        <w:ind w:left="200"/>
      </w:pPr>
      <w:r>
        <w:rPr>
          <w:sz w:val="19"/>
          <w:szCs w:val="19"/>
        </w:rPr>
        <w:t xml:space="preserve">At 72,000 cases: sales 72,000 × $20.00 = $1,440,000;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costs × $11.80 = $849,600; fixed costs stay at $350,000.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income is $240,400.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   Operating   ·   results</w:t>
            </w:r>
          </w:p>
        </w:tc>
      </w:tr>
    </w:tbl>
    <w:p/>
    <w:p>
      <w:pPr>
        <w:spacing w:before="44" w:after="10"/>
      </w:pPr>
      <w:r>
        <w:rPr>
          <w:b/>
          <w:bCs/>
          <w:color w:val="353A7C"/>
          <w:sz w:val="18"/>
          <w:szCs w:val="18"/>
        </w:rPr>
        <w:t xml:space="preserve">Worked example: the three-column analysis for June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favorable variance   ·   Fixed costs   ·   Contribution margin   ·   Cases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flexible-budget column</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Fixed costs do not flex</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 changes only the variable items. </w:t>
      </w:r>
      <w:r>
        <w:rPr>
          <w:sz w:val="19"/>
          <w:szCs w:val="19"/>
        </w:rPr>
        <w:t xml:space="preserve">Scaling fixed costs down to 72,000 cases would hide the real fixed-cost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give the wrong flexible-budget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overspending   ·   flexible   ·   answers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flexible-budget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الموازنة المرنة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11.3  The flexible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Fixed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flexible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overspending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flexible budget answers the question: what should the results have been at the volume actually sold? It uses the actual volume with budgeted prices and budgeted costs. Fixed costs do not change, because they do not depend on volume.</w:t>
      </w:r>
    </w:p>
    <w:p>
      <w:pPr>
        <w:spacing w:before="20" w:after="20"/>
        <w:ind w:left="240" w:hanging="240"/>
      </w:pPr>
      <w:r>
        <w:rPr>
          <w:b/>
          <w:bCs/>
          <w:color w:val="353A7C"/>
          <w:sz w:val="15"/>
          <w:szCs w:val="15"/>
        </w:rPr>
        <w:t xml:space="preserve">Summary 2   </w:t>
      </w:r>
      <w:r>
        <w:rPr>
          <w:color w:val="6B7280"/>
          <w:sz w:val="15"/>
          <w:szCs w:val="15"/>
        </w:rPr>
        <w:t xml:space="preserve">At 72,000 cases: sales 72,000 × $20.00 = $1,440,000; variable costs × $11.80 = $849,600; fixed costs stay at $350,000. Operating income is $240,400.</w:t>
      </w:r>
    </w:p>
    <w:p>
      <w:pPr>
        <w:spacing w:before="20" w:after="20"/>
        <w:ind w:left="240" w:hanging="240"/>
      </w:pPr>
      <w:r>
        <w:rPr>
          <w:b/>
          <w:bCs/>
          <w:color w:val="353A7C"/>
          <w:sz w:val="15"/>
          <w:szCs w:val="15"/>
        </w:rPr>
        <w:t xml:space="preserve">Summary 3   </w:t>
      </w:r>
      <w:r>
        <w:rPr>
          <w:color w:val="6B7280"/>
          <w:sz w:val="15"/>
          <w:szCs w:val="15"/>
        </w:rPr>
        <w:t xml:space="preserve">The flexible budget changes only the variable items. Scaling fixed costs down to 72,000 cases would hide the real fixed-cost overspending and give the wrong flexible-budget variance.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11.4  Sales-volume, sales-price and flexible-budget variances</w:t>
            </w:r>
          </w:p>
          <w:p>
            <w:pPr>
              <w:spacing w:before="0" w:after="46"/>
            </w:pPr>
            <w:r>
              <w:rPr>
                <w:color w:val="E8EAF6"/>
                <w:sz w:val="16"/>
                <w:szCs w:val="16"/>
              </w:rPr>
              <w:t xml:space="preserve">Chapter 11 · section 11.4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variance is the difference between the flexible budget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budget. </w:t>
      </w:r>
      <w:r>
        <w:rPr>
          <w:sz w:val="19"/>
          <w:szCs w:val="19"/>
        </w:rPr>
        <w:t xml:space="preserve">It equals the change in units multiplied by the budgeted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margin per unit: (72,000 − 75,000) × $8.20 = $24,600,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compares the actual price with the budgeted price on the units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sold: ($20.40 − $20.00) × 72,000 = $28,800, favorable. </w:t>
      </w:r>
      <w:r>
        <w:rPr>
          <w:sz w:val="19"/>
          <w:szCs w:val="19"/>
        </w:rPr>
        <w:t xml:space="preserve">Note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bases: the volume variance uses the budgeted margin, the price variance uses actual units.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variance is the difference between the actual result and the flexible budget: $7,232, favorable.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contribution   ·   selling   ·   flexible-budget   ·   actually   ·   different   ·   sales-price   ·   master   ·   unfavorable   ·   sales-volume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862"/>
        <w:gridCol w:w="4224"/>
        <w:gridCol w:w="15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the June variances and how they add up</w:t>
            </w:r>
          </w:p>
        </w:tc>
      </w:tr>
      <w:tr>
        <w:tc>
          <w:tcPr>
            <w:tcW w:type="pct" w:w="2012"/>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Calculation</w:t>
            </w:r>
          </w:p>
        </w:tc>
        <w:tc>
          <w:tcPr>
            <w:tcW w:type="pct" w:w="788"/>
            <w:shd w:fill="353A7C" w:val="clear"/>
            <w:tcMar>
              <w:top w:type="dxa" w:w="50"/>
              <w:left w:type="dxa" w:w="110"/>
              <w:bottom w:type="dxa" w:w="50"/>
              <w:right w:type="dxa" w:w="110"/>
            </w:tcMar>
          </w:tcPr>
          <w:p>
            <w:pPr>
              <w:spacing w:before="30" w:after="30"/>
            </w:pPr>
            <w:r>
              <w:rPr>
                <w:b/>
                <w:bCs/>
                <w:color w:val="FFFFFF"/>
                <w:sz w:val="15"/>
                <w:szCs w:val="15"/>
              </w:rPr>
              <w:t xml:space="preserve">Effect on operating income</w:t>
            </w:r>
          </w:p>
        </w:tc>
      </w:tr>
      <w:tr>
        <w:tc>
          <w:tcPr>
            <w:tcW w:type="pct" w:w="2012"/>
            <w:tcMar>
              <w:top w:type="dxa" w:w="50"/>
              <w:left w:type="dxa" w:w="110"/>
              <w:bottom w:type="dxa" w:w="50"/>
              <w:right w:type="dxa" w:w="110"/>
            </w:tcMar>
          </w:tcPr>
          <w:p>
            <w:pPr>
              <w:spacing w:before="28" w:after="28"/>
            </w:pPr>
            <w:r>
              <w:rPr>
                <w:sz w:val="15"/>
                <w:szCs w:val="15"/>
              </w:rPr>
              <w:t xml:space="preserve">Sales-volume variance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788"/>
            <w:tcMar>
              <w:top w:type="dxa" w:w="50"/>
              <w:left w:type="dxa" w:w="110"/>
              <w:bottom w:type="dxa" w:w="50"/>
              <w:right w:type="dxa" w:w="110"/>
            </w:tcMar>
          </w:tcPr>
          <w:p>
            <w:pPr>
              <w:spacing w:before="28" w:after="28"/>
            </w:pPr>
            <w:r>
              <w:rPr>
                <w:sz w:val="15"/>
                <w:szCs w:val="15"/>
              </w:rPr>
              <w:t xml:space="preserve">24,600 U</w:t>
            </w:r>
          </w:p>
        </w:tc>
      </w:tr>
      <w:tr>
        <w:tc>
          <w:tcPr>
            <w:tcW w:type="pct" w:w="2012"/>
            <w:shd w:fill="FBFAF6" w:val="clear"/>
            <w:tcMar>
              <w:top w:type="dxa" w:w="50"/>
              <w:left w:type="dxa" w:w="110"/>
              <w:bottom w:type="dxa" w:w="50"/>
              <w:right w:type="dxa" w:w="110"/>
            </w:tcMar>
          </w:tcPr>
          <w:p>
            <w:pPr>
              <w:spacing w:before="28" w:after="28"/>
            </w:pPr>
            <w:r>
              <w:rPr>
                <w:sz w:val="15"/>
                <w:szCs w:val="15"/>
              </w:rPr>
              <w:t xml:space="preserve">Sales-price variance</w:t>
            </w:r>
          </w:p>
        </w:tc>
        <w:tc>
          <w:tcPr>
            <w:tcW w:type="pct" w:w="2200"/>
            <w:shd w:fill="FBFAF6" w:val="clear"/>
            <w:tcMar>
              <w:top w:type="dxa" w:w="50"/>
              <w:left w:type="dxa" w:w="110"/>
              <w:bottom w:type="dxa" w:w="50"/>
              <w:right w:type="dxa" w:w="110"/>
            </w:tcMar>
          </w:tcPr>
          <w:p>
            <w:pPr>
              <w:spacing w:before="28" w:after="28"/>
            </w:pPr>
            <w:r>
              <w:rPr>
                <w:sz w:val="15"/>
                <w:szCs w:val="15"/>
              </w:rPr>
              <w:t xml:space="preserve">($20.40 − $20.00) × 72,000</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2012"/>
            <w:tcMar>
              <w:top w:type="dxa" w:w="50"/>
              <w:left w:type="dxa" w:w="110"/>
              <w:bottom w:type="dxa" w:w="50"/>
              <w:right w:type="dxa" w:w="110"/>
            </w:tcMar>
          </w:tcPr>
          <w:p>
            <w:pPr>
              <w:spacing w:before="28" w:after="28"/>
            </w:pPr>
            <w:r>
              <w:rPr>
                <w:sz w:val="15"/>
                <w:szCs w:val="15"/>
              </w:rPr>
              <w:t xml:space="preserve">Variable cost variance</w:t>
            </w:r>
          </w:p>
        </w:tc>
        <w:tc>
          <w:tcPr>
            <w:tcW w:type="pct" w:w="2200"/>
            <w:tcMar>
              <w:top w:type="dxa" w:w="50"/>
              <w:left w:type="dxa" w:w="110"/>
              <w:bottom w:type="dxa" w:w="50"/>
              <w:right w:type="dxa" w:w="110"/>
            </w:tcMar>
          </w:tcPr>
          <w:p>
            <w:pPr>
              <w:spacing w:before="28" w:after="28"/>
            </w:pPr>
            <w:r>
              <w:rPr>
                <w:sz w:val="15"/>
                <w:szCs w:val="15"/>
              </w:rPr>
              <w:t xml:space="preserve">actual − flexible budget</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012"/>
            <w:shd w:fill="FBFAF6" w:val="clear"/>
            <w:tcMar>
              <w:top w:type="dxa" w:w="50"/>
              <w:left w:type="dxa" w:w="110"/>
              <w:bottom w:type="dxa" w:w="50"/>
              <w:right w:type="dxa" w:w="110"/>
            </w:tcMar>
          </w:tcPr>
          <w:p>
            <w:pPr>
              <w:spacing w:before="28" w:after="28"/>
            </w:pPr>
            <w:r>
              <w:rPr>
                <w:sz w:val="15"/>
                <w:szCs w:val="15"/>
              </w:rPr>
              <w:t xml:space="preserve">Fixed cost variance</w:t>
            </w:r>
          </w:p>
        </w:tc>
        <w:tc>
          <w:tcPr>
            <w:tcW w:type="pct" w:w="2200"/>
            <w:shd w:fill="FBFAF6" w:val="clear"/>
            <w:tcMar>
              <w:top w:type="dxa" w:w="50"/>
              <w:left w:type="dxa" w:w="110"/>
              <w:bottom w:type="dxa" w:w="50"/>
              <w:right w:type="dxa" w:w="110"/>
            </w:tcMar>
          </w:tcPr>
          <w:p>
            <w:pPr>
              <w:spacing w:before="28" w:after="28"/>
            </w:pPr>
            <w:r>
              <w:rPr>
                <w:sz w:val="15"/>
                <w:szCs w:val="15"/>
              </w:rPr>
              <w:t xml:space="preserve">actual − budget</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012"/>
            <w:tcMar>
              <w:top w:type="dxa" w:w="50"/>
              <w:left w:type="dxa" w:w="110"/>
              <w:bottom w:type="dxa" w:w="50"/>
              <w:right w:type="dxa" w:w="110"/>
            </w:tcMar>
          </w:tcPr>
          <w:p>
            <w:pPr>
              <w:spacing w:before="28" w:after="28"/>
            </w:pPr>
            <w:r>
              <w:rPr>
                <w:sz w:val="15"/>
                <w:szCs w:val="15"/>
              </w:rPr>
              <w:t xml:space="preserve">Flexible-budget variance</w:t>
            </w:r>
          </w:p>
        </w:tc>
        <w:tc>
          <w:tcPr>
            <w:tcW w:type="pct" w:w="2200"/>
            <w:tcMar>
              <w:top w:type="dxa" w:w="50"/>
              <w:left w:type="dxa" w:w="110"/>
              <w:bottom w:type="dxa" w:w="50"/>
              <w:right w:type="dxa" w:w="110"/>
            </w:tcMar>
          </w:tcPr>
          <w:p>
            <w:pPr>
              <w:spacing w:before="28" w:after="28"/>
            </w:pPr>
            <w:r>
              <w:rPr>
                <w:sz w:val="15"/>
                <w:szCs w:val="15"/>
              </w:rPr>
              <w:t xml:space="preserve">price + cost variances</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012"/>
            <w:shd w:fill="FBFAF6" w:val="clear"/>
            <w:tcMar>
              <w:top w:type="dxa" w:w="50"/>
              <w:left w:type="dxa" w:w="110"/>
              <w:bottom w:type="dxa" w:w="50"/>
              <w:right w:type="dxa" w:w="110"/>
            </w:tcMar>
          </w:tcPr>
          <w:p>
            <w:pPr>
              <w:spacing w:before="28" w:after="28"/>
            </w:pPr>
            <w:r>
              <w:rPr>
                <w:sz w:val="15"/>
                <w:szCs w:val="15"/>
              </w:rPr>
              <w:t xml:space="preserve">Master-budget variance</w:t>
            </w:r>
          </w:p>
        </w:tc>
        <w:tc>
          <w:tcPr>
            <w:tcW w:type="pct" w:w="2200"/>
            <w:shd w:fill="FBFAF6" w:val="clear"/>
            <w:tcMar>
              <w:top w:type="dxa" w:w="50"/>
              <w:left w:type="dxa" w:w="110"/>
              <w:bottom w:type="dxa" w:w="50"/>
              <w:right w:type="dxa" w:w="110"/>
            </w:tcMar>
          </w:tcPr>
          <w:p>
            <w:pPr>
              <w:spacing w:before="28" w:after="28"/>
            </w:pPr>
            <w:r>
              <w:rPr>
                <w:sz w:val="15"/>
                <w:szCs w:val="15"/>
              </w:rPr>
              <w:t xml:space="preserve">flexible-budget + sales-volume</w:t>
            </w:r>
          </w:p>
        </w:tc>
        <w:tc>
          <w:tcPr>
            <w:tcW w:type="pct" w:w="788"/>
            <w:shd w:fill="FFFFFF" w:val="clear"/>
            <w:tcMar>
              <w:top w:type="dxa" w:w="50"/>
              <w:left w:type="dxa" w:w="110"/>
              <w:bottom w:type="dxa" w:w="50"/>
              <w:right w:type="dxa" w:w="110"/>
            </w:tcMar>
          </w:tcPr>
          <w:p>
            <w:pPr>
              <w:spacing w:before="46" w:after="46"/>
            </w:pPr>
            <w:r>
              <w:rPr>
                <w:b/>
                <w:bCs/>
                <w:color w:val="8186EF"/>
                <w:sz w:val="14"/>
                <w:szCs w:val="14"/>
              </w:rPr>
              <w:t xml:space="preserve">(14)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price + cost variances   ·   17,368 U   ·   8,000 U   ·   28,800 F   ·   13,568 U   ·   7,232 F   ·   (72,000 − 75,000) × $8.20</w:t>
            </w:r>
          </w:p>
        </w:tc>
      </w:tr>
    </w:tbl>
    <w:p/>
    <w:p>
      <w:pPr>
        <w:spacing w:before="20" w:after="20" w:line="360" w:lineRule="auto"/>
        <w:ind w:left="200"/>
      </w:pPr>
      <w:r>
        <w:rPr>
          <w:sz w:val="19"/>
          <w:szCs w:val="19"/>
        </w:rPr>
        <w:t xml:space="preserve">Concentrate is $13,240 over budget, and the fixed costs are $8,000 over.</w:t>
      </w:r>
    </w:p>
    <w:p>
      <w:pPr>
        <w:pageBreakBefore w:val="true"/>
        <w:spacing w:after="0"/>
      </w:pPr>
      <w:r>
        <w:rPr>
          <w:sz w:val="2"/>
        </w:rPr>
        <w:t xml:space="preserve"> </w:t>
      </w:r>
    </w:p>
    <w:p>
      <w:pPr>
        <w:spacing w:before="44" w:after="10"/>
      </w:pPr>
      <w:r>
        <w:rPr>
          <w:b/>
          <w:bCs/>
          <w:color w:val="353A7C"/>
          <w:sz w:val="18"/>
          <w:szCs w:val="18"/>
        </w:rPr>
        <w:t xml:space="preserve">The cost side of the flexible-budget variance</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45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455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selling and administrative   ·   Variable overhead   ·   Fixed costs   ·   Variable costs   ·   Direct labor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Volume at margin, price at actual units</w:t>
            </w:r>
          </w:p>
        </w:tc>
      </w:tr>
    </w:tbl>
    <w:p/>
    <w:p>
      <w:pPr>
        <w:spacing w:before="44" w:after="14"/>
      </w:pPr>
      <w:r>
        <w:rPr>
          <w:b/>
          <w:bCs/>
          <w:color w:val="353A7C"/>
          <w:sz w:val="18"/>
          <w:szCs w:val="18"/>
        </w:rPr>
        <w:t xml:space="preserve">Summary 2</w:t>
      </w:r>
      <w:r>
        <w:rPr>
          <w:color w:val="6B7280"/>
          <w:sz w:val="16"/>
          <w:szCs w:val="16"/>
        </w:rPr>
        <w:t xml:space="preserve">      gaps 19–21</w:t>
      </w:r>
    </w:p>
    <w:p>
      <w:pPr>
        <w:spacing w:before="20" w:after="20" w:line="360" w:lineRule="auto"/>
        <w:ind w:left="200"/>
      </w:pPr>
      <w:r>
        <w:rPr>
          <w:sz w:val="19"/>
          <w:szCs w:val="19"/>
        </w:rPr>
        <w:t xml:space="preserve">Valuing the volume variance at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price, or the price variance at budgeted units, are the two most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errors. </w:t>
      </w:r>
      <w:r>
        <w:rPr>
          <w:sz w:val="19"/>
          <w:szCs w:val="19"/>
        </w:rPr>
        <w:t xml:space="preserve">The volume variance uses the budgeted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margin; the price variance uses the units actually sold.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selling   ·   sales-volume   ·   common   ·   contribution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unfavorable variance   ·   sales-price variance   ·   flexible-budget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sales-volume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حجم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sales-price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سعر البيع</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11.4  Sales-volume, sales-price and flexible-budget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sales-volume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7,232 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master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17,368 U</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Direct labor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unfavorable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sales-price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Variable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actually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Fixed selling and 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flexible-budget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common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(72,000 − 75,000) × $8.20</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28,800 F</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flexible-budget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13,568 U</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sales-price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8,000 U</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sales-volume variance is the difference between the flexible budget and the master budget. It equals the change in units multiplied by the budgeted contribution margin per unit: (72,000 − 75,000) × $8.20 = $24,600, unfavorable. The sales-price variance compares the actual price with the budgeted price on the units actually sold: ($20.40 − $20.00) × 72,000 = $28,800, favorable. Note the different bases: the volume variance uses the budgeted margin, the price variance uses actual units. The flexible-budget variance is the difference between the actual result and the flexible budget: $7,232, favorable.</w:t>
      </w:r>
    </w:p>
    <w:p>
      <w:pPr>
        <w:spacing w:before="20" w:after="20"/>
        <w:ind w:left="240" w:hanging="240"/>
      </w:pPr>
      <w:r>
        <w:rPr>
          <w:b/>
          <w:bCs/>
          <w:color w:val="353A7C"/>
          <w:sz w:val="15"/>
          <w:szCs w:val="15"/>
        </w:rPr>
        <w:t xml:space="preserve">Summary 2   </w:t>
      </w:r>
      <w:r>
        <w:rPr>
          <w:color w:val="6B7280"/>
          <w:sz w:val="15"/>
          <w:szCs w:val="15"/>
        </w:rPr>
        <w:t xml:space="preserve">Valuing the volume variance at the selling price, or the price variance at budgeted units, are the two most common errors. The volume variance uses the budgeted contribution margin; the price variance uses the units actually sold.</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11.5  Investigating variances</w:t>
            </w:r>
          </w:p>
          <w:p>
            <w:pPr>
              <w:spacing w:before="0" w:after="46"/>
            </w:pPr>
            <w:r>
              <w:rPr>
                <w:color w:val="E8EAF6"/>
                <w:sz w:val="16"/>
                <w:szCs w:val="16"/>
              </w:rPr>
              <w:t xml:space="preserve">Chapter 11 · section 11.5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cost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still mixes two causes: the price paid for an input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variance   ·   quantity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63"/>
        <w:gridCol w:w="2722"/>
        <w:gridCol w:w="1091"/>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Investigating the concentrate and labor differences</w:t>
            </w:r>
          </w:p>
        </w:tc>
      </w:tr>
      <w:tr>
        <w:tc>
          <w:tcPr>
            <w:tcW w:type="pct" w:w="814"/>
            <w:shd w:fill="353A7C" w:val="clear"/>
            <w:tcMar>
              <w:top w:type="dxa" w:w="50"/>
              <w:left w:type="dxa" w:w="110"/>
              <w:bottom w:type="dxa" w:w="50"/>
              <w:right w:type="dxa" w:w="110"/>
            </w:tcMar>
          </w:tcPr>
          <w:p>
            <w:pPr>
              <w:spacing w:before="30" w:after="30"/>
            </w:pPr>
            <w:r>
              <w:rPr>
                <w:b/>
                <w:bCs/>
                <w:color w:val="FFFFFF"/>
                <w:sz w:val="15"/>
                <w:szCs w:val="15"/>
              </w:rPr>
              <w:t xml:space="preserve">Difference</w:t>
            </w:r>
          </w:p>
        </w:tc>
        <w:tc>
          <w:tcPr>
            <w:tcW w:type="pct" w:w="1418"/>
            <w:shd w:fill="353A7C" w:val="clear"/>
            <w:tcMar>
              <w:top w:type="dxa" w:w="50"/>
              <w:left w:type="dxa" w:w="110"/>
              <w:bottom w:type="dxa" w:w="50"/>
              <w:right w:type="dxa" w:w="110"/>
            </w:tcMar>
          </w:tcPr>
          <w:p>
            <w:pPr>
              <w:spacing w:before="30" w:after="30"/>
            </w:pPr>
            <w:r>
              <w:rPr>
                <w:b/>
                <w:bCs/>
                <w:color w:val="FFFFFF"/>
                <w:sz w:val="15"/>
                <w:szCs w:val="15"/>
              </w:rPr>
              <w:t xml:space="preserve">Calculation</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Likely reason</w:t>
            </w:r>
          </w:p>
        </w:tc>
      </w:tr>
      <w:tr>
        <w:tc>
          <w:tcPr>
            <w:tcW w:type="pct" w:w="814"/>
            <w:tcMar>
              <w:top w:type="dxa" w:w="50"/>
              <w:left w:type="dxa" w:w="110"/>
              <w:bottom w:type="dxa" w:w="50"/>
              <w:right w:type="dxa" w:w="110"/>
            </w:tcMar>
          </w:tcPr>
          <w:p>
            <w:pPr>
              <w:spacing w:before="28" w:after="28"/>
            </w:pPr>
            <w:r>
              <w:rPr>
                <w:sz w:val="15"/>
                <w:szCs w:val="15"/>
              </w:rPr>
              <w:t xml:space="preserve">Concentrate price</w:t>
            </w:r>
          </w:p>
        </w:tc>
        <w:tc>
          <w:tcPr>
            <w:tcW w:type="pct" w:w="1418"/>
            <w:tcMar>
              <w:top w:type="dxa" w:w="50"/>
              <w:left w:type="dxa" w:w="110"/>
              <w:bottom w:type="dxa" w:w="50"/>
              <w:right w:type="dxa" w:w="110"/>
            </w:tcMar>
          </w:tcPr>
          <w:p>
            <w:pPr>
              <w:spacing w:before="28" w:after="28"/>
            </w:pPr>
            <w:r>
              <w:rPr>
                <w:sz w:val="15"/>
                <w:szCs w:val="15"/>
              </w:rPr>
              <w:t xml:space="preserve">($0.92 − $0.90) × 437,000 liters</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A world price rise; not controllable by the plant</w:t>
            </w:r>
          </w:p>
        </w:tc>
      </w:tr>
      <w:tr>
        <w:tc>
          <w:tcPr>
            <w:tcW w:type="pct" w:w="814"/>
            <w:shd w:fill="FBFAF6" w:val="clear"/>
            <w:tcMar>
              <w:top w:type="dxa" w:w="50"/>
              <w:left w:type="dxa" w:w="110"/>
              <w:bottom w:type="dxa" w:w="50"/>
              <w:right w:type="dxa" w:w="110"/>
            </w:tcMar>
          </w:tcPr>
          <w:p>
            <w:pPr>
              <w:spacing w:before="28" w:after="28"/>
            </w:pPr>
            <w:r>
              <w:rPr>
                <w:sz w:val="15"/>
                <w:szCs w:val="15"/>
              </w:rPr>
              <w:t xml:space="preserve">Concentrate usage</w:t>
            </w:r>
          </w:p>
        </w:tc>
        <w:tc>
          <w:tcPr>
            <w:tcW w:type="pct" w:w="141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568"/>
            <w:shd w:fill="FBFAF6" w:val="clear"/>
            <w:tcMar>
              <w:top w:type="dxa" w:w="50"/>
              <w:left w:type="dxa" w:w="110"/>
              <w:bottom w:type="dxa" w:w="50"/>
              <w:right w:type="dxa" w:w="110"/>
            </w:tcMar>
          </w:tcPr>
          <w:p>
            <w:pPr>
              <w:spacing w:before="28" w:after="28"/>
            </w:pPr>
            <w:r>
              <w:rPr>
                <w:sz w:val="15"/>
                <w:szCs w:val="15"/>
              </w:rPr>
              <w:t xml:space="preserve">4,500 U</w:t>
            </w:r>
          </w:p>
        </w:tc>
        <w:tc>
          <w:tcPr>
            <w:tcW w:type="pct" w:w="2200"/>
            <w:shd w:fill="FBFAF6" w:val="clear"/>
            <w:tcMar>
              <w:top w:type="dxa" w:w="50"/>
              <w:left w:type="dxa" w:w="110"/>
              <w:bottom w:type="dxa" w:w="50"/>
              <w:right w:type="dxa" w:w="110"/>
            </w:tcMar>
          </w:tcPr>
          <w:p>
            <w:pPr>
              <w:spacing w:before="28" w:after="28"/>
            </w:pPr>
            <w:r>
              <w:rPr>
                <w:sz w:val="15"/>
                <w:szCs w:val="15"/>
              </w:rPr>
              <w:t xml:space="preserve">Spillage on the line during a changeover</w:t>
            </w:r>
          </w:p>
        </w:tc>
      </w:tr>
      <w:tr>
        <w:tc>
          <w:tcPr>
            <w:tcW w:type="pct" w:w="814"/>
            <w:tcMar>
              <w:top w:type="dxa" w:w="50"/>
              <w:left w:type="dxa" w:w="110"/>
              <w:bottom w:type="dxa" w:w="50"/>
              <w:right w:type="dxa" w:w="110"/>
            </w:tcMar>
          </w:tcPr>
          <w:p>
            <w:pPr>
              <w:spacing w:before="28" w:after="28"/>
            </w:pPr>
            <w:r>
              <w:rPr>
                <w:sz w:val="15"/>
                <w:szCs w:val="15"/>
              </w:rPr>
              <w:t xml:space="preserve">Labor rate</w:t>
            </w:r>
          </w:p>
        </w:tc>
        <w:tc>
          <w:tcPr>
            <w:tcW w:type="pct" w:w="1418"/>
            <w:tcMar>
              <w:top w:type="dxa" w:w="50"/>
              <w:left w:type="dxa" w:w="110"/>
              <w:bottom w:type="dxa" w:w="50"/>
              <w:right w:type="dxa" w:w="110"/>
            </w:tcMar>
          </w:tcPr>
          <w:p>
            <w:pPr>
              <w:spacing w:before="28" w:after="28"/>
            </w:pPr>
            <w:r>
              <w:rPr>
                <w:sz w:val="15"/>
                <w:szCs w:val="15"/>
              </w:rPr>
              <w:t xml:space="preserve">($12.10 − $12.00) × 3,680 hours</w:t>
            </w:r>
          </w:p>
        </w:tc>
        <w:tc>
          <w:tcPr>
            <w:tcW w:type="pct" w:w="568"/>
            <w:tcMar>
              <w:top w:type="dxa" w:w="50"/>
              <w:left w:type="dxa" w:w="110"/>
              <w:bottom w:type="dxa" w:w="50"/>
              <w:right w:type="dxa" w:w="110"/>
            </w:tcMar>
          </w:tcPr>
          <w:p>
            <w:pPr>
              <w:spacing w:before="28" w:after="28"/>
            </w:pPr>
            <w:r>
              <w:rPr>
                <w:sz w:val="15"/>
                <w:szCs w:val="15"/>
              </w:rPr>
              <w:t xml:space="preserve">368 U</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814"/>
            <w:shd w:fill="FBFAF6" w:val="clear"/>
            <w:tcMar>
              <w:top w:type="dxa" w:w="50"/>
              <w:left w:type="dxa" w:w="110"/>
              <w:bottom w:type="dxa" w:w="50"/>
              <w:right w:type="dxa" w:w="110"/>
            </w:tcMar>
          </w:tcPr>
          <w:p>
            <w:pPr>
              <w:spacing w:before="28" w:after="28"/>
            </w:pPr>
            <w:r>
              <w:rPr>
                <w:sz w:val="15"/>
                <w:szCs w:val="15"/>
              </w:rPr>
              <w:t xml:space="preserve">Labor efficiency</w:t>
            </w:r>
          </w:p>
        </w:tc>
        <w:tc>
          <w:tcPr>
            <w:tcW w:type="pct" w:w="1418"/>
            <w:shd w:fill="FBFAF6" w:val="clear"/>
            <w:tcMar>
              <w:top w:type="dxa" w:w="50"/>
              <w:left w:type="dxa" w:w="110"/>
              <w:bottom w:type="dxa" w:w="50"/>
              <w:right w:type="dxa" w:w="110"/>
            </w:tcMar>
          </w:tcPr>
          <w:p>
            <w:pPr>
              <w:spacing w:before="28" w:after="28"/>
            </w:pPr>
            <w:r>
              <w:rPr>
                <w:sz w:val="15"/>
                <w:szCs w:val="15"/>
              </w:rPr>
              <w:t xml:space="preserve">(3,680 − 3,600) hours × $12.00</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shd w:fill="FBFAF6" w:val="clear"/>
            <w:tcMar>
              <w:top w:type="dxa" w:w="50"/>
              <w:left w:type="dxa" w:w="110"/>
              <w:bottom w:type="dxa" w:w="50"/>
              <w:right w:type="dxa" w:w="110"/>
            </w:tcMar>
          </w:tcPr>
          <w:p>
            <w:pPr>
              <w:spacing w:before="28" w:after="28"/>
            </w:pPr>
            <w:r>
              <w:rPr>
                <w:sz w:val="15"/>
                <w:szCs w:val="15"/>
              </w:rPr>
              <w:t xml:space="preserve">The same changeover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960 U   ·   Overtime for the summer season   ·   8,740 U   ·   master-budget (static-budget) variance   ·   (437,000 − 432,000) liters × $0.90</w:t>
            </w:r>
          </w:p>
        </w:tc>
      </w:tr>
    </w:tbl>
    <w:p/>
    <w:p>
      <w:pPr>
        <w:spacing w:before="44" w:after="14"/>
      </w:pPr>
      <w:r>
        <w:rPr>
          <w:b/>
          <w:bCs/>
          <w:color w:val="353A7C"/>
          <w:sz w:val="18"/>
          <w:szCs w:val="18"/>
        </w:rPr>
        <w:t xml:space="preserve">Summary 2</w:t>
      </w:r>
      <w:r>
        <w:rPr>
          <w:color w:val="6B7280"/>
          <w:sz w:val="16"/>
          <w:szCs w:val="16"/>
        </w:rPr>
        <w:t xml:space="preserve">      gaps 7–12</w:t>
      </w:r>
    </w:p>
    <w:p>
      <w:pPr>
        <w:spacing w:before="20" w:after="20" w:line="360" w:lineRule="auto"/>
        <w:ind w:left="200"/>
      </w:pP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price variance of $8,740 came from a world price rise, which the plant cannot control; the usage variance of $4,500 and the labor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variance of $960 came from one long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Common reasons for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include changes in input prices, the quality of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skill or mix of workers, machine problems, the volume produced, and errors in the budget itself. </w:t>
      </w:r>
      <w:r>
        <w:rPr>
          <w:sz w:val="19"/>
          <w:szCs w:val="19"/>
        </w:rPr>
        <w:t xml:space="preserve">A variance is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not an answer.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quality   ·   variances   ·   changeover   ·   efficiency   ·   question   ·   materials   ·   concentrate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504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favorable variance   ·   master-budget (static-budget) variance   ·   sales-volume variance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sales-volume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حجم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flexible-budget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الموازنة المرنة</w:t>
            </w:r>
          </w:p>
        </w:tc>
      </w:tr>
      <w:tr>
        <w:tc>
          <w:tcPr>
            <w:tcW w:type="pct" w:w="2600"/>
            <w:tcMar>
              <w:top w:type="dxa" w:w="50"/>
              <w:left w:type="dxa" w:w="110"/>
              <w:bottom w:type="dxa" w:w="50"/>
              <w:right w:type="dxa" w:w="110"/>
            </w:tcMar>
          </w:tcPr>
          <w:p>
            <w:pPr>
              <w:spacing w:before="26" w:after="26"/>
            </w:pPr>
            <w:r>
              <w:rPr>
                <w:color w:val="232733"/>
                <w:sz w:val="16"/>
                <w:szCs w:val="16"/>
              </w:rPr>
              <w:t xml:space="preserve">master-budget (static-budget)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الموازنة الشاملة (الثابتة)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11.5  Investigating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variance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efficiency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changeover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8,740 U</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(437,000 − 432,000) liters × $0.90</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materials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Overtime for the summer season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960 U</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sales-volume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concentrate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master-budget (static-budget) variance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cost variance still mixes two causes: the price paid for an input and the quantity used.</w:t>
      </w:r>
    </w:p>
    <w:p>
      <w:pPr>
        <w:spacing w:before="20" w:after="20"/>
        <w:ind w:left="240" w:hanging="240"/>
      </w:pPr>
      <w:r>
        <w:rPr>
          <w:b/>
          <w:bCs/>
          <w:color w:val="353A7C"/>
          <w:sz w:val="15"/>
          <w:szCs w:val="15"/>
        </w:rPr>
        <w:t xml:space="preserve">Summary 2   </w:t>
      </w:r>
      <w:r>
        <w:rPr>
          <w:color w:val="6B7280"/>
          <w:sz w:val="15"/>
          <w:szCs w:val="15"/>
        </w:rPr>
        <w:t xml:space="preserve">The concentrate price variance of $8,740 came from a world price rise, which the plant cannot control; the usage variance of $4,500 and the labor efficiency variance of $960 came from one long changeover. Common reasons for variances include changes in input prices, the quality of materials, the skill or mix of workers, machine problems, the volume produced, and errors in the budget itself. A variance is a question, not an answer.</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11.6  Extended Example 11A: the June review meeting</w:t>
            </w:r>
          </w:p>
          <w:p>
            <w:pPr>
              <w:spacing w:before="0" w:after="46"/>
            </w:pPr>
            <w:r>
              <w:rPr>
                <w:color w:val="E8EAF6"/>
                <w:sz w:val="16"/>
                <w:szCs w:val="16"/>
              </w:rPr>
              <w:t xml:space="preserve">Chapter 11 · section 11.6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This example follows the monthly review, where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decides which variances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Orontes follows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by exception: a variance is investigated if it is above 5% of the budgeted figure for that item.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   whether   ·   investigate   ·   division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04"/>
        <w:gridCol w:w="1091"/>
        <w:gridCol w:w="1481"/>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which variances to investigate</w:t>
            </w:r>
          </w:p>
        </w:tc>
      </w:tr>
      <w:tr>
        <w:tc>
          <w:tcPr>
            <w:tcW w:type="pct" w:w="146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771"/>
            <w:shd w:fill="353A7C" w:val="clear"/>
            <w:tcMar>
              <w:top w:type="dxa" w:w="50"/>
              <w:left w:type="dxa" w:w="110"/>
              <w:bottom w:type="dxa" w:w="50"/>
              <w:right w:type="dxa" w:w="110"/>
            </w:tcMar>
          </w:tcPr>
          <w:p>
            <w:pPr>
              <w:spacing w:before="30" w:after="30"/>
            </w:pPr>
            <w:r>
              <w:rPr>
                <w:b/>
                <w:bCs/>
                <w:color w:val="FFFFFF"/>
                <w:sz w:val="15"/>
                <w:szCs w:val="15"/>
              </w:rPr>
              <w:t xml:space="preserve">Share of its budget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Action under the 5% rule</w:t>
            </w:r>
          </w:p>
        </w:tc>
      </w:tr>
      <w:tr>
        <w:tc>
          <w:tcPr>
            <w:tcW w:type="pct" w:w="1460"/>
            <w:tcMar>
              <w:top w:type="dxa" w:w="50"/>
              <w:left w:type="dxa" w:w="110"/>
              <w:bottom w:type="dxa" w:w="50"/>
              <w:right w:type="dxa" w:w="110"/>
            </w:tcMar>
          </w:tcPr>
          <w:p>
            <w:pPr>
              <w:spacing w:before="28" w:after="28"/>
            </w:pPr>
            <w:r>
              <w:rPr>
                <w:sz w:val="15"/>
                <w:szCs w:val="15"/>
              </w:rPr>
              <w:t xml:space="preserve">Sales price</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771"/>
            <w:tcMar>
              <w:top w:type="dxa" w:w="50"/>
              <w:left w:type="dxa" w:w="110"/>
              <w:bottom w:type="dxa" w:w="50"/>
              <w:right w:type="dxa" w:w="110"/>
            </w:tcMar>
          </w:tcPr>
          <w:p>
            <w:pPr>
              <w:spacing w:before="28" w:after="28"/>
            </w:pPr>
            <w:r>
              <w:rPr>
                <w:sz w:val="15"/>
                <w:szCs w:val="15"/>
              </w:rPr>
              <w:t xml:space="preserve">10.9%</w:t>
            </w:r>
          </w:p>
        </w:tc>
        <w:tc>
          <w:tcPr>
            <w:tcW w:type="pct" w:w="2200"/>
            <w:tcMar>
              <w:top w:type="dxa" w:w="50"/>
              <w:left w:type="dxa" w:w="110"/>
              <w:bottom w:type="dxa" w:w="50"/>
              <w:right w:type="dxa" w:w="110"/>
            </w:tcMar>
          </w:tcPr>
          <w:p>
            <w:pPr>
              <w:spacing w:before="28" w:after="28"/>
            </w:pPr>
            <w:r>
              <w:rPr>
                <w:sz w:val="15"/>
                <w:szCs w:val="15"/>
              </w:rPr>
              <w:t xml:space="preserve">Follow up: can the higher price be kept?</w:t>
            </w:r>
          </w:p>
        </w:tc>
      </w:tr>
      <w:tr>
        <w:tc>
          <w:tcPr>
            <w:tcW w:type="pct" w:w="1460"/>
            <w:shd w:fill="FBFAF6" w:val="clear"/>
            <w:tcMar>
              <w:top w:type="dxa" w:w="50"/>
              <w:left w:type="dxa" w:w="110"/>
              <w:bottom w:type="dxa" w:w="50"/>
              <w:right w:type="dxa" w:w="110"/>
            </w:tcMar>
          </w:tcPr>
          <w:p>
            <w:pPr>
              <w:spacing w:before="28" w:after="28"/>
            </w:pPr>
            <w:r>
              <w:rPr>
                <w:sz w:val="15"/>
                <w:szCs w:val="15"/>
              </w:rPr>
              <w:t xml:space="preserve">Sales volume</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771"/>
            <w:shd w:fill="FBFAF6" w:val="clear"/>
            <w:tcMar>
              <w:top w:type="dxa" w:w="50"/>
              <w:left w:type="dxa" w:w="110"/>
              <w:bottom w:type="dxa" w:w="50"/>
              <w:right w:type="dxa" w:w="110"/>
            </w:tcMar>
          </w:tcPr>
          <w:p>
            <w:pPr>
              <w:spacing w:before="28" w:after="28"/>
            </w:pPr>
            <w:r>
              <w:rPr>
                <w:sz w:val="15"/>
                <w:szCs w:val="15"/>
              </w:rPr>
              <w:t xml:space="preserve">9.3%</w:t>
            </w:r>
          </w:p>
        </w:tc>
        <w:tc>
          <w:tcPr>
            <w:tcW w:type="pct" w:w="2200"/>
            <w:shd w:fill="FBFAF6" w:val="clear"/>
            <w:tcMar>
              <w:top w:type="dxa" w:w="50"/>
              <w:left w:type="dxa" w:w="110"/>
              <w:bottom w:type="dxa" w:w="50"/>
              <w:right w:type="dxa" w:w="110"/>
            </w:tcMar>
          </w:tcPr>
          <w:p>
            <w:pPr>
              <w:spacing w:before="28" w:after="28"/>
            </w:pPr>
            <w:r>
              <w:rPr>
                <w:sz w:val="15"/>
                <w:szCs w:val="15"/>
              </w:rPr>
              <w:t xml:space="preserve">Follow up: why were cases lost?</w:t>
            </w:r>
          </w:p>
        </w:tc>
      </w:tr>
      <w:tr>
        <w:tc>
          <w:tcPr>
            <w:tcW w:type="pct" w:w="1460"/>
            <w:tcMar>
              <w:top w:type="dxa" w:w="50"/>
              <w:left w:type="dxa" w:w="110"/>
              <w:bottom w:type="dxa" w:w="50"/>
              <w:right w:type="dxa" w:w="110"/>
            </w:tcMar>
          </w:tcPr>
          <w:p>
            <w:pPr>
              <w:spacing w:before="28" w:after="28"/>
            </w:pPr>
            <w:r>
              <w:rPr>
                <w:sz w:val="15"/>
                <w:szCs w:val="15"/>
              </w:rPr>
              <w:t xml:space="preserve">Concentrate</w:t>
            </w:r>
          </w:p>
        </w:tc>
        <w:tc>
          <w:tcPr>
            <w:tcW w:type="pct" w:w="568"/>
            <w:tcMar>
              <w:top w:type="dxa" w:w="50"/>
              <w:left w:type="dxa" w:w="110"/>
              <w:bottom w:type="dxa" w:w="50"/>
              <w:right w:type="dxa" w:w="110"/>
            </w:tcMar>
          </w:tcPr>
          <w:p>
            <w:pPr>
              <w:spacing w:before="28" w:after="28"/>
            </w:pPr>
            <w:r>
              <w:rPr>
                <w:sz w:val="15"/>
                <w:szCs w:val="15"/>
              </w:rPr>
              <w:t xml:space="preserve">13,240 U</w:t>
            </w:r>
          </w:p>
        </w:tc>
        <w:tc>
          <w:tcPr>
            <w:tcW w:type="pct" w:w="771"/>
            <w:tcMar>
              <w:top w:type="dxa" w:w="50"/>
              <w:left w:type="dxa" w:w="110"/>
              <w:bottom w:type="dxa" w:w="50"/>
              <w:right w:type="dxa" w:w="110"/>
            </w:tcMar>
          </w:tcPr>
          <w:p>
            <w:pPr>
              <w:spacing w:before="28" w:after="28"/>
            </w:pPr>
            <w:r>
              <w:rPr>
                <w:sz w:val="15"/>
                <w:szCs w:val="15"/>
              </w:rPr>
              <w:t xml:space="preserve">5.0%</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price rise and spillage</w:t>
            </w:r>
          </w:p>
        </w:tc>
      </w:tr>
      <w:tr>
        <w:tc>
          <w:tcPr>
            <w:tcW w:type="pct" w:w="1460"/>
            <w:shd w:fill="FBFAF6" w:val="clear"/>
            <w:tcMar>
              <w:top w:type="dxa" w:w="50"/>
              <w:left w:type="dxa" w:w="110"/>
              <w:bottom w:type="dxa" w:w="50"/>
              <w:right w:type="dxa" w:w="110"/>
            </w:tcMar>
          </w:tcPr>
          <w:p>
            <w:pPr>
              <w:spacing w:before="28" w:after="28"/>
            </w:pPr>
            <w:r>
              <w:rPr>
                <w:sz w:val="15"/>
                <w:szCs w:val="15"/>
              </w:rPr>
              <w:t xml:space="preserve">Direct labor</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771"/>
            <w:shd w:fill="FBFAF6" w:val="clear"/>
            <w:tcMar>
              <w:top w:type="dxa" w:w="50"/>
              <w:left w:type="dxa" w:w="110"/>
              <w:bottom w:type="dxa" w:w="50"/>
              <w:right w:type="dxa" w:w="110"/>
            </w:tcMar>
          </w:tcPr>
          <w:p>
            <w:pPr>
              <w:spacing w:before="28" w:after="28"/>
            </w:pPr>
            <w:r>
              <w:rPr>
                <w:sz w:val="15"/>
                <w:szCs w:val="15"/>
              </w:rPr>
              <w:t xml:space="preserve">3.1%</w:t>
            </w:r>
          </w:p>
        </w:tc>
        <w:tc>
          <w:tcPr>
            <w:tcW w:type="pct" w:w="2200"/>
            <w:shd w:fill="FBFAF6" w:val="clear"/>
            <w:tcMar>
              <w:top w:type="dxa" w:w="50"/>
              <w:left w:type="dxa" w:w="110"/>
              <w:bottom w:type="dxa" w:w="50"/>
              <w:right w:type="dxa" w:w="110"/>
            </w:tcMar>
          </w:tcPr>
          <w:p>
            <w:pPr>
              <w:spacing w:before="28" w:after="28"/>
            </w:pPr>
            <w:r>
              <w:rPr>
                <w:sz w:val="15"/>
                <w:szCs w:val="15"/>
              </w:rPr>
              <w:t xml:space="preserve">Below the 5% rule: no action</w:t>
            </w:r>
          </w:p>
        </w:tc>
      </w:tr>
      <w:tr>
        <w:tc>
          <w:tcPr>
            <w:tcW w:type="pct" w:w="1460"/>
            <w:tcMar>
              <w:top w:type="dxa" w:w="50"/>
              <w:left w:type="dxa" w:w="110"/>
              <w:bottom w:type="dxa" w:w="50"/>
              <w:right w:type="dxa" w:w="110"/>
            </w:tcMar>
          </w:tcPr>
          <w:p>
            <w:pPr>
              <w:spacing w:before="28" w:after="28"/>
            </w:pPr>
            <w:r>
              <w:rPr>
                <w:sz w:val="15"/>
                <w:szCs w:val="15"/>
              </w:rPr>
              <w:t xml:space="preserve">Variable overhead</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771"/>
            <w:tcMar>
              <w:top w:type="dxa" w:w="50"/>
              <w:left w:type="dxa" w:w="110"/>
              <w:bottom w:type="dxa" w:w="50"/>
              <w:right w:type="dxa" w:w="110"/>
            </w:tcMar>
          </w:tcPr>
          <w:p>
            <w:pPr>
              <w:spacing w:before="28" w:after="28"/>
            </w:pPr>
            <w:r>
              <w:rPr>
                <w:sz w:val="15"/>
                <w:szCs w:val="15"/>
              </w:rPr>
              <w:t xml:space="preserve">1.4%</w:t>
            </w:r>
          </w:p>
        </w:tc>
        <w:tc>
          <w:tcPr>
            <w:tcW w:type="pct" w:w="2200"/>
            <w:tcMar>
              <w:top w:type="dxa" w:w="50"/>
              <w:left w:type="dxa" w:w="110"/>
              <w:bottom w:type="dxa" w:w="50"/>
              <w:right w:type="dxa" w:w="110"/>
            </w:tcMar>
          </w:tcPr>
          <w:p>
            <w:pPr>
              <w:spacing w:before="28" w:after="28"/>
            </w:pPr>
            <w:r>
              <w:rPr>
                <w:sz w:val="15"/>
                <w:szCs w:val="15"/>
              </w:rPr>
              <w:t xml:space="preserve">Below the 5% rule: no action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costs   ·   28,800 F   ·   Follow up   ·   1,328 U   ·   24,600 U   ·   1,000 F</w:t>
            </w:r>
          </w:p>
        </w:tc>
      </w:tr>
    </w:tbl>
    <w:p/>
    <w:p>
      <w:pPr>
        <w:spacing w:before="44" w:after="10"/>
      </w:pPr>
      <w:r>
        <w:rPr>
          <w:b/>
          <w:bCs/>
          <w:color w:val="353A7C"/>
          <w:sz w:val="18"/>
          <w:szCs w:val="18"/>
        </w:rPr>
        <w:t xml:space="preserve">Variance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sales-price variance   ·   Flexible-budget variance   ·   Variable cost variance   ·   Fixed cost variance</w:t>
            </w:r>
          </w:p>
        </w:tc>
      </w:tr>
    </w:tbl>
    <w:p/>
    <w:p>
      <w:pPr>
        <w:spacing w:before="44" w:after="14"/>
      </w:pPr>
      <w:r>
        <w:rPr>
          <w:b/>
          <w:bCs/>
          <w:color w:val="353A7C"/>
          <w:sz w:val="18"/>
          <w:szCs w:val="18"/>
        </w:rPr>
        <w:t xml:space="preserve">Summary 2</w:t>
      </w:r>
      <w:r>
        <w:rPr>
          <w:color w:val="6B7280"/>
          <w:sz w:val="16"/>
          <w:szCs w:val="16"/>
        </w:rPr>
        <w:t xml:space="preserve">      gaps 12–18</w:t>
      </w:r>
    </w:p>
    <w:p>
      <w:pPr>
        <w:spacing w:before="20" w:after="20" w:line="360" w:lineRule="auto"/>
        <w:ind w:left="200"/>
      </w:pPr>
      <w:r>
        <w:rPr>
          <w:sz w:val="19"/>
          <w:szCs w:val="19"/>
        </w:rPr>
        <w:t xml:space="preserve">Three items pass the rule. </w:t>
      </w:r>
      <w:r>
        <w:rPr>
          <w:sz w:val="19"/>
          <w:szCs w:val="19"/>
        </w:rPr>
        <w:t xml:space="preserve">The favorable price variance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as well as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ones, because the division wants to know whether the higher price can be kept. </w:t>
      </w:r>
      <w:r>
        <w:rPr>
          <w:sz w:val="19"/>
          <w:szCs w:val="19"/>
        </w:rPr>
        <w:t xml:space="preserve">Labor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overhead are below the rule and are left alone. </w:t>
      </w:r>
      <w:r>
        <w:rPr>
          <w:sz w:val="19"/>
          <w:szCs w:val="19"/>
        </w:rPr>
        <w:t xml:space="preserve">Volume was lost to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promotion, not to poor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The higher price held because the promotion did not reach the hotel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The plant's problems came from one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which the lean work of Book 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changeover   ·   competitor's   ·   selling   ·   investigated   ·   unfavorable   ·   customers   ·   variable   ·   Together</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Together: $17,368 unfavorable, the master-budget variance.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19–21</w:t>
      </w:r>
    </w:p>
    <w:p>
      <w:pPr>
        <w:spacing w:before="20" w:after="20" w:line="360" w:lineRule="auto"/>
        <w:ind w:left="200"/>
      </w:pPr>
      <w:r>
        <w:rPr>
          <w:sz w:val="19"/>
          <w:szCs w:val="19"/>
        </w:rPr>
        <w:t xml:space="preserve">Expect a master budget, actual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and the actual volume. </w:t>
      </w:r>
      <w:r>
        <w:rPr>
          <w:sz w:val="19"/>
          <w:szCs w:val="19"/>
        </w:rPr>
        <w:t xml:space="preserve">Build the flexible-budget column first, then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sales-price variances, then the flexible-budget variance. </w:t>
      </w:r>
      <w:r>
        <w:rPr>
          <w:sz w:val="19"/>
          <w:szCs w:val="19"/>
        </w:rPr>
        <w:t xml:space="preserve">Label each as favorable or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by its effect on operating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unfavorable   ·   results   ·   sales-volume   ·   decides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one month</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tcMar>
              <w:top w:type="dxa" w:w="50"/>
              <w:left w:type="dxa" w:w="110"/>
              <w:bottom w:type="dxa" w:w="50"/>
              <w:right w:type="dxa" w:w="110"/>
            </w:tcMar>
          </w:tcPr>
          <w:p>
            <w:pPr>
              <w:spacing w:before="28" w:after="28"/>
            </w:pPr>
            <w:r>
              <w:rPr>
                <w:sz w:val="15"/>
                <w:szCs w:val="15"/>
              </w:rPr>
              <w:t xml:space="preserve">125,000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Jars actually sold</w:t>
            </w:r>
          </w:p>
        </w:tc>
        <w:tc>
          <w:tcPr>
            <w:tcW w:type="pct" w:w="2400"/>
            <w:shd w:fill="FBFAF6" w:val="clear"/>
            <w:tcMar>
              <w:top w:type="dxa" w:w="50"/>
              <w:left w:type="dxa" w:w="110"/>
              <w:bottom w:type="dxa" w:w="50"/>
              <w:right w:type="dxa" w:w="110"/>
            </w:tcMar>
          </w:tcPr>
          <w:p>
            <w:pPr>
              <w:spacing w:before="28" w:after="28"/>
            </w:pPr>
            <w:r>
              <w:rPr>
                <w:sz w:val="15"/>
                <w:szCs w:val="15"/>
              </w:rPr>
              <w:t xml:space="preserve">118,000</w:t>
            </w:r>
          </w:p>
        </w:tc>
      </w:tr>
      <w:tr>
        <w:tc>
          <w:tcPr>
            <w:tcW w:type="pct" w:w="2600"/>
            <w:tcMar>
              <w:top w:type="dxa" w:w="50"/>
              <w:left w:type="dxa" w:w="110"/>
              <w:bottom w:type="dxa" w:w="50"/>
              <w:right w:type="dxa" w:w="110"/>
            </w:tcMar>
          </w:tcPr>
          <w:p>
            <w:pPr>
              <w:spacing w:before="28" w:after="28"/>
            </w:pPr>
            <w:r>
              <w:rPr>
                <w:sz w:val="15"/>
                <w:szCs w:val="15"/>
              </w:rPr>
              <w:t xml:space="preserve">Budgeted selling price</w:t>
            </w:r>
          </w:p>
        </w:tc>
        <w:tc>
          <w:tcPr>
            <w:tcW w:type="pct" w:w="2400"/>
            <w:tcMar>
              <w:top w:type="dxa" w:w="50"/>
              <w:left w:type="dxa" w:w="110"/>
              <w:bottom w:type="dxa" w:w="50"/>
              <w:right w:type="dxa" w:w="110"/>
            </w:tcMar>
          </w:tcPr>
          <w:p>
            <w:pPr>
              <w:spacing w:before="28" w:after="28"/>
            </w:pPr>
            <w:r>
              <w:rPr>
                <w:sz w:val="15"/>
                <w:szCs w:val="15"/>
              </w:rPr>
              <w:t xml:space="preserve">$3.50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shd w:fill="FBFAF6" w:val="clear"/>
            <w:tcMar>
              <w:top w:type="dxa" w:w="50"/>
              <w:left w:type="dxa" w:w="110"/>
              <w:bottom w:type="dxa" w:w="50"/>
              <w:right w:type="dxa" w:w="110"/>
            </w:tcMar>
          </w:tcPr>
          <w:p>
            <w:pPr>
              <w:spacing w:before="28" w:after="28"/>
            </w:pPr>
            <w:r>
              <w:rPr>
                <w:sz w:val="15"/>
                <w:szCs w:val="15"/>
              </w:rPr>
              <w:t xml:space="preserve">$3.60</w:t>
            </w:r>
          </w:p>
        </w:tc>
      </w:tr>
      <w:tr>
        <w:tc>
          <w:tcPr>
            <w:tcW w:type="pct" w:w="2600"/>
            <w:tcMar>
              <w:top w:type="dxa" w:w="50"/>
              <w:left w:type="dxa" w:w="110"/>
              <w:bottom w:type="dxa" w:w="50"/>
              <w:right w:type="dxa" w:w="110"/>
            </w:tcMar>
          </w:tcPr>
          <w:p>
            <w:pPr>
              <w:spacing w:before="28" w:after="28"/>
            </w:pPr>
            <w:r>
              <w:rPr>
                <w:sz w:val="15"/>
                <w:szCs w:val="15"/>
              </w:rPr>
              <w:t xml:space="preserve">Budgeted contribution margin per jar</w:t>
            </w:r>
          </w:p>
        </w:tc>
        <w:tc>
          <w:tcPr>
            <w:tcW w:type="pct" w:w="2400"/>
            <w:tcMar>
              <w:top w:type="dxa" w:w="50"/>
              <w:left w:type="dxa" w:w="110"/>
              <w:bottom w:type="dxa" w:w="50"/>
              <w:right w:type="dxa" w:w="110"/>
            </w:tcMar>
          </w:tcPr>
          <w:p>
            <w:pPr>
              <w:spacing w:before="28" w:after="28"/>
            </w:pPr>
            <w:r>
              <w:rPr>
                <w:sz w:val="15"/>
                <w:szCs w:val="15"/>
              </w:rPr>
              <w:t xml:space="preserve">$1.50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shd w:fill="FBFAF6" w:val="clear"/>
            <w:tcMar>
              <w:top w:type="dxa" w:w="50"/>
              <w:left w:type="dxa" w:w="110"/>
              <w:bottom w:type="dxa" w:w="50"/>
              <w:right w:type="dxa" w:w="110"/>
            </w:tcMar>
          </w:tcPr>
          <w:p>
            <w:pPr>
              <w:spacing w:before="28" w:after="28"/>
            </w:pPr>
            <w:r>
              <w:rPr>
                <w:sz w:val="15"/>
                <w:szCs w:val="15"/>
              </w:rPr>
              <w:t xml:space="preserve">240,000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2400"/>
            <w:tcMar>
              <w:top w:type="dxa" w:w="50"/>
              <w:left w:type="dxa" w:w="110"/>
              <w:bottom w:type="dxa" w:w="50"/>
              <w:right w:type="dxa" w:w="110"/>
            </w:tcMar>
          </w:tcPr>
          <w:p>
            <w:pPr>
              <w:spacing w:before="28" w:after="28"/>
            </w:pPr>
            <w:r>
              <w:rPr>
                <w:sz w:val="15"/>
                <w:szCs w:val="15"/>
              </w:rPr>
              <w:t xml:space="preserve">120,000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Actual fixed costs</w:t>
            </w:r>
          </w:p>
        </w:tc>
        <w:tc>
          <w:tcPr>
            <w:tcW w:type="pct" w:w="2400"/>
            <w:shd w:fill="FBFAF6" w:val="clear"/>
            <w:tcMar>
              <w:top w:type="dxa" w:w="50"/>
              <w:left w:type="dxa" w:w="110"/>
              <w:bottom w:type="dxa" w:w="50"/>
              <w:right w:type="dxa" w:w="110"/>
            </w:tcMar>
          </w:tcPr>
          <w:p>
            <w:pPr>
              <w:spacing w:before="28" w:after="28"/>
            </w:pPr>
            <w:r>
              <w:rPr>
                <w:sz w:val="15"/>
                <w:szCs w:val="15"/>
              </w:rPr>
              <w:t xml:space="preserve">123,000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selling price   ·   Jars in the static budget   ·   Below the 5% rule: no action   ·   Actual variable costs   ·   Budgeted fixed costs for the month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97"/>
        <w:gridCol w:w="490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46"/>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554"/>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46"/>
            <w:tcMar>
              <w:top w:type="dxa" w:w="50"/>
              <w:left w:type="dxa" w:w="110"/>
              <w:bottom w:type="dxa" w:w="50"/>
              <w:right w:type="dxa" w:w="110"/>
            </w:tcMar>
          </w:tcPr>
          <w:p>
            <w:pPr>
              <w:spacing w:before="28" w:after="28"/>
            </w:pPr>
            <w:r>
              <w:rPr>
                <w:sz w:val="15"/>
                <w:szCs w:val="15"/>
              </w:rPr>
              <w:t xml:space="preserve">Variable costs</w:t>
            </w:r>
          </w:p>
        </w:tc>
        <w:tc>
          <w:tcPr>
            <w:tcW w:type="pct" w:w="2554"/>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446"/>
            <w:shd w:fill="FBFAF6" w:val="clear"/>
            <w:tcMar>
              <w:top w:type="dxa" w:w="50"/>
              <w:left w:type="dxa" w:w="110"/>
              <w:bottom w:type="dxa" w:w="50"/>
              <w:right w:type="dxa" w:w="110"/>
            </w:tcMar>
          </w:tcPr>
          <w:p>
            <w:pPr>
              <w:spacing w:before="28" w:after="28"/>
            </w:pPr>
            <w:r>
              <w:rPr>
                <w:sz w:val="15"/>
                <w:szCs w:val="15"/>
              </w:rPr>
              <w:t xml:space="preserve">Contribution margin</w:t>
            </w:r>
          </w:p>
        </w:tc>
        <w:tc>
          <w:tcPr>
            <w:tcW w:type="pct" w:w="2554"/>
            <w:shd w:fill="FBFAF6" w:val="clear"/>
            <w:tcMar>
              <w:top w:type="dxa" w:w="50"/>
              <w:left w:type="dxa" w:w="110"/>
              <w:bottom w:type="dxa" w:w="50"/>
              <w:right w:type="dxa" w:w="110"/>
            </w:tcMar>
          </w:tcPr>
          <w:p>
            <w:pPr>
              <w:spacing w:before="28" w:after="28"/>
            </w:pPr>
            <w:r>
              <w:rPr>
                <w:sz w:val="15"/>
                <w:szCs w:val="15"/>
              </w:rPr>
              <w:t xml:space="preserve">72,000 × $8.20 = $590,400</w:t>
            </w:r>
          </w:p>
        </w:tc>
      </w:tr>
      <w:tr>
        <w:tc>
          <w:tcPr>
            <w:tcW w:type="pct" w:w="2446"/>
            <w:tcMar>
              <w:top w:type="dxa" w:w="50"/>
              <w:left w:type="dxa" w:w="110"/>
              <w:bottom w:type="dxa" w:w="50"/>
              <w:right w:type="dxa" w:w="110"/>
            </w:tcMar>
          </w:tcPr>
          <w:p>
            <w:pPr>
              <w:spacing w:before="28" w:after="28"/>
            </w:pPr>
            <w:r>
              <w:rPr>
                <w:sz w:val="15"/>
                <w:szCs w:val="15"/>
              </w:rPr>
              <w:t xml:space="preserve">Operating income</w:t>
            </w:r>
          </w:p>
        </w:tc>
        <w:tc>
          <w:tcPr>
            <w:tcW w:type="pct" w:w="2554"/>
            <w:shd w:fill="FFFFFF" w:val="clear"/>
            <w:tcMar>
              <w:top w:type="dxa" w:w="50"/>
              <w:left w:type="dxa" w:w="110"/>
              <w:bottom w:type="dxa" w:w="50"/>
              <w:right w:type="dxa" w:w="110"/>
            </w:tcMar>
          </w:tcPr>
          <w:p>
            <w:pPr>
              <w:spacing w:before="46" w:after="46"/>
            </w:pPr>
            <w:r>
              <w:rPr>
                <w:b/>
                <w:bCs/>
                <w:color w:val="8186EF"/>
                <w:sz w:val="14"/>
                <w:szCs w:val="14"/>
              </w:rPr>
              <w:t xml:space="preserve">(27)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72,000 × $8.20 = $590,400   ·   72,000 × $11.80 = $849,600   ·   $590,400 − $350,000 = $240,400</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favorable variance   ·   sales-price variance   ·   flexible-budget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sales-price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سعر البيع</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favorable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ملائم</w:t>
            </w:r>
          </w:p>
        </w:tc>
      </w:tr>
      <w:tr>
        <w:tc>
          <w:tcPr>
            <w:tcW w:type="pct" w:w="2600"/>
            <w:tcMar>
              <w:top w:type="dxa" w:w="50"/>
              <w:left w:type="dxa" w:w="110"/>
              <w:bottom w:type="dxa" w:w="50"/>
              <w:right w:type="dxa" w:w="110"/>
            </w:tcMar>
          </w:tcPr>
          <w:p>
            <w:pPr>
              <w:spacing w:before="26" w:after="26"/>
            </w:pPr>
            <w:r>
              <w:rPr>
                <w:color w:val="232733"/>
                <w:sz w:val="16"/>
                <w:szCs w:val="16"/>
              </w:rPr>
              <w:t xml:space="preserve">unfavorable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غير ملائم</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11.6  Extended Example 11A: the June review meeting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investigate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customers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changeover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28,800 F</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results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24,600 U</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sales-volume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Follow up</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1,328 U</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Jars in the static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1,000 F</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Actual selling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Flexible-budget variance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Actual variable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Variable cost variance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Budgeted fixed costs for the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Fixed cost variance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72,000 × $11.80 = $849,600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investigated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$590,400 − $350,000 = $240,400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unfavorable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sales-price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favorable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competitor's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the monthly review, where the division decides which variances to investigate. Orontes follows management by exception: a variance is investigated if it is above 5% of the budgeted figure for that item.</w:t>
      </w:r>
    </w:p>
    <w:p>
      <w:pPr>
        <w:spacing w:before="20" w:after="20"/>
        <w:ind w:left="240" w:hanging="240"/>
      </w:pPr>
      <w:r>
        <w:rPr>
          <w:b/>
          <w:bCs/>
          <w:color w:val="353A7C"/>
          <w:sz w:val="15"/>
          <w:szCs w:val="15"/>
        </w:rPr>
        <w:t xml:space="preserve">Summary 2   </w:t>
      </w:r>
      <w:r>
        <w:rPr>
          <w:color w:val="6B7280"/>
          <w:sz w:val="15"/>
          <w:szCs w:val="15"/>
        </w:rPr>
        <w:t xml:space="preserve">Three items pass the rule. The favorable price variance is investigated as well as the unfavorable ones, because the division wants to know whether the higher price can be kept. Labor and variable overhead are below the rule and are left alone. Volume was lost to a competitor's promotion, not to poor selling. The higher price held because the promotion did not reach the hotel customers. The plant's problems came from one changeover, which the lean work of Book 2.</w:t>
      </w:r>
    </w:p>
    <w:p>
      <w:pPr>
        <w:spacing w:before="20" w:after="20"/>
        <w:ind w:left="240" w:hanging="240"/>
      </w:pPr>
      <w:r>
        <w:rPr>
          <w:b/>
          <w:bCs/>
          <w:color w:val="353A7C"/>
          <w:sz w:val="15"/>
          <w:szCs w:val="15"/>
        </w:rPr>
        <w:t xml:space="preserve">Summary 3   </w:t>
      </w:r>
      <w:r>
        <w:rPr>
          <w:color w:val="6B7280"/>
          <w:sz w:val="15"/>
          <w:szCs w:val="15"/>
        </w:rPr>
        <w:t xml:space="preserve">Expect a master budget, actual results and the actual volume. Build the flexible-budget column first, then the sales-volume and sales-price variances, then the flexible-budget variance. Label each as favorable or unfavorable by its effect on operating income.</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11.1 · Measuring performance against the plan</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11.2 · The master-budget variance</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11.3 · The flexible budget</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11.4 · Sales-volume, sales-price and flexible-budget variances</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11.5 · Investigating variances</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11.6 · Extended Example 11A: the June review meeting</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598ab4af4e27e9afcdc994b6a48157970604070.png" Type="http://schemas.openxmlformats.org/officeDocument/2006/relationships/image"/><Relationship Id="rId102" Target="media/c1d2491fdf4efaa1229186caed6788deb6522009.png" Type="http://schemas.openxmlformats.org/officeDocument/2006/relationships/image"/><Relationship Id="rId103" Target="media/efd6f2aeefb1a08b68942802056be84802b2f301.png" Type="http://schemas.openxmlformats.org/officeDocument/2006/relationships/image"/><Relationship Id="rId104" Target="media/6e8de404a1337524a0d1edc645fb31ec10599e4d.png" Type="http://schemas.openxmlformats.org/officeDocument/2006/relationships/image"/><Relationship Id="rId105" Target="media/b540ceabb1637f9e5e68b4b83f529bb5430830ab.png" Type="http://schemas.openxmlformats.org/officeDocument/2006/relationships/image"/><Relationship Id="rId106" Target="media/b324a7486ef58d0187a038bfb58284b8fa583952.png" Type="http://schemas.openxmlformats.org/officeDocument/2006/relationships/image"/><Relationship Id="rId107" Target="media/1162325e988b85ba3ea20de434046eb804892930.png" Type="http://schemas.openxmlformats.org/officeDocument/2006/relationships/image"/><Relationship Id="rId108" Target="media/85ff194ed98efaf5dfa402c7757d9f4a2e28119f.png" Type="http://schemas.openxmlformats.org/officeDocument/2006/relationships/image"/><Relationship Id="rId109" Target="media/6291dd9635c5c624d653fc3259f4a23f7ab8ee5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11</dc:title>
  <dc:subject>Summary handouts</dc:subject>
  <cp:category>Student Book</cp:category>
</cp:coreProperties>
</file>