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15.1  The four responsibility centers</w:t>
            </w:r>
          </w:p>
          <w:p>
            <w:pPr>
              <w:spacing w:before="0" w:after="46"/>
            </w:pPr>
            <w:r>
              <w:rPr>
                <w:color w:val="E8EAF6"/>
                <w:sz w:val="16"/>
                <w:szCs w:val="16"/>
              </w:rPr>
              <w:t xml:space="preserve">Chapter 15 · section 15.1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four responsibility centers   ·   What counts as a segment   ·   Extended Example 15A: evaluating the three div   ·   The contribution margin report</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center is a unit whose manager answers for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set of results. </w:t>
      </w:r>
      <w:r>
        <w:rPr>
          <w:sz w:val="19"/>
          <w:szCs w:val="19"/>
        </w:rPr>
        <w:t xml:space="preserve">There are four kinds, and they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only in how much the manager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cost center answers for costs, and a revenue center for revenue and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costs of earning it. </w:t>
      </w:r>
      <w:r>
        <w:rPr>
          <w:sz w:val="19"/>
          <w:szCs w:val="19"/>
        </w:rPr>
        <w:t xml:space="preserve">A profit center answers for both, and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center also for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used. </w:t>
      </w:r>
      <w:r>
        <w:rPr>
          <w:sz w:val="19"/>
          <w:szCs w:val="19"/>
        </w:rPr>
        <w:t xml:space="preserve">The four form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Each center carries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the one before it and adds another, so a manager promoted from a cost center to a profit center is answering for revenue for the first time.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ladder   ·   assets   ·   differ   ·   investment   ·   manager   ·   responsibility   ·   selling   ·   controls   ·   responsibilities   ·   defined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center   ·   revenue center   ·   profit center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cost center</w:t>
            </w:r>
          </w:p>
        </w:tc>
        <w:tc>
          <w:tcPr>
            <w:tcW w:type="pct" w:w="2400"/>
            <w:tcMar>
              <w:top w:type="dxa" w:w="50"/>
              <w:left w:type="dxa" w:w="110"/>
              <w:bottom w:type="dxa" w:w="50"/>
              <w:right w:type="dxa" w:w="110"/>
            </w:tcMar>
          </w:tcPr>
          <w:p>
            <w:pPr>
              <w:spacing w:before="26" w:after="26"/>
            </w:pPr>
            <w:r>
              <w:rPr>
                <w:color w:val="232733"/>
                <w:sz w:val="16"/>
                <w:szCs w:val="16"/>
              </w:rPr>
              <w:t xml:space="preserve">مركز التكلفة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revenue center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مركز الإيراد</w:t>
            </w:r>
          </w:p>
        </w:tc>
      </w:tr>
      <w:tr>
        <w:tc>
          <w:tcPr>
            <w:tcW w:type="pct" w:w="2600"/>
            <w:tcMar>
              <w:top w:type="dxa" w:w="50"/>
              <w:left w:type="dxa" w:w="110"/>
              <w:bottom w:type="dxa" w:w="50"/>
              <w:right w:type="dxa" w:w="110"/>
            </w:tcMar>
          </w:tcPr>
          <w:p>
            <w:pPr>
              <w:spacing w:before="26" w:after="26"/>
            </w:pPr>
            <w:r>
              <w:rPr>
                <w:color w:val="232733"/>
                <w:sz w:val="16"/>
                <w:szCs w:val="16"/>
              </w:rPr>
              <w:t xml:space="preserve">profit center</w:t>
            </w:r>
          </w:p>
        </w:tc>
        <w:tc>
          <w:tcPr>
            <w:tcW w:type="pct" w:w="2400"/>
            <w:tcMar>
              <w:top w:type="dxa" w:w="50"/>
              <w:left w:type="dxa" w:w="110"/>
              <w:bottom w:type="dxa" w:w="50"/>
              <w:right w:type="dxa" w:w="110"/>
            </w:tcMar>
          </w:tcPr>
          <w:p>
            <w:pPr>
              <w:spacing w:before="26" w:after="26"/>
            </w:pPr>
            <w:r>
              <w:rPr>
                <w:color w:val="232733"/>
                <w:sz w:val="16"/>
                <w:szCs w:val="16"/>
              </w:rPr>
              <w:t xml:space="preserve">مركز الربح</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investment center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مركز الاستثمار</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15.1  The four responsibility centers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four responsibility centers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contribution margin report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15A: evaluating the three div</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assets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responsibility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ladder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defined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responsibilities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differ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revenue center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investment center</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responsibility center is a unit whose manager answers for a defined set of results. There are four kinds, and they differ only in how much the manager controls. A cost center answers for costs, and a revenue center for revenue and the selling costs of earning it. A profit center answers for both, and an investment center also for the assets used. The four form a ladder. Each center carries the responsibilities of the one before it and adds another, so a manager promoted from a cost center to a profit center is answering for revenue for the first time.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15.2  Choosing the right center</w:t>
            </w:r>
          </w:p>
          <w:p>
            <w:pPr>
              <w:spacing w:before="0" w:after="46"/>
            </w:pPr>
            <w:r>
              <w:rPr>
                <w:color w:val="E8EAF6"/>
                <w:sz w:val="16"/>
                <w:szCs w:val="16"/>
              </w:rPr>
              <w:t xml:space="preserve">Chapter 15 · section 15.2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rule is simple to state and easy to break: give a manager only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that matches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responsibility   ·   revenue   ·   authority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Choosing a responsibility center for a situation</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the manager controls (C.2.b)</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Recommended center</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2200"/>
            <w:tcMar>
              <w:top w:type="dxa" w:w="50"/>
              <w:left w:type="dxa" w:w="110"/>
              <w:bottom w:type="dxa" w:w="50"/>
              <w:right w:type="dxa" w:w="110"/>
            </w:tcMar>
          </w:tcPr>
          <w:p>
            <w:pPr>
              <w:spacing w:before="28" w:after="28"/>
            </w:pPr>
            <w:r>
              <w:rPr>
                <w:sz w:val="15"/>
                <w:szCs w:val="15"/>
              </w:rPr>
              <w:t xml:space="preserve">The manager sets prices and controls costs, but not investment</w:t>
            </w:r>
          </w:p>
        </w:tc>
        <w:tc>
          <w:tcPr>
            <w:tcW w:type="pct" w:w="758"/>
            <w:tcMar>
              <w:top w:type="dxa" w:w="50"/>
              <w:left w:type="dxa" w:w="110"/>
              <w:bottom w:type="dxa" w:w="50"/>
              <w:right w:type="dxa" w:w="110"/>
            </w:tcMar>
          </w:tcPr>
          <w:p>
            <w:pPr>
              <w:spacing w:before="28" w:after="28"/>
            </w:pPr>
            <w:r>
              <w:rPr>
                <w:sz w:val="15"/>
                <w:szCs w:val="15"/>
              </w:rPr>
              <w:t xml:space="preserve">Profit center</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The manager controls costs only; another unit decides output</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42"/>
            <w:shd w:fill="FBFAF6" w:val="clear"/>
            <w:tcMar>
              <w:top w:type="dxa" w:w="50"/>
              <w:left w:type="dxa" w:w="110"/>
              <w:bottom w:type="dxa" w:w="50"/>
              <w:right w:type="dxa" w:w="110"/>
            </w:tcMar>
          </w:tcPr>
          <w:p>
            <w:pPr>
              <w:spacing w:before="28" w:after="28"/>
            </w:pPr>
            <w:r>
              <w:rPr>
                <w:sz w:val="15"/>
                <w:szCs w:val="15"/>
              </w:rPr>
              <w:t xml:space="preserve">Tahini plant</w:t>
            </w:r>
          </w:p>
        </w:tc>
      </w:tr>
      <w:tr>
        <w:tc>
          <w:tcPr>
            <w:tcW w:type="pct" w:w="2200"/>
            <w:tcMar>
              <w:top w:type="dxa" w:w="50"/>
              <w:left w:type="dxa" w:w="110"/>
              <w:bottom w:type="dxa" w:w="50"/>
              <w:right w:type="dxa" w:w="110"/>
            </w:tcMar>
          </w:tcPr>
          <w:p>
            <w:pPr>
              <w:spacing w:before="28" w:after="28"/>
            </w:pPr>
            <w:r>
              <w:rPr>
                <w:sz w:val="15"/>
                <w:szCs w:val="15"/>
              </w:rPr>
              <w:t xml:space="preserve">The manager controls selling effort but not production costs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42"/>
            <w:tcMar>
              <w:top w:type="dxa" w:w="50"/>
              <w:left w:type="dxa" w:w="110"/>
              <w:bottom w:type="dxa" w:w="50"/>
              <w:right w:type="dxa" w:w="110"/>
            </w:tcMar>
          </w:tcPr>
          <w:p>
            <w:pPr>
              <w:spacing w:before="28" w:after="28"/>
            </w:pPr>
            <w:r>
              <w:rPr>
                <w:sz w:val="15"/>
                <w:szCs w:val="15"/>
              </w:rPr>
              <w:t xml:space="preserve">Regional sales team</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The manager decides on new plant and working capital</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42"/>
            <w:shd w:fill="FBFAF6" w:val="clear"/>
            <w:tcMar>
              <w:top w:type="dxa" w:w="50"/>
              <w:left w:type="dxa" w:w="110"/>
              <w:bottom w:type="dxa" w:w="50"/>
              <w:right w:type="dxa" w:w="110"/>
            </w:tcMar>
          </w:tcPr>
          <w:p>
            <w:pPr>
              <w:spacing w:before="28" w:after="28"/>
            </w:pPr>
            <w:r>
              <w:rPr>
                <w:sz w:val="15"/>
                <w:szCs w:val="15"/>
              </w:rPr>
              <w:t xml:space="preserve">Beverages division</w:t>
            </w:r>
          </w:p>
        </w:tc>
      </w:tr>
      <w:tr>
        <w:tc>
          <w:tcPr>
            <w:tcW w:type="pct" w:w="2200"/>
            <w:tcMar>
              <w:top w:type="dxa" w:w="50"/>
              <w:left w:type="dxa" w:w="110"/>
              <w:bottom w:type="dxa" w:w="50"/>
              <w:right w:type="dxa" w:w="110"/>
            </w:tcMar>
          </w:tcPr>
          <w:p>
            <w:pPr>
              <w:spacing w:before="28" w:after="28"/>
            </w:pPr>
            <w:r>
              <w:rPr>
                <w:sz w:val="15"/>
                <w:szCs w:val="15"/>
              </w:rPr>
              <w:t xml:space="preserve">The manager controls nothing but is charged a share of head office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42"/>
            <w:tcMar>
              <w:top w:type="dxa" w:w="50"/>
              <w:left w:type="dxa" w:w="110"/>
              <w:bottom w:type="dxa" w:w="50"/>
              <w:right w:type="dxa" w:w="110"/>
            </w:tcMar>
          </w:tcPr>
          <w:p>
            <w:pPr>
              <w:spacing w:before="28" w:after="28"/>
            </w:pPr>
            <w:r>
              <w:rPr>
                <w:sz w:val="15"/>
                <w:szCs w:val="15"/>
              </w:rPr>
              <w:t xml:space="preserve">Any division's allocated head-office cost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center   ·   Levant Distribution   ·   Any division's allocated head-office cost   ·   Revenue center   ·   No center: the charge is not controllable   ·   Cost center</w:t>
            </w:r>
          </w:p>
        </w:tc>
      </w:tr>
    </w:tbl>
    <w:p/>
    <w:p>
      <w:pPr>
        <w:spacing w:before="44" w:after="14"/>
      </w:pPr>
      <w:r>
        <w:rPr>
          <w:b/>
          <w:bCs/>
          <w:color w:val="353A7C"/>
          <w:sz w:val="18"/>
          <w:szCs w:val="18"/>
        </w:rPr>
        <w:t xml:space="preserve">Summary 2</w:t>
      </w:r>
      <w:r>
        <w:rPr>
          <w:color w:val="6B7280"/>
          <w:sz w:val="16"/>
          <w:szCs w:val="16"/>
        </w:rPr>
        <w:t xml:space="preserve">      gaps 8–11</w:t>
      </w:r>
    </w:p>
    <w:p>
      <w:pPr>
        <w:spacing w:before="20" w:after="20" w:line="360" w:lineRule="auto"/>
        <w:ind w:left="200"/>
      </w:pPr>
      <w:r>
        <w:rPr>
          <w:sz w:val="19"/>
          <w:szCs w:val="19"/>
        </w:rPr>
        <w:t xml:space="preserve">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tahini plant is a cost center, because the sales team decides what to sell and at what price. </w:t>
      </w:r>
      <w:r>
        <w:rPr>
          <w:sz w:val="19"/>
          <w:szCs w:val="19"/>
        </w:rPr>
        <w:t xml:space="preserve">Levant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a profit center, because its manager sets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prices and controls its costs. </w:t>
      </w:r>
      <w:r>
        <w:rPr>
          <w:sz w:val="19"/>
          <w:szCs w:val="19"/>
        </w:rPr>
        <w:t xml:space="preserve">The Beverages division is 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center, because its manager decides on new equipment.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authority   ·   Distribution   ·   delivery   ·   investment   ·   Orontes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Authority first, label second</w:t>
            </w:r>
          </w:p>
        </w:tc>
      </w:tr>
    </w:tbl>
    <w:p/>
    <w:p>
      <w:pPr>
        <w:spacing w:before="44" w:after="14"/>
      </w:pPr>
      <w:r>
        <w:rPr>
          <w:b/>
          <w:bCs/>
          <w:color w:val="353A7C"/>
          <w:sz w:val="18"/>
          <w:szCs w:val="18"/>
        </w:rPr>
        <w:t xml:space="preserve">Summary 3</w:t>
      </w:r>
      <w:r>
        <w:rPr>
          <w:color w:val="6B7280"/>
          <w:sz w:val="16"/>
          <w:szCs w:val="16"/>
        </w:rPr>
        <w:t xml:space="preserve">      gaps 12–17</w:t>
      </w:r>
    </w:p>
    <w:p>
      <w:pPr>
        <w:spacing w:before="20" w:after="20" w:line="360" w:lineRule="auto"/>
        <w:ind w:left="200"/>
      </w:pPr>
      <w:r>
        <w:rPr>
          <w:sz w:val="19"/>
          <w:szCs w:val="19"/>
        </w:rPr>
        <w:t xml:space="preserve">Calling a unit a profit center does not give 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control over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If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says that another unit sets the price or the volume, the center is a cost center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company labels it. </w:t>
      </w:r>
      <w:r>
        <w:rPr>
          <w:sz w:val="19"/>
          <w:szCs w:val="19"/>
        </w:rPr>
        <w:t xml:space="preserve">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also shapes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A unit made a profit center will look for ways to raise revenue, which is useful when it can really influence customers, and misleading when it cannot.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   ·   manager   ·   however   ·   question   ·   behavior   ·   choice   ·   prices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center   ·   cost center   ·   common cost</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15.2  Choosing the right center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responsibility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authority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manager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Levant 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prices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Cost center</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Revenue center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however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Investment center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choice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 center: the charge is not controllable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behavior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cost center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Distribution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revenue center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delivery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rule is simple to state and easy to break: give a manager only the responsibility that matches the authority.</w:t>
      </w:r>
    </w:p>
    <w:p>
      <w:pPr>
        <w:spacing w:before="20" w:after="20"/>
        <w:ind w:left="240" w:hanging="240"/>
      </w:pPr>
      <w:r>
        <w:rPr>
          <w:b/>
          <w:bCs/>
          <w:color w:val="353A7C"/>
          <w:sz w:val="15"/>
          <w:szCs w:val="15"/>
        </w:rPr>
        <w:t xml:space="preserve">Summary 2   </w:t>
      </w:r>
      <w:r>
        <w:rPr>
          <w:color w:val="6B7280"/>
          <w:sz w:val="15"/>
          <w:szCs w:val="15"/>
        </w:rPr>
        <w:t xml:space="preserve">At Orontes the tahini plant is a cost center, because the sales team decides what to sell and at what price. Levant Distribution is a profit center, because its manager sets delivery prices and controls its costs. The Beverages division is an investment center, because its manager decides on new equipment.</w:t>
      </w:r>
    </w:p>
    <w:p>
      <w:pPr>
        <w:spacing w:before="20" w:after="20"/>
        <w:ind w:left="240" w:hanging="240"/>
      </w:pPr>
      <w:r>
        <w:rPr>
          <w:b/>
          <w:bCs/>
          <w:color w:val="353A7C"/>
          <w:sz w:val="15"/>
          <w:szCs w:val="15"/>
        </w:rPr>
        <w:t xml:space="preserve">Summary 3   </w:t>
      </w:r>
      <w:r>
        <w:rPr>
          <w:color w:val="6B7280"/>
          <w:sz w:val="15"/>
          <w:szCs w:val="15"/>
        </w:rPr>
        <w:t xml:space="preserve">Calling a unit a profit center does not give its manager control over prices. If the question says that another unit sets the price or the volume, the center is a cost center however the company labels it. The choice also shapes behavior. A unit made a profit center will look for ways to raise revenue, which is useful when it can really influence customers, and misleading when it cannot.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15.3  The contribution margin report</w:t>
            </w:r>
          </w:p>
          <w:p>
            <w:pPr>
              <w:spacing w:before="0" w:after="46"/>
            </w:pPr>
            <w:r>
              <w:rPr>
                <w:color w:val="E8EAF6"/>
                <w:sz w:val="16"/>
                <w:szCs w:val="16"/>
              </w:rPr>
              <w:t xml:space="preserve">Chapter 15 · section 15.3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segment report in contribution format has three margins, each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different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contribution margin is revenue less all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costs: $18,000,000 − $10,620,000 = $7,380,000. </w:t>
      </w:r>
      <w:r>
        <w:rPr>
          <w:sz w:val="19"/>
          <w:szCs w:val="19"/>
        </w:rPr>
        <w:t xml:space="preserve">It shows what each extra case adds, and it is the figure used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margin then deducts the fixed costs the manager can change, such as marketing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segment margin deducts the other fixed costs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the division, such 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its plant. </w:t>
      </w:r>
      <w:r>
        <w:rPr>
          <w:sz w:val="19"/>
          <w:szCs w:val="19"/>
        </w:rPr>
        <w:t xml:space="preserve">Judge the manager on the first; judge the segment on the second.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traceable   ·   depreciation   ·   throughout   ·   question   ·   answering   ·   Complete   ·   controllable   ·   supervision   ·   variable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Orontes segment report</w:t>
            </w:r>
          </w:p>
        </w:tc>
      </w:tr>
    </w:tbl>
    <w:p/>
    <w:p>
      <w:pPr>
        <w:spacing w:before="20" w:after="20" w:line="360" w:lineRule="auto"/>
        <w:ind w:left="200"/>
      </w:pPr>
      <w:r>
        <w:rPr>
          <w:sz w:val="19"/>
          <w:szCs w:val="19"/>
        </w:rPr>
        <w:t xml:space="preserve">Beverages earns a segment margin of $3,180,000, the figure, and the three together earn $5,020,000.</w:t>
      </w:r>
    </w:p>
    <w:p>
      <w:pPr>
        <w:spacing w:before="44" w:after="10"/>
      </w:pPr>
      <w:r>
        <w:rPr>
          <w:b/>
          <w:bCs/>
          <w:color w:val="353A7C"/>
          <w:sz w:val="18"/>
          <w:szCs w:val="18"/>
        </w:rPr>
        <w:t xml:space="preserve">Worked example: the Orontes segment report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Segment margin   ·   = Contribution margin   ·   = Controllable margin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Tahini &amp; Spreads column</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Contribution margin deducts only variable costs</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Deducting any fixed cost before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margin gives a figure that no longer measures what an extra unit adds.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work of Book 2 then no longer applies to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cost-volume-profit   ·   division   ·   contribution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4"/>
        <w:gridCol w:w="479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0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02"/>
            <w:tcMar>
              <w:top w:type="dxa" w:w="50"/>
              <w:left w:type="dxa" w:w="110"/>
              <w:bottom w:type="dxa" w:w="50"/>
              <w:right w:type="dxa" w:w="110"/>
            </w:tcMar>
          </w:tcPr>
          <w:p>
            <w:pPr>
              <w:spacing w:before="26" w:after="26"/>
            </w:pPr>
            <w:r>
              <w:rPr>
                <w:color w:val="232733"/>
                <w:sz w:val="16"/>
                <w:szCs w:val="16"/>
              </w:rPr>
              <w:t xml:space="preserve">controllable margin</w:t>
            </w:r>
          </w:p>
        </w:tc>
        <w:tc>
          <w:tcPr>
            <w:tcW w:type="pct" w:w="2498"/>
            <w:tcMar>
              <w:top w:type="dxa" w:w="50"/>
              <w:left w:type="dxa" w:w="110"/>
              <w:bottom w:type="dxa" w:w="50"/>
              <w:right w:type="dxa" w:w="110"/>
            </w:tcMar>
          </w:tcPr>
          <w:p>
            <w:pPr>
              <w:spacing w:before="26" w:after="26"/>
            </w:pPr>
            <w:r>
              <w:rPr>
                <w:color w:val="232733"/>
                <w:sz w:val="16"/>
                <w:szCs w:val="16"/>
              </w:rPr>
              <w:t xml:space="preserve">الهامش القابل للرقابة</w:t>
            </w:r>
          </w:p>
        </w:tc>
      </w:tr>
      <w:tr>
        <w:tc>
          <w:tcPr>
            <w:tcW w:type="pct" w:w="2502"/>
            <w:shd w:fill="FBFAF6" w:val="clear"/>
            <w:tcMar>
              <w:top w:type="dxa" w:w="50"/>
              <w:left w:type="dxa" w:w="110"/>
              <w:bottom w:type="dxa" w:w="50"/>
              <w:right w:type="dxa" w:w="110"/>
            </w:tcMar>
          </w:tcPr>
          <w:p>
            <w:pPr>
              <w:spacing w:before="26" w:after="26"/>
            </w:pPr>
            <w:r>
              <w:rPr>
                <w:color w:val="232733"/>
                <w:sz w:val="16"/>
                <w:szCs w:val="16"/>
              </w:rPr>
              <w:t xml:space="preserve">segment margin</w:t>
            </w:r>
          </w:p>
        </w:tc>
        <w:tc>
          <w:tcPr>
            <w:tcW w:type="pct" w:w="2498"/>
            <w:shd w:fill="FBFAF6" w:val="clear"/>
            <w:tcMar>
              <w:top w:type="dxa" w:w="50"/>
              <w:left w:type="dxa" w:w="110"/>
              <w:bottom w:type="dxa" w:w="50"/>
              <w:right w:type="dxa" w:w="110"/>
            </w:tcMar>
          </w:tcPr>
          <w:p>
            <w:pPr>
              <w:spacing w:before="26" w:after="26"/>
            </w:pPr>
            <w:r>
              <w:rPr>
                <w:color w:val="232733"/>
                <w:sz w:val="16"/>
                <w:szCs w:val="16"/>
              </w:rPr>
              <w:t xml:space="preserve">هامش القطاع</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15.3  The contribution margin report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answering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traceable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 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throughout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 Segment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controllable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supervision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cost-volume-profit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segment report in contribution format has three margins, each answering a different question. The contribution margin is revenue less all variable costs: $18,000,000 − $10,620,000 = $7,380,000. It shows what each extra case adds, and it is the figure used throughout. The controllable margin then deducts the fixed costs the manager can change, such as marketing and supervision. The segment margin deducts the other fixed costs traceable to the division, such as depreciation of its plant. Judge the manager on the first; judge the segment on the second.</w:t>
      </w:r>
    </w:p>
    <w:p>
      <w:pPr>
        <w:spacing w:before="20" w:after="20"/>
        <w:ind w:left="240" w:hanging="240"/>
      </w:pPr>
      <w:r>
        <w:rPr>
          <w:b/>
          <w:bCs/>
          <w:color w:val="353A7C"/>
          <w:sz w:val="15"/>
          <w:szCs w:val="15"/>
        </w:rPr>
        <w:t xml:space="preserve">Summary 2   </w:t>
      </w:r>
      <w:r>
        <w:rPr>
          <w:color w:val="6B7280"/>
          <w:sz w:val="15"/>
          <w:szCs w:val="15"/>
        </w:rPr>
        <w:t xml:space="preserve">Deducting any fixed cost before the contribution margin gives a figure that no longer measures what an extra unit adds. The cost-volume-profit work of Book 2 then no longer applies to it.</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15.4  What counts as a segment</w:t>
            </w:r>
          </w:p>
          <w:p>
            <w:pPr>
              <w:spacing w:before="0" w:after="46"/>
            </w:pPr>
            <w:r>
              <w:rPr>
                <w:color w:val="E8EAF6"/>
                <w:sz w:val="16"/>
                <w:szCs w:val="16"/>
              </w:rPr>
              <w:t xml:space="preserve">Chapter 15 · section 15.4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segment is any part of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which a manager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separate figures are useful.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   ·   business   ·   responsible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95"/>
        <w:gridCol w:w="4108"/>
        <w:gridCol w:w="299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Segments that Orontes evaluates</w:t>
            </w:r>
          </w:p>
        </w:tc>
      </w:tr>
      <w:tr>
        <w:tc>
          <w:tcPr>
            <w:tcW w:type="pct" w:w="1300"/>
            <w:shd w:fill="353A7C" w:val="clear"/>
            <w:tcMar>
              <w:top w:type="dxa" w:w="50"/>
              <w:left w:type="dxa" w:w="110"/>
              <w:bottom w:type="dxa" w:w="50"/>
              <w:right w:type="dxa" w:w="110"/>
            </w:tcMar>
          </w:tcPr>
          <w:p>
            <w:pPr>
              <w:spacing w:before="30" w:after="30"/>
            </w:pPr>
            <w:r>
              <w:rPr>
                <w:b/>
                <w:bCs/>
                <w:color w:val="FFFFFF"/>
                <w:sz w:val="15"/>
                <w:szCs w:val="15"/>
              </w:rPr>
              <w:t xml:space="preserve">Segment type (C.2.e)</w:t>
            </w:r>
          </w:p>
        </w:tc>
        <w:tc>
          <w:tcPr>
            <w:tcW w:type="pct" w:w="214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c>
          <w:tcPr>
            <w:tcW w:type="pct" w:w="1561"/>
            <w:shd w:fill="353A7C" w:val="clear"/>
            <w:tcMar>
              <w:top w:type="dxa" w:w="50"/>
              <w:left w:type="dxa" w:w="110"/>
              <w:bottom w:type="dxa" w:w="50"/>
              <w:right w:type="dxa" w:w="110"/>
            </w:tcMar>
          </w:tcPr>
          <w:p>
            <w:pPr>
              <w:spacing w:before="30" w:after="30"/>
            </w:pPr>
            <w:r>
              <w:rPr>
                <w:b/>
                <w:bCs/>
                <w:color w:val="FFFFFF"/>
                <w:sz w:val="15"/>
                <w:szCs w:val="15"/>
              </w:rPr>
              <w:t xml:space="preserve">Why it is evaluated</w:t>
            </w:r>
          </w:p>
        </w:tc>
      </w:tr>
      <w:tr>
        <w:tc>
          <w:tcPr>
            <w:tcW w:type="pct" w:w="1300"/>
            <w:tcMar>
              <w:top w:type="dxa" w:w="50"/>
              <w:left w:type="dxa" w:w="110"/>
              <w:bottom w:type="dxa" w:w="50"/>
              <w:right w:type="dxa" w:w="110"/>
            </w:tcMar>
          </w:tcPr>
          <w:p>
            <w:pPr>
              <w:spacing w:before="28" w:after="28"/>
            </w:pPr>
            <w:r>
              <w:rPr>
                <w:sz w:val="15"/>
                <w:szCs w:val="15"/>
              </w:rPr>
              <w:t xml:space="preserve">Divisions</w:t>
            </w:r>
          </w:p>
        </w:tc>
        <w:tc>
          <w:tcPr>
            <w:tcW w:type="pct" w:w="2140"/>
            <w:tcMar>
              <w:top w:type="dxa" w:w="50"/>
              <w:left w:type="dxa" w:w="110"/>
              <w:bottom w:type="dxa" w:w="50"/>
              <w:right w:type="dxa" w:w="110"/>
            </w:tcMar>
          </w:tcPr>
          <w:p>
            <w:pPr>
              <w:spacing w:before="28" w:after="28"/>
            </w:pPr>
            <w:r>
              <w:rPr>
                <w:sz w:val="15"/>
                <w:szCs w:val="15"/>
              </w:rPr>
              <w:t xml:space="preserve">Beverages, Oils, Tahini &amp; Spreads</w:t>
            </w:r>
          </w:p>
        </w:tc>
        <w:tc>
          <w:tcPr>
            <w:tcW w:type="pct" w:w="1561"/>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300"/>
            <w:shd w:fill="FBFAF6" w:val="clear"/>
            <w:tcMar>
              <w:top w:type="dxa" w:w="50"/>
              <w:left w:type="dxa" w:w="110"/>
              <w:bottom w:type="dxa" w:w="50"/>
              <w:right w:type="dxa" w:w="110"/>
            </w:tcMar>
          </w:tcPr>
          <w:p>
            <w:pPr>
              <w:spacing w:before="28" w:after="28"/>
            </w:pPr>
            <w:r>
              <w:rPr>
                <w:sz w:val="15"/>
                <w:szCs w:val="15"/>
              </w:rPr>
              <w:t xml:space="preserve">Product lines</w:t>
            </w:r>
          </w:p>
        </w:tc>
        <w:tc>
          <w:tcPr>
            <w:tcW w:type="pct" w:w="2140"/>
            <w:shd w:fill="FBFAF6" w:val="clear"/>
            <w:tcMar>
              <w:top w:type="dxa" w:w="50"/>
              <w:left w:type="dxa" w:w="110"/>
              <w:bottom w:type="dxa" w:w="50"/>
              <w:right w:type="dxa" w:w="110"/>
            </w:tcMar>
          </w:tcPr>
          <w:p>
            <w:pPr>
              <w:spacing w:before="28" w:after="28"/>
            </w:pPr>
            <w:r>
              <w:rPr>
                <w:sz w:val="15"/>
                <w:szCs w:val="15"/>
              </w:rPr>
              <w:t xml:space="preserve">Juice flavours; tahini jars and halva</w:t>
            </w:r>
          </w:p>
        </w:tc>
        <w:tc>
          <w:tcPr>
            <w:tcW w:type="pct" w:w="1561"/>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300"/>
            <w:tcMar>
              <w:top w:type="dxa" w:w="50"/>
              <w:left w:type="dxa" w:w="110"/>
              <w:bottom w:type="dxa" w:w="50"/>
              <w:right w:type="dxa" w:w="110"/>
            </w:tcMar>
          </w:tcPr>
          <w:p>
            <w:pPr>
              <w:spacing w:before="28" w:after="28"/>
            </w:pPr>
            <w:r>
              <w:rPr>
                <w:sz w:val="15"/>
                <w:szCs w:val="15"/>
              </w:rPr>
              <w:t xml:space="preserve">Geographical areas</w:t>
            </w:r>
          </w:p>
        </w:tc>
        <w:tc>
          <w:tcPr>
            <w:tcW w:type="pct" w:w="214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561"/>
            <w:tcMar>
              <w:top w:type="dxa" w:w="50"/>
              <w:left w:type="dxa" w:w="110"/>
              <w:bottom w:type="dxa" w:w="50"/>
              <w:right w:type="dxa" w:w="110"/>
            </w:tcMar>
          </w:tcPr>
          <w:p>
            <w:pPr>
              <w:spacing w:before="28" w:after="28"/>
            </w:pPr>
            <w:r>
              <w:rPr>
                <w:sz w:val="15"/>
                <w:szCs w:val="15"/>
              </w:rPr>
              <w:t xml:space="preserve">Shows where growth and risk lie</w:t>
            </w:r>
          </w:p>
        </w:tc>
      </w:tr>
      <w:tr>
        <w:tc>
          <w:tcPr>
            <w:tcW w:type="pct" w:w="1300"/>
            <w:shd w:fill="FBFAF6" w:val="clear"/>
            <w:tcMar>
              <w:top w:type="dxa" w:w="50"/>
              <w:left w:type="dxa" w:w="110"/>
              <w:bottom w:type="dxa" w:w="50"/>
              <w:right w:type="dxa" w:w="110"/>
            </w:tcMar>
          </w:tcPr>
          <w:p>
            <w:pPr>
              <w:spacing w:before="28" w:after="28"/>
            </w:pPr>
            <w:r>
              <w:rPr>
                <w:sz w:val="15"/>
                <w:szCs w:val="15"/>
              </w:rPr>
              <w:t xml:space="preserve">Customers or channels</w:t>
            </w:r>
          </w:p>
        </w:tc>
        <w:tc>
          <w:tcPr>
            <w:tcW w:type="pct" w:w="2140"/>
            <w:shd w:fill="FBFAF6" w:val="clear"/>
            <w:tcMar>
              <w:top w:type="dxa" w:w="50"/>
              <w:left w:type="dxa" w:w="110"/>
              <w:bottom w:type="dxa" w:w="50"/>
              <w:right w:type="dxa" w:w="110"/>
            </w:tcMar>
          </w:tcPr>
          <w:p>
            <w:pPr>
              <w:spacing w:before="28" w:after="28"/>
            </w:pPr>
            <w:r>
              <w:rPr>
                <w:sz w:val="15"/>
                <w:szCs w:val="15"/>
              </w:rPr>
              <w:t xml:space="preserve">Supermarkets, hotels, Barada</w:t>
            </w:r>
          </w:p>
        </w:tc>
        <w:tc>
          <w:tcPr>
            <w:tcW w:type="pct" w:w="1561"/>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300"/>
            <w:tcMar>
              <w:top w:type="dxa" w:w="50"/>
              <w:left w:type="dxa" w:w="110"/>
              <w:bottom w:type="dxa" w:w="50"/>
              <w:right w:type="dxa" w:w="110"/>
            </w:tcMar>
          </w:tcPr>
          <w:p>
            <w:pPr>
              <w:spacing w:before="28" w:after="28"/>
            </w:pPr>
            <w:r>
              <w:rPr>
                <w:sz w:val="15"/>
                <w:szCs w:val="15"/>
              </w:rPr>
              <w:t xml:space="preserve">Reportable segments under ASC 280</w:t>
            </w:r>
          </w:p>
        </w:tc>
        <w:tc>
          <w:tcPr>
            <w:tcW w:type="pct" w:w="2140"/>
            <w:tcMar>
              <w:top w:type="dxa" w:w="50"/>
              <w:left w:type="dxa" w:w="110"/>
              <w:bottom w:type="dxa" w:w="50"/>
              <w:right w:type="dxa" w:w="110"/>
            </w:tcMar>
          </w:tcPr>
          <w:p>
            <w:pPr>
              <w:spacing w:before="28" w:after="28"/>
            </w:pPr>
            <w:r>
              <w:rPr>
                <w:sz w:val="15"/>
                <w:szCs w:val="15"/>
              </w:rPr>
              <w:t xml:space="preserve">The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as reported to the chief operating decision maker</w:t>
            </w:r>
          </w:p>
        </w:tc>
        <w:tc>
          <w:tcPr>
            <w:tcW w:type="pct" w:w="1561"/>
            <w:tcMar>
              <w:top w:type="dxa" w:w="50"/>
              <w:left w:type="dxa" w:w="110"/>
              <w:bottom w:type="dxa" w:w="50"/>
              <w:right w:type="dxa" w:w="110"/>
            </w:tcMar>
          </w:tcPr>
          <w:p>
            <w:pPr>
              <w:spacing w:before="28" w:after="28"/>
            </w:pPr>
            <w:r>
              <w:rPr>
                <w:sz w:val="15"/>
                <w:szCs w:val="15"/>
              </w:rPr>
              <w:t xml:space="preserve">External reporting follows internal reporting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Each has a manager responsible for results   ·   Book 2, Chapter 13 measured customer profitability   ·   cost center   ·   Shows which products earn their keep (Chapter 13)   ·   Jordan, the Gulf, export markets</w:t>
            </w:r>
          </w:p>
        </w:tc>
      </w:tr>
    </w:tbl>
    <w:p/>
    <w:p>
      <w:pPr>
        <w:spacing w:before="44" w:after="14"/>
      </w:pPr>
      <w:r>
        <w:rPr>
          <w:b/>
          <w:bCs/>
          <w:color w:val="353A7C"/>
          <w:sz w:val="18"/>
          <w:szCs w:val="18"/>
        </w:rPr>
        <w:t xml:space="preserve">Summary 2</w:t>
      </w:r>
      <w:r>
        <w:rPr>
          <w:color w:val="6B7280"/>
          <w:sz w:val="16"/>
          <w:szCs w:val="16"/>
        </w:rPr>
        <w:t xml:space="preserve">      gaps 8–13</w:t>
      </w:r>
    </w:p>
    <w:p>
      <w:pPr>
        <w:spacing w:before="20" w:after="20" w:line="360" w:lineRule="auto"/>
        <w:ind w:left="200"/>
      </w:pPr>
      <w:r>
        <w:rPr>
          <w:sz w:val="19"/>
          <w:szCs w:val="19"/>
        </w:rPr>
        <w:t xml:space="preserve">Segments can overlap: the Gulf is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segment that cuts across all three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What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that someone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for the result and that the revenue and costs can be traced. </w:t>
      </w:r>
      <w:r>
        <w:rPr>
          <w:sz w:val="19"/>
          <w:szCs w:val="19"/>
        </w:rPr>
        <w:t xml:space="preserve">External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follows the same logic. </w:t>
      </w:r>
      <w:r>
        <w:rPr>
          <w:sz w:val="19"/>
          <w:szCs w:val="19"/>
        </w:rPr>
        <w:t xml:space="preserve">Under U.S. GAAP a company reports the segments its chief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decision maker uses, so the internal report and the published one usually share a structure.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reporting   ·   matters   ·   accountable   ·   operating   ·   External   ·   geographical</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15.4  What counts as a segment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business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geographical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responsible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Each has a manager responsible for results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matters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Shows which products earn their keep (Chapter 13)</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accountable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Jordan, the Gulf, export markets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Book 2, Chapter 13 measured customer profitability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divisions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segment is any part of a business for which a manager is responsible and separate figures are useful.</w:t>
      </w:r>
    </w:p>
    <w:p>
      <w:pPr>
        <w:spacing w:before="20" w:after="20"/>
        <w:ind w:left="240" w:hanging="240"/>
      </w:pPr>
      <w:r>
        <w:rPr>
          <w:b/>
          <w:bCs/>
          <w:color w:val="353A7C"/>
          <w:sz w:val="15"/>
          <w:szCs w:val="15"/>
        </w:rPr>
        <w:t xml:space="preserve">Summary 2   </w:t>
      </w:r>
      <w:r>
        <w:rPr>
          <w:color w:val="6B7280"/>
          <w:sz w:val="15"/>
          <w:szCs w:val="15"/>
        </w:rPr>
        <w:t xml:space="preserve">Segments can overlap: the Gulf is a geographical segment that cuts across all three divisions. What matters is that someone is accountable for the result and that the revenue and costs can be traced. External reporting follows the same logic. Under U.S. GAAP a company reports the segments its chief operating decision maker uses, so the internal report and the published one usually share a structure.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15.5  Common costs and how to allocate them</w:t>
            </w:r>
          </w:p>
          <w:p>
            <w:pPr>
              <w:spacing w:before="0" w:after="46"/>
            </w:pPr>
            <w:r>
              <w:rPr>
                <w:color w:val="E8EAF6"/>
                <w:sz w:val="16"/>
                <w:szCs w:val="16"/>
              </w:rPr>
              <w:t xml:space="preserve">Chapter 15 · section 15.5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cost serves more than one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cannot be traced to any of them. </w:t>
      </w:r>
      <w:r>
        <w:rPr>
          <w:sz w:val="19"/>
          <w:szCs w:val="19"/>
        </w:rPr>
        <w:t xml:space="preserve">Head office costs $1,100,000 a year,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budget of, and every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charged a share. </w:t>
      </w:r>
      <w:r>
        <w:rPr>
          <w:sz w:val="19"/>
          <w:szCs w:val="19"/>
        </w:rPr>
        <w:t xml:space="preserve">Stand-alone cost allocation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cost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what each would have paid alone. </w:t>
      </w:r>
      <w:r>
        <w:rPr>
          <w:sz w:val="19"/>
          <w:szCs w:val="19"/>
        </w:rPr>
        <w:t xml:space="preserve">Incremental cost allocation charges a primary user its stand-alone cost and the other user only the extra cost it adds.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common   ·   shares   ·   division   ·   decision   ·   zero-based   ·   segment   ·   proportion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sharing the cold store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Alone, the two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would pay $240,000 and $120,000, a total of $360,000;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they pay $300,000.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divisions   ·   decision   ·   together</w:t>
            </w:r>
          </w:p>
        </w:tc>
      </w:tr>
    </w:tbl>
    <w:p/>
    <w:p>
      <w:pPr>
        <w:spacing w:before="44" w:after="10"/>
      </w:pPr>
      <w:r>
        <w:rPr>
          <w:b/>
          <w:bCs/>
          <w:color w:val="353A7C"/>
          <w:sz w:val="18"/>
          <w:szCs w:val="18"/>
        </w:rPr>
        <w:t xml:space="preserve">Worked example: three ways of sharing the cold store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incremental cost allocation   ·   Incremental allocation (Beverages primary)</w:t>
            </w:r>
          </w:p>
        </w:tc>
      </w:tr>
    </w:tbl>
    <w:p/>
    <w:p>
      <w:pPr>
        <w:spacing w:before="44" w:after="14"/>
      </w:pPr>
      <w:r>
        <w:rPr>
          <w:b/>
          <w:bCs/>
          <w:color w:val="353A7C"/>
          <w:sz w:val="18"/>
          <w:szCs w:val="18"/>
        </w:rPr>
        <w:t xml:space="preserve">Summary 3</w:t>
      </w:r>
      <w:r>
        <w:rPr>
          <w:color w:val="6B7280"/>
          <w:sz w:val="16"/>
          <w:szCs w:val="16"/>
        </w:rPr>
        <w:t xml:space="preserve">      gaps 10–13</w:t>
      </w:r>
    </w:p>
    <w:p>
      <w:pPr>
        <w:spacing w:before="20" w:after="20" w:line="360" w:lineRule="auto"/>
        <w:ind w:left="200"/>
      </w:pPr>
      <w:r>
        <w:rPr>
          <w:sz w:val="19"/>
          <w:szCs w:val="19"/>
        </w:rPr>
        <w:t xml:space="preserve">Each method gives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answer from the same facts, and none of them is wrong.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method shares the saving between the users, while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method gives all of it to the second user. </w:t>
      </w:r>
      <w:r>
        <w:rPr>
          <w:sz w:val="19"/>
          <w:szCs w:val="19"/>
        </w:rPr>
        <w:t xml:space="preserve">The choice of primary user is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itself a decision.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therefore   ·   stand-alone   ·   incremental   ·   charged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58"/>
        <w:gridCol w:w="4224"/>
        <w:gridCol w:w="281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Why allocating common costs is a problem</w:t>
            </w:r>
          </w:p>
        </w:tc>
      </w:tr>
      <w:tr>
        <w:tc>
          <w:tcPr>
            <w:tcW w:type="pct" w:w="1332"/>
            <w:shd w:fill="353A7C" w:val="clear"/>
            <w:tcMar>
              <w:top w:type="dxa" w:w="50"/>
              <w:left w:type="dxa" w:w="110"/>
              <w:bottom w:type="dxa" w:w="50"/>
              <w:right w:type="dxa" w:w="110"/>
            </w:tcMar>
          </w:tcPr>
          <w:p>
            <w:pPr>
              <w:spacing w:before="30" w:after="30"/>
            </w:pPr>
            <w:r>
              <w:rPr>
                <w:b/>
                <w:bCs/>
                <w:color w:val="FFFFFF"/>
                <w:sz w:val="15"/>
                <w:szCs w:val="15"/>
              </w:rPr>
              <w:t xml:space="preserve">Issue with allocating common costs (C.2.f)</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c>
          <w:tcPr>
            <w:tcW w:type="pct" w:w="1468"/>
            <w:shd w:fill="353A7C" w:val="clear"/>
            <w:tcMar>
              <w:top w:type="dxa" w:w="50"/>
              <w:left w:type="dxa" w:w="110"/>
              <w:bottom w:type="dxa" w:w="50"/>
              <w:right w:type="dxa" w:w="110"/>
            </w:tcMar>
          </w:tcPr>
          <w:p>
            <w:pPr>
              <w:spacing w:before="30" w:after="30"/>
            </w:pPr>
            <w:r>
              <w:rPr>
                <w:b/>
                <w:bCs/>
                <w:color w:val="FFFFFF"/>
                <w:sz w:val="15"/>
                <w:szCs w:val="15"/>
              </w:rPr>
              <w:t xml:space="preserve">What to do</w:t>
            </w:r>
          </w:p>
        </w:tc>
      </w:tr>
      <w:tr>
        <w:tc>
          <w:tcPr>
            <w:tcW w:type="pct" w:w="1332"/>
            <w:tcMar>
              <w:top w:type="dxa" w:w="50"/>
              <w:left w:type="dxa" w:w="110"/>
              <w:bottom w:type="dxa" w:w="50"/>
              <w:right w:type="dxa" w:w="110"/>
            </w:tcMar>
          </w:tcPr>
          <w:p>
            <w:pPr>
              <w:spacing w:before="28" w:after="28"/>
            </w:pPr>
            <w:r>
              <w:rPr>
                <w:sz w:val="15"/>
                <w:szCs w:val="15"/>
              </w:rPr>
              <w:t xml:space="preserve">The charge is not controllable</w:t>
            </w:r>
          </w:p>
        </w:tc>
        <w:tc>
          <w:tcPr>
            <w:tcW w:type="pct" w:w="2200"/>
            <w:tcMar>
              <w:top w:type="dxa" w:w="50"/>
              <w:left w:type="dxa" w:w="110"/>
              <w:bottom w:type="dxa" w:w="50"/>
              <w:right w:type="dxa" w:w="110"/>
            </w:tcMar>
          </w:tcPr>
          <w:p>
            <w:pPr>
              <w:spacing w:before="28" w:after="28"/>
            </w:pPr>
            <w:r>
              <w:rPr>
                <w:sz w:val="15"/>
                <w:szCs w:val="15"/>
              </w:rPr>
              <w:t xml:space="preserve">A manager cannot change head-office cost by working harder</w:t>
            </w:r>
          </w:p>
        </w:tc>
        <w:tc>
          <w:tcPr>
            <w:tcW w:type="pct" w:w="1468"/>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1332"/>
            <w:shd w:fill="FBFAF6" w:val="clear"/>
            <w:tcMar>
              <w:top w:type="dxa" w:w="50"/>
              <w:left w:type="dxa" w:w="110"/>
              <w:bottom w:type="dxa" w:w="50"/>
              <w:right w:type="dxa" w:w="110"/>
            </w:tcMar>
          </w:tcPr>
          <w:p>
            <w:pPr>
              <w:spacing w:before="28" w:after="28"/>
            </w:pPr>
            <w:r>
              <w:rPr>
                <w:sz w:val="15"/>
                <w:szCs w:val="15"/>
              </w:rPr>
              <w:t xml:space="preserve">The base may be arbitrary</w:t>
            </w:r>
          </w:p>
        </w:tc>
        <w:tc>
          <w:tcPr>
            <w:tcW w:type="pct" w:w="2200"/>
            <w:shd w:fill="FBFAF6" w:val="clear"/>
            <w:tcMar>
              <w:top w:type="dxa" w:w="50"/>
              <w:left w:type="dxa" w:w="110"/>
              <w:bottom w:type="dxa" w:w="50"/>
              <w:right w:type="dxa" w:w="110"/>
            </w:tcMar>
          </w:tcPr>
          <w:p>
            <w:pPr>
              <w:spacing w:before="28" w:after="28"/>
            </w:pPr>
            <w:r>
              <w:rPr>
                <w:sz w:val="15"/>
                <w:szCs w:val="15"/>
              </w:rPr>
              <w:t xml:space="preserve">Revenue, floor space and </w:t>
            </w:r>
            <w:r>
              <w:rPr>
                <w:b/>
                <w:bCs/>
                <w:color w:val="8186EF"/>
                <w:sz w:val="14"/>
                <w:szCs w:val="14"/>
              </w:rPr>
              <w:t xml:space="preserve"> (15) </w:t>
            </w:r>
            <w:r>
              <w:rPr>
                <w:u w:val="single"/>
                <w:sz w:val="15"/>
                <w:szCs w:val="15"/>
              </w:rPr>
              <w:t xml:space="preserve">              </w:t>
            </w:r>
            <w:r>
              <w:rPr>
                <w:sz w:val="15"/>
                <w:szCs w:val="15"/>
              </w:rPr>
              <w:t xml:space="preserve"> </w:t>
            </w:r>
            <w:r>
              <w:rPr>
                <w:sz w:val="15"/>
                <w:szCs w:val="15"/>
              </w:rPr>
              <w:t xml:space="preserve"> give different answers</w:t>
            </w:r>
          </w:p>
        </w:tc>
        <w:tc>
          <w:tcPr>
            <w:tcW w:type="pct" w:w="1468"/>
            <w:shd w:fill="FBFAF6" w:val="clear"/>
            <w:tcMar>
              <w:top w:type="dxa" w:w="50"/>
              <w:left w:type="dxa" w:w="110"/>
              <w:bottom w:type="dxa" w:w="50"/>
              <w:right w:type="dxa" w:w="110"/>
            </w:tcMar>
          </w:tcPr>
          <w:p>
            <w:pPr>
              <w:spacing w:before="28" w:after="28"/>
            </w:pPr>
            <w:r>
              <w:rPr>
                <w:sz w:val="15"/>
                <w:szCs w:val="15"/>
              </w:rPr>
              <w:t xml:space="preserve">Choose a base that reflects the use of the service</w:t>
            </w:r>
          </w:p>
        </w:tc>
      </w:tr>
      <w:tr>
        <w:tc>
          <w:tcPr>
            <w:tcW w:type="pct" w:w="1332"/>
            <w:tcMar>
              <w:top w:type="dxa" w:w="50"/>
              <w:left w:type="dxa" w:w="110"/>
              <w:bottom w:type="dxa" w:w="50"/>
              <w:right w:type="dxa" w:w="110"/>
            </w:tcMar>
          </w:tcPr>
          <w:p>
            <w:pPr>
              <w:spacing w:before="28" w:after="28"/>
            </w:pPr>
            <w:r>
              <w:rPr>
                <w:sz w:val="15"/>
                <w:szCs w:val="15"/>
              </w:rPr>
              <w:t xml:space="preserve">It can make a good segment look bad</w:t>
            </w:r>
          </w:p>
        </w:tc>
        <w:tc>
          <w:tcPr>
            <w:tcW w:type="pct" w:w="2200"/>
            <w:tcMar>
              <w:top w:type="dxa" w:w="50"/>
              <w:left w:type="dxa" w:w="110"/>
              <w:bottom w:type="dxa" w:w="50"/>
              <w:right w:type="dxa" w:w="110"/>
            </w:tcMar>
          </w:tcPr>
          <w:p>
            <w:pPr>
              <w:spacing w:before="28" w:after="28"/>
            </w:pPr>
            <w:r>
              <w:rPr>
                <w:sz w:val="15"/>
                <w:szCs w:val="15"/>
              </w:rPr>
              <w:t xml:space="preserve">A segment with a positive segment margin can show a loss after allocation</w:t>
            </w:r>
          </w:p>
        </w:tc>
        <w:tc>
          <w:tcPr>
            <w:tcW w:type="pct" w:w="1468"/>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1332"/>
            <w:shd w:fill="FBFAF6" w:val="clear"/>
            <w:tcMar>
              <w:top w:type="dxa" w:w="50"/>
              <w:left w:type="dxa" w:w="110"/>
              <w:bottom w:type="dxa" w:w="50"/>
              <w:right w:type="dxa" w:w="110"/>
            </w:tcMar>
          </w:tcPr>
          <w:p>
            <w:pPr>
              <w:spacing w:before="28" w:after="28"/>
            </w:pPr>
            <w:r>
              <w:rPr>
                <w:sz w:val="15"/>
                <w:szCs w:val="15"/>
              </w:rPr>
              <w:t xml:space="preserve">It can hide the cost of the service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468"/>
            <w:shd w:fill="FBFAF6" w:val="clear"/>
            <w:tcMar>
              <w:top w:type="dxa" w:w="50"/>
              <w:left w:type="dxa" w:w="110"/>
              <w:bottom w:type="dxa" w:w="50"/>
              <w:right w:type="dxa" w:w="110"/>
            </w:tcMar>
          </w:tcPr>
          <w:p>
            <w:pPr>
              <w:spacing w:before="28" w:after="28"/>
            </w:pPr>
            <w:r>
              <w:rPr>
                <w:sz w:val="15"/>
                <w:szCs w:val="15"/>
              </w:rPr>
              <w:t xml:space="preserve">Charge a rate per use where possible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Users have no reason to economise on a free service   ·   Report it below the segment margin   ·   headcount   ·   incremental cost allocation   ·   Never close a segment on the allocated figure alone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Never close a segment on the allocated figure</w:t>
            </w:r>
          </w:p>
        </w:tc>
      </w:tr>
    </w:tbl>
    <w:p/>
    <w:p>
      <w:pPr>
        <w:spacing w:before="44" w:after="14"/>
      </w:pPr>
      <w:r>
        <w:rPr>
          <w:b/>
          <w:bCs/>
          <w:color w:val="353A7C"/>
          <w:sz w:val="18"/>
          <w:szCs w:val="18"/>
        </w:rPr>
        <w:t xml:space="preserve">Summary 4</w:t>
      </w:r>
      <w:r>
        <w:rPr>
          <w:color w:val="6B7280"/>
          <w:sz w:val="16"/>
          <w:szCs w:val="16"/>
        </w:rPr>
        <w:t xml:space="preserve">      gaps 18–19</w:t>
      </w:r>
    </w:p>
    <w:p>
      <w:pPr>
        <w:spacing w:before="20" w:after="20" w:line="360" w:lineRule="auto"/>
        <w:ind w:left="200"/>
      </w:pPr>
      <w:r>
        <w:rPr>
          <w:sz w:val="19"/>
          <w:szCs w:val="19"/>
        </w:rPr>
        <w:t xml:space="preserve">A segment with a positive segment margin is covering its own costs and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to common costs. </w:t>
      </w:r>
      <w:r>
        <w:rPr>
          <w:sz w:val="19"/>
          <w:szCs w:val="19"/>
        </w:rPr>
        <w:t xml:space="preserve">Closing it does not remove those common costs; they are simply shared among fewer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contributing   ·   segments   ·   different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stand-alone cost allocation   ·   incremental cost allocation   ·   common cost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common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المشتركة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stand-alone cost allocation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التوزيع على أساس التكلفة المنفردة</w:t>
            </w:r>
          </w:p>
        </w:tc>
      </w:tr>
      <w:tr>
        <w:tc>
          <w:tcPr>
            <w:tcW w:type="pct" w:w="2400"/>
            <w:tcMar>
              <w:top w:type="dxa" w:w="50"/>
              <w:left w:type="dxa" w:w="110"/>
              <w:bottom w:type="dxa" w:w="50"/>
              <w:right w:type="dxa" w:w="110"/>
            </w:tcMar>
          </w:tcPr>
          <w:p>
            <w:pPr>
              <w:spacing w:before="26" w:after="26"/>
            </w:pPr>
            <w:r>
              <w:rPr>
                <w:color w:val="232733"/>
                <w:sz w:val="16"/>
                <w:szCs w:val="16"/>
              </w:rPr>
              <w:t xml:space="preserve">incremental cost allocation</w:t>
            </w:r>
          </w:p>
        </w:tc>
        <w:tc>
          <w:tcPr>
            <w:tcW w:type="pct" w:w="2600"/>
            <w:tcMar>
              <w:top w:type="dxa" w:w="50"/>
              <w:left w:type="dxa" w:w="110"/>
              <w:bottom w:type="dxa" w:w="50"/>
              <w:right w:type="dxa" w:w="110"/>
            </w:tcMar>
          </w:tcPr>
          <w:p>
            <w:pPr>
              <w:spacing w:before="26" w:after="26"/>
            </w:pPr>
            <w:r>
              <w:rPr>
                <w:color w:val="232733"/>
                <w:sz w:val="16"/>
                <w:szCs w:val="16"/>
              </w:rPr>
              <w:t xml:space="preserve">التوزيع على أساس التكلفة التزايدية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15.5  Common costs and how to allocate them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common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incremental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segment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therefore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zero-based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Report it below the segment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headcount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shares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Never close a segment on the allocated figure alone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proportion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Users have no reason to economise on a free service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contributing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together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segments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Incremental allocation (Beverages primary)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common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incremental cost 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stand-alone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common cost serves more than one segment and cannot be traced to any of them. Head office costs $1,100,000 a year, the zero-based budget of, and every division is charged a share. Stand-alone cost allocation shares the cost in proportion to what each would have paid alone. Incremental cost allocation charges a primary user its stand-alone cost and the other user only the extra cost it adds.</w:t>
      </w:r>
    </w:p>
    <w:p>
      <w:pPr>
        <w:spacing w:before="20" w:after="20"/>
        <w:ind w:left="240" w:hanging="240"/>
      </w:pPr>
      <w:r>
        <w:rPr>
          <w:b/>
          <w:bCs/>
          <w:color w:val="353A7C"/>
          <w:sz w:val="15"/>
          <w:szCs w:val="15"/>
        </w:rPr>
        <w:t xml:space="preserve">Summary 2   </w:t>
      </w:r>
      <w:r>
        <w:rPr>
          <w:color w:val="6B7280"/>
          <w:sz w:val="15"/>
          <w:szCs w:val="15"/>
        </w:rPr>
        <w:t xml:space="preserve">Alone, the two divisions would pay $240,000 and $120,000, a total of $360,000; together they pay $300,000.</w:t>
      </w:r>
    </w:p>
    <w:p>
      <w:pPr>
        <w:spacing w:before="20" w:after="20"/>
        <w:ind w:left="240" w:hanging="240"/>
      </w:pPr>
      <w:r>
        <w:rPr>
          <w:b/>
          <w:bCs/>
          <w:color w:val="353A7C"/>
          <w:sz w:val="15"/>
          <w:szCs w:val="15"/>
        </w:rPr>
        <w:t xml:space="preserve">Summary 3   </w:t>
      </w:r>
      <w:r>
        <w:rPr>
          <w:color w:val="6B7280"/>
          <w:sz w:val="15"/>
          <w:szCs w:val="15"/>
        </w:rPr>
        <w:t xml:space="preserve">Each method gives a different answer from the same facts, and none of them is wrong. The stand-alone method shares the saving between the users, while the incremental method gives all of it to the second user. The choice of primary user is therefore itself a decision.</w:t>
      </w:r>
    </w:p>
    <w:p>
      <w:pPr>
        <w:spacing w:before="20" w:after="20"/>
        <w:ind w:left="240" w:hanging="240"/>
      </w:pPr>
      <w:r>
        <w:rPr>
          <w:b/>
          <w:bCs/>
          <w:color w:val="353A7C"/>
          <w:sz w:val="15"/>
          <w:szCs w:val="15"/>
        </w:rPr>
        <w:t xml:space="preserve">Summary 4   </w:t>
      </w:r>
      <w:r>
        <w:rPr>
          <w:color w:val="6B7280"/>
          <w:sz w:val="15"/>
          <w:szCs w:val="15"/>
        </w:rPr>
        <w:t xml:space="preserve">A segment with a positive segment margin is covering its own costs and contributing to common costs. Closing it does not remove those common costs; they are simply shared among fewer segments.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15.6  Extended Example 15A: evaluating the three divisions</w:t>
            </w:r>
          </w:p>
          <w:p>
            <w:pPr>
              <w:spacing w:before="0" w:after="46"/>
            </w:pPr>
            <w:r>
              <w:rPr>
                <w:color w:val="E8EAF6"/>
                <w:sz w:val="16"/>
                <w:szCs w:val="16"/>
              </w:rPr>
              <w:t xml:space="preserve">Chapter 15 · section 15.6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reads the segment report the way the Orontes board does.</w:t>
      </w:r>
    </w:p>
    <w:p>
      <w:pPr>
        <w:spacing w:before="44" w:after="10"/>
      </w:pPr>
      <w:r>
        <w:rPr>
          <w:b/>
          <w:bCs/>
          <w:color w:val="353A7C"/>
          <w:sz w:val="18"/>
          <w:szCs w:val="18"/>
        </w:rPr>
        <w:t xml:space="preserve">Extended Example: the three divisions compared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segment margin   ·   Beverages</w:t>
            </w:r>
          </w:p>
        </w:tc>
      </w:tr>
    </w:tbl>
    <w:p/>
    <w:p>
      <w:pPr>
        <w:spacing w:before="44" w:after="14"/>
      </w:pPr>
      <w:r>
        <w:rPr>
          <w:b/>
          <w:bCs/>
          <w:color w:val="353A7C"/>
          <w:sz w:val="18"/>
          <w:szCs w:val="18"/>
        </w:rPr>
        <w:t xml:space="preserve">Summary 1</w:t>
      </w:r>
      <w:r>
        <w:rPr>
          <w:color w:val="6B7280"/>
          <w:sz w:val="16"/>
          <w:szCs w:val="16"/>
        </w:rPr>
        <w:t xml:space="preserve">      gaps 2–11</w:t>
      </w:r>
    </w:p>
    <w:p>
      <w:pPr>
        <w:spacing w:before="20" w:after="20" w:line="360" w:lineRule="auto"/>
        <w:ind w:left="200"/>
      </w:pPr>
      <w:r>
        <w:rPr>
          <w:sz w:val="19"/>
          <w:szCs w:val="19"/>
        </w:rPr>
        <w:t xml:space="preserve">Beverages earns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margin in dollars and the highest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which is why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capital. </w:t>
      </w:r>
      <w:r>
        <w:rPr>
          <w:sz w:val="19"/>
          <w:szCs w:val="19"/>
        </w:rPr>
        <w:t xml:space="preserve">Tahini &amp; Spreads earns $840,000 on a much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revenue, and the board has asked it to grow. </w:t>
      </w:r>
      <w:r>
        <w:rPr>
          <w:sz w:val="19"/>
          <w:szCs w:val="19"/>
        </w:rPr>
        <w:t xml:space="preserve">Head office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each division a share of $1,100,000 on revenue. </w:t>
      </w:r>
      <w:r>
        <w:rPr>
          <w:sz w:val="19"/>
          <w:szCs w:val="19"/>
        </w:rPr>
        <w:t xml:space="preserve">Tahini &amp; Spreads is charged $179,070 and is left with $660,930. </w:t>
      </w:r>
      <w:r>
        <w:rPr>
          <w:sz w:val="19"/>
          <w:szCs w:val="19"/>
        </w:rPr>
        <w:t xml:space="preserve">Its manager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that head office does no more work for his division than before, and that the charge rises whenever the other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grow. </w:t>
      </w:r>
      <w:r>
        <w:rPr>
          <w:sz w:val="19"/>
          <w:szCs w:val="19"/>
        </w:rPr>
        <w:t xml:space="preserve">The board judges each manager on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margin and each division on the segment margin, and treats the allocation as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figure. </w:t>
      </w:r>
      <w:r>
        <w:rPr>
          <w:sz w:val="19"/>
          <w:szCs w:val="19"/>
        </w:rPr>
        <w:t xml:space="preserve">No division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 the figure after allocation.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closed   ·   smaller   ·   charges   ·   received   ·   remember   ·   memorandum   ·   percentage   ·   argues   ·   controllable   ·   divisions   ·   largest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Beverages segment margin $3,180,000 =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operating income. </w:t>
      </w:r>
      <w:r>
        <w:rPr>
          <w:sz w:val="19"/>
          <w:szCs w:val="19"/>
        </w:rPr>
        <w:t xml:space="preserve">Segment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$5,020,000 − common costs $1,100,000 = company operating income $3,920,000.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Spreads   ·   contribution-format   ·   margins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Expect a list of costs to classify as variable,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fixed, traceable fixed or common, and then a margin to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Read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which margin is asked for, and remember that allocated common costs come last.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controllable   ·   carefully   ·   Spreads   ·   calculate</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stand-alone cost allocation   ·   Variable manufacturing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Contribution margin</w:t>
            </w:r>
          </w:p>
        </w:tc>
        <w:tc>
          <w:tcPr>
            <w:tcW w:type="pct" w:w="2600"/>
            <w:tcMar>
              <w:top w:type="dxa" w:w="50"/>
              <w:left w:type="dxa" w:w="110"/>
              <w:bottom w:type="dxa" w:w="50"/>
              <w:right w:type="dxa" w:w="110"/>
            </w:tcMar>
          </w:tcPr>
          <w:p>
            <w:pPr>
              <w:spacing w:before="28" w:after="28"/>
            </w:pPr>
            <w:r>
              <w:rPr>
                <w:sz w:val="15"/>
                <w:szCs w:val="15"/>
              </w:rPr>
              <w:t xml:space="preserve">$5,250,000 − $3,150,000 = $2,100,000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Controllable margin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400"/>
            <w:tcMar>
              <w:top w:type="dxa" w:w="50"/>
              <w:left w:type="dxa" w:w="110"/>
              <w:bottom w:type="dxa" w:w="50"/>
              <w:right w:type="dxa" w:w="110"/>
            </w:tcMar>
          </w:tcPr>
          <w:p>
            <w:pPr>
              <w:spacing w:before="28" w:after="28"/>
            </w:pPr>
            <w:r>
              <w:rPr>
                <w:sz w:val="15"/>
                <w:szCs w:val="15"/>
              </w:rPr>
              <w:t xml:space="preserve">Segment margin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$2,100,000 − $900,000 = $1,200,000   ·   $5,250,000 − $3,150,000 = $2,100,000   ·   $1,200,000 − $360,000 = $840,000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Cost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Cost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Olive oil and bottles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Marketing the manager approved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2600"/>
            <w:tcMar>
              <w:top w:type="dxa" w:w="50"/>
              <w:left w:type="dxa" w:w="110"/>
              <w:bottom w:type="dxa" w:w="50"/>
              <w:right w:type="dxa" w:w="110"/>
            </w:tcMar>
          </w:tcPr>
          <w:p>
            <w:pPr>
              <w:spacing w:before="28" w:after="28"/>
            </w:pPr>
            <w:r>
              <w:rPr>
                <w:sz w:val="15"/>
                <w:szCs w:val="15"/>
              </w:rPr>
              <w:t xml:space="preserve">Depreciation of the bottling plant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Share of head-office costs</w:t>
            </w:r>
          </w:p>
        </w:tc>
        <w:tc>
          <w:tcPr>
            <w:tcW w:type="pct" w:w="2400"/>
            <w:shd w:fill="FBFAF6" w:val="clear"/>
            <w:tcMar>
              <w:top w:type="dxa" w:w="50"/>
              <w:left w:type="dxa" w:w="110"/>
              <w:bottom w:type="dxa" w:w="50"/>
              <w:right w:type="dxa" w:w="110"/>
            </w:tcMar>
          </w:tcPr>
          <w:p>
            <w:pPr>
              <w:spacing w:before="28" w:after="28"/>
            </w:pPr>
            <w:r>
              <w:rPr>
                <w:sz w:val="15"/>
                <w:szCs w:val="15"/>
              </w:rPr>
              <w:t xml:space="preserve">Common cost</w:t>
            </w:r>
          </w:p>
        </w:tc>
      </w:tr>
      <w:tr>
        <w:tc>
          <w:tcPr>
            <w:tcW w:type="pct" w:w="2600"/>
            <w:tcMar>
              <w:top w:type="dxa" w:w="50"/>
              <w:left w:type="dxa" w:w="110"/>
              <w:bottom w:type="dxa" w:w="50"/>
              <w:right w:type="dxa" w:w="110"/>
            </w:tcMar>
          </w:tcPr>
          <w:p>
            <w:pPr>
              <w:spacing w:before="28" w:after="28"/>
            </w:pPr>
            <w:r>
              <w:rPr>
                <w:sz w:val="15"/>
                <w:szCs w:val="15"/>
              </w:rPr>
              <w:t xml:space="preserve">Freight to customers per case</w:t>
            </w:r>
          </w:p>
        </w:tc>
        <w:tc>
          <w:tcPr>
            <w:tcW w:type="pct" w:w="2400"/>
            <w:tcMar>
              <w:top w:type="dxa" w:w="50"/>
              <w:left w:type="dxa" w:w="110"/>
              <w:bottom w:type="dxa" w:w="50"/>
              <w:right w:type="dxa" w:w="110"/>
            </w:tcMar>
          </w:tcPr>
          <w:p>
            <w:pPr>
              <w:spacing w:before="28" w:after="28"/>
            </w:pPr>
            <w:r>
              <w:rPr>
                <w:sz w:val="15"/>
                <w:szCs w:val="15"/>
              </w:rPr>
              <w:t xml:space="preserve">Variable cost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Fixed cost the manager controls   ·   $2,100,000 − $900,000 = $1,200,000   ·   Traceable fixed cost the manager does not control   ·   Variable cost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 center   ·   investment center   ·   segment margin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3"/>
        <w:gridCol w:w="484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6"/>
            <w:tcMar>
              <w:top w:type="dxa" w:w="50"/>
              <w:left w:type="dxa" w:w="110"/>
              <w:bottom w:type="dxa" w:w="50"/>
              <w:right w:type="dxa" w:w="110"/>
            </w:tcMar>
          </w:tcPr>
          <w:p>
            <w:pPr>
              <w:spacing w:before="26" w:after="26"/>
            </w:pPr>
            <w:r>
              <w:rPr>
                <w:color w:val="232733"/>
                <w:sz w:val="16"/>
                <w:szCs w:val="16"/>
              </w:rPr>
              <w:t xml:space="preserve">profit center</w:t>
            </w:r>
          </w:p>
        </w:tc>
        <w:tc>
          <w:tcPr>
            <w:tcW w:type="pct" w:w="2524"/>
            <w:tcMar>
              <w:top w:type="dxa" w:w="50"/>
              <w:left w:type="dxa" w:w="110"/>
              <w:bottom w:type="dxa" w:w="50"/>
              <w:right w:type="dxa" w:w="110"/>
            </w:tcMar>
          </w:tcPr>
          <w:p>
            <w:pPr>
              <w:spacing w:before="26" w:after="26"/>
            </w:pPr>
            <w:r>
              <w:rPr>
                <w:color w:val="232733"/>
                <w:sz w:val="16"/>
                <w:szCs w:val="16"/>
              </w:rPr>
              <w:t xml:space="preserve">مركز الربح</w:t>
            </w:r>
          </w:p>
        </w:tc>
      </w:tr>
      <w:tr>
        <w:tc>
          <w:tcPr>
            <w:tcW w:type="pct" w:w="2476"/>
            <w:shd w:fill="FBFAF6" w:val="clear"/>
            <w:tcMar>
              <w:top w:type="dxa" w:w="50"/>
              <w:left w:type="dxa" w:w="110"/>
              <w:bottom w:type="dxa" w:w="50"/>
              <w:right w:type="dxa" w:w="110"/>
            </w:tcMar>
          </w:tcPr>
          <w:p>
            <w:pPr>
              <w:spacing w:before="26" w:after="26"/>
            </w:pPr>
            <w:r>
              <w:rPr>
                <w:color w:val="232733"/>
                <w:sz w:val="16"/>
                <w:szCs w:val="16"/>
              </w:rPr>
              <w:t xml:space="preserve">segment margin</w:t>
            </w:r>
          </w:p>
        </w:tc>
        <w:tc>
          <w:tcPr>
            <w:tcW w:type="pct" w:w="2524"/>
            <w:shd w:fill="FBFAF6" w:val="clear"/>
            <w:tcMar>
              <w:top w:type="dxa" w:w="50"/>
              <w:left w:type="dxa" w:w="110"/>
              <w:bottom w:type="dxa" w:w="50"/>
              <w:right w:type="dxa" w:w="110"/>
            </w:tcMar>
          </w:tcPr>
          <w:p>
            <w:pPr>
              <w:spacing w:before="26" w:after="26"/>
            </w:pPr>
            <w:r>
              <w:rPr>
                <w:color w:val="232733"/>
                <w:sz w:val="16"/>
                <w:szCs w:val="16"/>
              </w:rPr>
              <w:t xml:space="preserve">هامش القطاع</w:t>
            </w:r>
          </w:p>
        </w:tc>
      </w:tr>
      <w:tr>
        <w:tc>
          <w:tcPr>
            <w:tcW w:type="pct" w:w="2476"/>
            <w:tcMar>
              <w:top w:type="dxa" w:w="50"/>
              <w:left w:type="dxa" w:w="110"/>
              <w:bottom w:type="dxa" w:w="50"/>
              <w:right w:type="dxa" w:w="110"/>
            </w:tcMar>
          </w:tcPr>
          <w:p>
            <w:pPr>
              <w:spacing w:before="26" w:after="26"/>
            </w:pPr>
            <w:r>
              <w:rPr>
                <w:color w:val="232733"/>
                <w:sz w:val="16"/>
                <w:szCs w:val="16"/>
              </w:rPr>
              <w:t xml:space="preserve">common cost</w:t>
            </w:r>
          </w:p>
        </w:tc>
        <w:tc>
          <w:tcPr>
            <w:tcW w:type="pct" w:w="2524"/>
            <w:tcMar>
              <w:top w:type="dxa" w:w="50"/>
              <w:left w:type="dxa" w:w="110"/>
              <w:bottom w:type="dxa" w:w="50"/>
              <w:right w:type="dxa" w:w="110"/>
            </w:tcMar>
          </w:tcPr>
          <w:p>
            <w:pPr>
              <w:spacing w:before="26" w:after="26"/>
            </w:pPr>
            <w:r>
              <w:rPr>
                <w:color w:val="232733"/>
                <w:sz w:val="16"/>
                <w:szCs w:val="16"/>
              </w:rPr>
              <w:t xml:space="preserve">التكلفة المشتركة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15.6  Extended Example 15A: evaluating the three divisions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margins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largest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controllable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percentage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calculate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received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carefully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smaller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Variable manufacturing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charges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$2,100,000 − $900,000 = $1,200,000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argues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$1,200,000 − $360,000 = $840,000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Variable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controllable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Fixed cost the manager 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memorandum</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Traceable fixed cost the manager does not 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closed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profit center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contribution-format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segment margin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Beverages earns the largest margin in dollars and the highest percentage, which is why it received the capital. Tahini &amp; Spreads earns $840,000 on a much smaller revenue, and the board has asked it to grow. Head office charges each division a share of $1,100,000 on revenue. Tahini &amp; Spreads is charged $179,070 and is left with $660,930. Its manager argues that head office does no more work for his division than before, and that the charge rises whenever the other divisions grow. The board judges each manager on the controllable margin and each division on the segment margin, and treats the allocation as a memorandum figure. No division is closed on the figure after allocation.</w:t>
      </w:r>
    </w:p>
    <w:p>
      <w:pPr>
        <w:spacing w:before="20" w:after="20"/>
        <w:ind w:left="240" w:hanging="240"/>
      </w:pPr>
      <w:r>
        <w:rPr>
          <w:b/>
          <w:bCs/>
          <w:color w:val="353A7C"/>
          <w:sz w:val="15"/>
          <w:szCs w:val="15"/>
        </w:rPr>
        <w:t xml:space="preserve">Summary 2   </w:t>
      </w:r>
      <w:r>
        <w:rPr>
          <w:color w:val="6B7280"/>
          <w:sz w:val="15"/>
          <w:szCs w:val="15"/>
        </w:rPr>
        <w:t xml:space="preserve">Beverages segment margin $3,180,000 = the contribution-format operating income. Segment margins $5,020,000 − common costs $1,100,000 = company operating income $3,920,000.</w:t>
      </w:r>
    </w:p>
    <w:p>
      <w:pPr>
        <w:spacing w:before="20" w:after="20"/>
        <w:ind w:left="240" w:hanging="240"/>
      </w:pPr>
      <w:r>
        <w:rPr>
          <w:b/>
          <w:bCs/>
          <w:color w:val="353A7C"/>
          <w:sz w:val="15"/>
          <w:szCs w:val="15"/>
        </w:rPr>
        <w:t xml:space="preserve">Summary 3   </w:t>
      </w:r>
      <w:r>
        <w:rPr>
          <w:color w:val="6B7280"/>
          <w:sz w:val="15"/>
          <w:szCs w:val="15"/>
        </w:rPr>
        <w:t xml:space="preserve">Expect a list of costs to classify as variable, controllable fixed, traceable fixed or common, and then a margin to calculate. Read carefully which margin is asked for, and remember that allocated common costs come last.</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15.1 · The four responsibility centers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15.2 · Choosing the right center</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15.3 · The contribution margin report</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15.4 · What counts as a segment</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15.5 · Common costs and how to allocate them</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15.6 · Extended Example 15A: evaluating the three divisions</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dd4f9ca5520ea92759b79b76b2fbeb4923a2650.png" Type="http://schemas.openxmlformats.org/officeDocument/2006/relationships/image"/><Relationship Id="rId102" Target="media/952947bcaac50834c8660f956569f8c5875261da.png" Type="http://schemas.openxmlformats.org/officeDocument/2006/relationships/image"/><Relationship Id="rId103" Target="media/7cd724361cb739050e7c984448a4875a31821697.png" Type="http://schemas.openxmlformats.org/officeDocument/2006/relationships/image"/><Relationship Id="rId104" Target="media/d537b4ad74fb113fc5627ec238ee6fefe2c5bba0.png" Type="http://schemas.openxmlformats.org/officeDocument/2006/relationships/image"/><Relationship Id="rId105" Target="media/4172baa7c235409e13410cb61c21ebb73acb5f69.png" Type="http://schemas.openxmlformats.org/officeDocument/2006/relationships/image"/><Relationship Id="rId106" Target="media/bc99099eb53f1ca18864b64be7a42447daf40062.png" Type="http://schemas.openxmlformats.org/officeDocument/2006/relationships/image"/><Relationship Id="rId107" Target="media/8f899d74fdf676286ed6c436aa64da18bd7ee149.png" Type="http://schemas.openxmlformats.org/officeDocument/2006/relationships/image"/><Relationship Id="rId108" Target="media/3e7866b67cd5a2c78d07e49db7569b57e76a3086.png" Type="http://schemas.openxmlformats.org/officeDocument/2006/relationships/image"/><Relationship Id="rId109" Target="media/e0469c1ab58390871924d3dc41e6d1489c86b0be.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15</dc:title>
  <dc:subject>Summary handouts</dc:subject>
  <cp:category>Student Book</cp:category>
</cp:coreProperties>
</file>