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must also arrive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Feedback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return on sales (operating margin)</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Feedback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Oils earns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than Tahini &amp;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turns its assets over twice as fast, so its ROI is higher.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thinner   ·   manager</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Tahini &amp;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manager   ·   Reading   ·   without   ·   warehouse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rate of return   ·   return on investment (ROI)   ·   asset turnover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thinner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 on investment (ROI)</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asset turnover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Oils earns a thinner margin than Tahini &amp; Spreads but turns its assets over twice as fast, so its ROI is higher.</w:t>
      </w:r>
    </w:p>
    <w:p>
      <w:pPr>
        <w:spacing w:before="20" w:after="20"/>
        <w:ind w:left="240" w:hanging="240"/>
      </w:pPr>
      <w:r>
        <w:rPr>
          <w:b/>
          <w:bCs/>
          <w:color w:val="353A7C"/>
          <w:sz w:val="15"/>
          <w:szCs w:val="15"/>
        </w:rPr>
        <w:t xml:space="preserve">Summary 3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Residual income (RI)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income less a capital charge: the required rate of return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the investment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multiplied   ·   operating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2</w:t>
      </w:r>
      <w:r>
        <w:rPr>
          <w:color w:val="6B7280"/>
          <w:sz w:val="16"/>
          <w:szCs w:val="16"/>
        </w:rPr>
        <w:t xml:space="preserve">      gaps 4–7</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is an amount,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a large division will usually show more of it than a small one. </w:t>
      </w:r>
      <w:r>
        <w:rPr>
          <w:sz w:val="19"/>
          <w:szCs w:val="19"/>
        </w:rPr>
        <w:t xml:space="preserve">Beverages earns $1,740,000 against $120,000 for Tahini &amp; Spreads, but that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Residual   ·   performance   ·   percentage   ·   comparison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required rate of return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 rate of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percentage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Residual income (RI) is operating income less a capital charge: the required rate of return multiplied by the investment base.</w:t>
      </w:r>
    </w:p>
    <w:p>
      <w:pPr>
        <w:spacing w:before="20" w:after="20"/>
        <w:ind w:left="240" w:hanging="240"/>
      </w:pPr>
      <w:r>
        <w:rPr>
          <w:b/>
          <w:bCs/>
          <w:color w:val="353A7C"/>
          <w:sz w:val="15"/>
          <w:szCs w:val="15"/>
        </w:rPr>
        <w:t xml:space="preserve">Summary 2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disagree,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offered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project: $2,500,000 of assets earning $450,000 a year, a return of 18.0%. </w:t>
      </w:r>
      <w:r>
        <w:rPr>
          <w:sz w:val="19"/>
          <w:szCs w:val="19"/>
        </w:rPr>
        <w:t xml:space="preserve">The project earns well above the 12% the company requires, but below the 26.5% the division already earns, so accepting it pulls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ROI down to 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disagreement   ·   measures   ·   filling-line   ·   Beverages   ·   against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Under ROI the manager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the company wants; under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the manager accepts it, because $450,000 exceeds the $300,000 capital charge by $150,000.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rejects   ·   residual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tcMar>
              <w:top w:type="dxa" w:w="50"/>
              <w:left w:type="dxa" w:w="110"/>
              <w:bottom w:type="dxa" w:w="50"/>
              <w:right w:type="dxa" w:w="110"/>
            </w:tcMar>
          </w:tcPr>
          <w:p>
            <w:pPr>
              <w:spacing w:before="28" w:after="28"/>
            </w:pPr>
            <w:r>
              <w:rPr>
                <w:sz w:val="15"/>
                <w:szCs w:val="15"/>
              </w:rPr>
              <w:t xml:space="preserve">Operating income</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assets   ·   Residual income   ·   Capital charge at 12%</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required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suboptimization</w:t>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Both can be improved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Need an agreed investment base and income measure   ·   percentage   ·   division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 project should be judged against the required rate of return, not against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current ROI. </w:t>
      </w:r>
      <w:r>
        <w:rPr>
          <w:sz w:val="19"/>
          <w:szCs w:val="19"/>
        </w:rPr>
        <w:t xml:space="preserve">Any project above the required return raises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residual   ·   project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suboptimization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 at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Need an agreed investment base and income 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rejects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assets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 charge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 The project earns well above the 12% the company requires, but below the 26.5% the division already earns, so accepting it pulls the division's ROI down to 25.0%.</w:t>
      </w:r>
    </w:p>
    <w:p>
      <w:pPr>
        <w:spacing w:before="20" w:after="20"/>
        <w:ind w:left="240" w:hanging="240"/>
      </w:pPr>
      <w:r>
        <w:rPr>
          <w:b/>
          <w:bCs/>
          <w:color w:val="353A7C"/>
          <w:sz w:val="15"/>
          <w:szCs w:val="15"/>
        </w:rPr>
        <w:t xml:space="preserve">Summary 2   </w:t>
      </w:r>
      <w:r>
        <w:rPr>
          <w:color w:val="6B7280"/>
          <w:sz w:val="15"/>
          <w:szCs w:val="15"/>
        </w:rPr>
        <w:t xml:space="preserve">Under ROI the manager rejects a project the company wants; under residual income the manager accepts it, because $450,000 exceeds the $300,000 capital charge by $150,000.</w:t>
      </w:r>
    </w:p>
    <w:p>
      <w:pPr>
        <w:spacing w:before="20" w:after="20"/>
        <w:ind w:left="240" w:hanging="240"/>
      </w:pPr>
      <w:r>
        <w:rPr>
          <w:b/>
          <w:bCs/>
          <w:color w:val="353A7C"/>
          <w:sz w:val="15"/>
          <w:szCs w:val="15"/>
        </w:rPr>
        <w:t xml:space="preserve">Summary 3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7"/>
        <w:gridCol w:w="4224"/>
        <w:gridCol w:w="31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50"/>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50"/>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revenue earlier reports more income now</w:t>
            </w:r>
          </w:p>
        </w:tc>
        <w:tc>
          <w:tcPr>
            <w:tcW w:type="pct" w:w="1650"/>
            <w:tcMar>
              <w:top w:type="dxa" w:w="50"/>
              <w:left w:type="dxa" w:w="110"/>
              <w:bottom w:type="dxa" w:w="50"/>
              <w:right w:type="dxa" w:w="110"/>
            </w:tcMar>
          </w:tcPr>
          <w:p>
            <w:pPr>
              <w:spacing w:before="28" w:after="28"/>
            </w:pPr>
            <w:r>
              <w:rPr>
                <w:sz w:val="15"/>
                <w:szCs w:val="15"/>
              </w:rPr>
              <w:t xml:space="preserve">Compare only divisions using the same policy</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50"/>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accelerated method changes income and assets</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one group policy for internal reporting   ·   recognising   ·   Adjust before comparing, or agree one policy   ·   accelerated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recognises revenue earlier, or expenses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another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will report different income for identical work.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then measures the policy, not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group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restated to group policy before any division is compared.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statements   ·   capitalises   ·   performance   ·   Comparison   ·   development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1"/>
        <w:gridCol w:w="3768"/>
        <w:gridCol w:w="39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1962"/>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2079"/>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59"/>
            <w:tcMar>
              <w:top w:type="dxa" w:w="50"/>
              <w:left w:type="dxa" w:w="110"/>
              <w:bottom w:type="dxa" w:w="50"/>
              <w:right w:type="dxa" w:w="110"/>
            </w:tcMar>
          </w:tcPr>
          <w:p>
            <w:pPr>
              <w:spacing w:before="28" w:after="28"/>
            </w:pPr>
            <w:r>
              <w:rPr>
                <w:sz w:val="15"/>
                <w:szCs w:val="15"/>
              </w:rPr>
              <w:t xml:space="preserve">Inventory method</w:t>
            </w:r>
          </w:p>
        </w:tc>
        <w:tc>
          <w:tcPr>
            <w:tcW w:type="pct" w:w="1962"/>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207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59"/>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1962"/>
            <w:shd w:fill="FBFAF6" w:val="clear"/>
            <w:tcMar>
              <w:top w:type="dxa" w:w="50"/>
              <w:left w:type="dxa" w:w="110"/>
              <w:bottom w:type="dxa" w:w="50"/>
              <w:right w:type="dxa" w:w="110"/>
            </w:tcMar>
          </w:tcPr>
          <w:p>
            <w:pPr>
              <w:spacing w:before="28" w:after="28"/>
            </w:pPr>
            <w:r>
              <w:rPr>
                <w:sz w:val="15"/>
                <w:szCs w:val="15"/>
              </w:rPr>
              <w:t xml:space="preserve">The shared cold store of Chapter 15 serves two divisions</w:t>
            </w:r>
          </w:p>
        </w:tc>
        <w:tc>
          <w:tcPr>
            <w:tcW w:type="pct" w:w="207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asset on the same basis as its cost, or exclude it from both</w:t>
            </w:r>
          </w:p>
        </w:tc>
      </w:tr>
      <w:tr>
        <w:tc>
          <w:tcPr>
            <w:tcW w:type="pct" w:w="959"/>
            <w:tcMar>
              <w:top w:type="dxa" w:w="50"/>
              <w:left w:type="dxa" w:w="110"/>
              <w:bottom w:type="dxa" w:w="50"/>
              <w:right w:type="dxa" w:w="110"/>
            </w:tcMar>
          </w:tcPr>
          <w:p>
            <w:pPr>
              <w:spacing w:before="28" w:after="28"/>
            </w:pPr>
            <w:r>
              <w:rPr>
                <w:sz w:val="15"/>
                <w:szCs w:val="15"/>
              </w:rPr>
              <w:t xml:space="preserve">Gross or net book value</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79"/>
            <w:tcMar>
              <w:top w:type="dxa" w:w="50"/>
              <w:left w:type="dxa" w:w="110"/>
              <w:bottom w:type="dxa" w:w="50"/>
              <w:right w:type="dxa" w:w="110"/>
            </w:tcMar>
          </w:tcPr>
          <w:p>
            <w:pPr>
              <w:spacing w:before="28" w:after="28"/>
            </w:pPr>
            <w:r>
              <w:rPr>
                <w:sz w:val="15"/>
                <w:szCs w:val="15"/>
              </w:rPr>
              <w:t xml:space="preserve">Net book value flatters divisions with old assets</w:t>
            </w:r>
          </w:p>
        </w:tc>
      </w:tr>
      <w:tr>
        <w:tc>
          <w:tcPr>
            <w:tcW w:type="pct" w:w="959"/>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079"/>
            <w:shd w:fill="FBFAF6" w:val="clear"/>
            <w:tcMar>
              <w:top w:type="dxa" w:w="50"/>
              <w:left w:type="dxa" w:w="110"/>
              <w:bottom w:type="dxa" w:w="50"/>
              <w:right w:type="dxa" w:w="110"/>
            </w:tcMar>
          </w:tcPr>
          <w:p>
            <w:pPr>
              <w:spacing w:before="28" w:after="28"/>
            </w:pPr>
            <w:r>
              <w:rPr>
                <w:sz w:val="15"/>
                <w:szCs w:val="15"/>
              </w:rPr>
              <w:t xml:space="preserve">Follow one rule across all divisions</w:t>
            </w:r>
          </w:p>
        </w:tc>
      </w:tr>
      <w:tr>
        <w:tc>
          <w:tcPr>
            <w:tcW w:type="pct" w:w="959"/>
            <w:tcMar>
              <w:top w:type="dxa" w:w="50"/>
              <w:left w:type="dxa" w:w="110"/>
              <w:bottom w:type="dxa" w:w="50"/>
              <w:right w:type="dxa" w:w="110"/>
            </w:tcMar>
          </w:tcPr>
          <w:p>
            <w:pPr>
              <w:spacing w:before="28" w:after="28"/>
            </w:pPr>
            <w:r>
              <w:rPr>
                <w:sz w:val="15"/>
                <w:szCs w:val="15"/>
              </w:rPr>
              <w:t xml:space="preserve">Idle or non-operating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79"/>
            <w:tcMar>
              <w:top w:type="dxa" w:w="50"/>
              <w:left w:type="dxa" w:w="110"/>
              <w:bottom w:type="dxa" w:w="50"/>
              <w:right w:type="dxa" w:w="110"/>
            </w:tcMar>
          </w:tcPr>
          <w:p>
            <w:pPr>
              <w:spacing w:before="28" w:after="28"/>
            </w:pPr>
            <w:r>
              <w:rPr>
                <w:sz w:val="15"/>
                <w:szCs w:val="15"/>
              </w:rPr>
              <w:t xml:space="preserve">Exclude it from the investment base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leased plant may or may not appear in the base   ·   Land held for sale is not used to earn operating income   ·   FIFO and weighted average give different inventory and cost of sales   ·   Beverages: 26.5% on net book value, 15.9% on gross   ·   Allocate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16–22</w:t>
      </w:r>
    </w:p>
    <w:p>
      <w:pPr>
        <w:spacing w:before="20" w:after="20" w:line="360" w:lineRule="auto"/>
        <w:ind w:left="200"/>
      </w:pPr>
      <w:r>
        <w:rPr>
          <w:sz w:val="19"/>
          <w:szCs w:val="19"/>
        </w:rPr>
        <w:t xml:space="preserve">The last one matters most.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shows 26.5% on net book value but only 15.9% on the gross cost of $20,000,000, because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better than one that has just invested,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exactly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What matters is that every division uses the same one, and that the basis is stated with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discourages   ·   inventory   ·   investment   ·   depreciated   ·   figures   ·   defended   ·   Beverages   ·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two divisions, ask whether both use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the same treatment of shared assets, and the same basis for property. </w:t>
      </w:r>
      <w:r>
        <w:rPr>
          <w:sz w:val="19"/>
          <w:szCs w:val="19"/>
        </w:rPr>
        <w:t xml:space="preserve">A difference in any of them makes the comparison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inventory   ·   comparing   ·   meaningless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recognising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leased plant may or may not appear in the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Land held for sale is not used to earn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Use one group policy for internal 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capitalises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figures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meaningless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Beverages: 26.5% on net book value, 15.9% on gross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the manager rejects the project</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   required return 12%   ·   Tahini &amp; Spreads ROI</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ROI falls by 1.5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the manager will resist; residual income rises by $150,000, which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gain. </w:t>
      </w:r>
      <w:r>
        <w:rPr>
          <w:sz w:val="19"/>
          <w:szCs w:val="19"/>
        </w:rPr>
        <w:t xml:space="preserve">The board approved the line, and changed how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manager is judged: residual income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ROI for comparing divisions. </w:t>
      </w:r>
      <w:r>
        <w:rPr>
          <w:sz w:val="19"/>
          <w:szCs w:val="19"/>
        </w:rPr>
        <w:t xml:space="preserve">Both are reported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investment   ·   company's   ·   points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Beverages ROI 17.7% × 1.50 = 26.5%;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segment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operating income it would earn each year   ·   Division operating assets   ·   $840,000 ÷ $6,000,000 = 14.0%   ·   Investment in the new line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Residual income   ·   Supports rejecting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investment base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 in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residual income (RI)</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ROI falls by 1.5 points, which the manager will resist; residual income rises by $150,000, which is the company's gain. 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e7e8f8eb6f21d8c05cb6ae62f10f881515f38f9.png" Type="http://schemas.openxmlformats.org/officeDocument/2006/relationships/image"/><Relationship Id="rId102" Target="media/fac6d789a0c2d98575365af16a69690b37fbff26.png" Type="http://schemas.openxmlformats.org/officeDocument/2006/relationships/image"/><Relationship Id="rId103" Target="media/ce2f8d35b861e08b66d44c35f76ce8ed574d0592.png" Type="http://schemas.openxmlformats.org/officeDocument/2006/relationships/image"/><Relationship Id="rId104" Target="media/1c579ccc87ab76d56cd3583516eb6993757dc123.png" Type="http://schemas.openxmlformats.org/officeDocument/2006/relationships/image"/><Relationship Id="rId105" Target="media/6aa975cbb1bedf67fe0373375259b9c297e5c38a.png" Type="http://schemas.openxmlformats.org/officeDocument/2006/relationships/image"/><Relationship Id="rId106" Target="media/cbe0c0dbc8d5bfdf5c22e849a2b01c5b4a6ce371.png" Type="http://schemas.openxmlformats.org/officeDocument/2006/relationships/image"/><Relationship Id="rId107" Target="media/9feb8d3515729b6607c555839e1d2060d66a75f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17</dc:title>
  <dc:subject>Summary handouts</dc:subject>
  <cp:category>Student Book</cp:category>
</cp:coreProperties>
</file>