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wrongly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equity</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material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benefit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T-account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 the amount of the item   ·   statements   ·   disclose   ·   record   ·   U.S. GAAP</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49–51</w:t>
      </w:r>
    </w:p>
    <w:p>
      <w:pPr>
        <w:spacing w:before="20" w:after="20" w:line="360" w:lineRule="auto"/>
        <w:ind w:left="200"/>
      </w:pPr>
      <w:r>
        <w:rPr>
          <w:sz w:val="19"/>
          <w:szCs w:val="19"/>
        </w:rPr>
        <w:t xml:space="preserve">Example: Orontes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relevance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accounts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equation always holds, because creditors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Look at the lower part.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buying   ·   Contributed   ·   dividend   ·   Comprehensive   ·   statement   ·   sources   ·   IFRS   ·   instead   ·   Expenses   ·   Revenues   ·   liabilities   ·   Distributions</w:t>
            </w:r>
          </w:p>
        </w:tc>
      </w:tr>
    </w:tbl>
    <w:p/>
    <w:p>
      <w:pPr>
        <w:spacing w:before="44" w:after="14"/>
      </w:pPr>
      <w:r>
        <w:rPr>
          <w:b/>
          <w:bCs/>
          <w:color w:val="353A7C"/>
          <w:sz w:val="18"/>
          <w:szCs w:val="18"/>
        </w:rPr>
        <w:t xml:space="preserve">Summary 3</w:t>
      </w:r>
      <w:r>
        <w:rPr>
          <w:color w:val="6B7280"/>
          <w:sz w:val="16"/>
          <w:szCs w:val="16"/>
        </w:rPr>
        <w:t xml:space="preserve">      gaps 25–29</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financial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(balance sheet), share capital (common stock) and share premium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additional   ·   obligation   ·   different   ·   statement   ·   position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Words that look familiar</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30–32</w:t>
      </w:r>
    </w:p>
    <w:p>
      <w:pPr>
        <w:spacing w:before="20" w:after="20" w:line="360" w:lineRule="auto"/>
        <w:ind w:left="200"/>
      </w:pPr>
      <w:r>
        <w:rPr>
          <w:sz w:val="19"/>
          <w:szCs w:val="19"/>
        </w:rPr>
        <w:t xml:space="preserve">In a CMA question, inventory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inventory. </w:t>
      </w:r>
      <w:r>
        <w:rPr>
          <w:sz w:val="19"/>
          <w:szCs w:val="19"/>
        </w:rPr>
        <w:t xml:space="preserve">Revenue is the gross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from sales. </w:t>
      </w:r>
      <w:r>
        <w:rPr>
          <w:sz w:val="19"/>
          <w:szCs w:val="19"/>
        </w:rPr>
        <w:t xml:space="preserve">Net income is what remains after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Do not use income when the question means revenue. </w:t>
      </w:r>
      <w:r>
        <w:rPr>
          <w:sz w:val="19"/>
          <w:szCs w:val="19"/>
        </w:rPr>
        <w:t xml:space="preserve">In English, charges usually means fees.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amount   ·   always   ·   Orontes   ·   expenses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asset   ·   net income   ·   equity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always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sources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Look at the lower part.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pacing w:before="20" w:after="20"/>
        <w:ind w:left="240" w:hanging="240"/>
      </w:pPr>
      <w:r>
        <w:rPr>
          <w:b/>
          <w:bCs/>
          <w:color w:val="353A7C"/>
          <w:sz w:val="15"/>
          <w:szCs w:val="15"/>
        </w:rPr>
        <w:t xml:space="preserve">Summary 4   </w:t>
      </w:r>
      <w:r>
        <w:rPr>
          <w:color w:val="6B7280"/>
          <w:sz w:val="15"/>
          <w:szCs w:val="15"/>
        </w:rPr>
        <w:t xml:space="preserve">In a CMA question, inventory is always inventory. Revenue is the gross amount from sales. Net income is what remains after expenses. Do not use income when the question means revenue. In English, charges usually means fees.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equation at the bottom is a useful memory aid. </w:t>
      </w:r>
      <w:r>
        <w:rPr>
          <w:sz w:val="19"/>
          <w:szCs w:val="19"/>
        </w:rPr>
        <w:t xml:space="preserve">Accounts on the left side of the equation (assets, expenses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expanded   ·   receivable   ·   Whether   ·   dividends   ·   equity   ·   depreciation   ·   opposite   ·   double-entry   ·   affects   ·   simply   ·   accounting   ·   balances   ·   belongs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expense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44"/>
        <w:gridCol w:w="1344"/>
        <w:gridCol w:w="4224"/>
        <w:gridCol w:w="1344"/>
        <w:gridCol w:w="134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70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700"/>
            <w:tcMar>
              <w:top w:type="dxa" w:w="50"/>
              <w:left w:type="dxa" w:w="110"/>
              <w:bottom w:type="dxa" w:w="50"/>
              <w:right w:type="dxa" w:w="110"/>
            </w:tcMar>
          </w:tcPr>
          <w:p>
            <w:pPr>
              <w:spacing w:before="28" w:after="28"/>
            </w:pPr>
            <w:r>
              <w:rPr>
                <w:sz w:val="15"/>
                <w:szCs w:val="15"/>
              </w:rPr>
              <w:t xml:space="preserve">1</w:t>
            </w:r>
          </w:p>
        </w:tc>
        <w:tc>
          <w:tcPr>
            <w:tcW w:type="pct" w:w="700"/>
            <w:tcMar>
              <w:top w:type="dxa" w:w="50"/>
              <w:left w:type="dxa" w:w="110"/>
              <w:bottom w:type="dxa" w:w="50"/>
              <w:right w:type="dxa" w:w="110"/>
            </w:tcMar>
          </w:tcPr>
          <w:p>
            <w:pPr>
              <w:spacing w:before="28" w:after="28"/>
            </w:pPr>
            <w:r>
              <w:rPr>
                <w:sz w:val="15"/>
                <w:szCs w:val="15"/>
              </w:rPr>
              <w:t xml:space="preserve">Jan 2</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1,500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Additional paid-in capital</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1,400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2</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800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800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3</w:t>
            </w:r>
          </w:p>
        </w:tc>
        <w:tc>
          <w:tcPr>
            <w:tcW w:type="pct" w:w="700"/>
            <w:shd w:fill="FBFAF6" w:val="clear"/>
            <w:tcMar>
              <w:top w:type="dxa" w:w="50"/>
              <w:left w:type="dxa" w:w="110"/>
              <w:bottom w:type="dxa" w:w="50"/>
              <w:right w:type="dxa" w:w="110"/>
            </w:tcMar>
          </w:tcPr>
          <w:p>
            <w:pPr>
              <w:spacing w:before="28" w:after="28"/>
            </w:pPr>
            <w:r>
              <w:rPr>
                <w:sz w:val="15"/>
                <w:szCs w:val="15"/>
              </w:rPr>
              <w:t xml:space="preserve">Jan 10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700"/>
            <w:shd w:fill="FBFAF6" w:val="clear"/>
            <w:tcMar>
              <w:top w:type="dxa" w:w="50"/>
              <w:left w:type="dxa" w:w="110"/>
              <w:bottom w:type="dxa" w:w="50"/>
              <w:right w:type="dxa" w:w="110"/>
            </w:tcMar>
          </w:tcPr>
          <w:p>
            <w:pPr>
              <w:spacing w:before="28" w:after="28"/>
            </w:pPr>
            <w:r>
              <w:rPr>
                <w:sz w:val="15"/>
                <w:szCs w:val="15"/>
              </w:rPr>
              <w:t xml:space="preserve">1,200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1,200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4</w:t>
            </w:r>
          </w:p>
        </w:tc>
        <w:tc>
          <w:tcPr>
            <w:tcW w:type="pct" w:w="700"/>
            <w:tcMar>
              <w:top w:type="dxa" w:w="50"/>
              <w:left w:type="dxa" w:w="110"/>
              <w:bottom w:type="dxa" w:w="50"/>
              <w:right w:type="dxa" w:w="110"/>
            </w:tcMar>
          </w:tcPr>
          <w:p>
            <w:pPr>
              <w:spacing w:before="28" w:after="28"/>
            </w:pPr>
            <w:r>
              <w:rPr>
                <w:sz w:val="15"/>
                <w:szCs w:val="15"/>
              </w:rPr>
              <w:t xml:space="preserve">Jan 18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700"/>
            <w:tcMar>
              <w:top w:type="dxa" w:w="50"/>
              <w:left w:type="dxa" w:w="110"/>
              <w:bottom w:type="dxa" w:w="50"/>
              <w:right w:type="dxa" w:w="110"/>
            </w:tcMar>
          </w:tcPr>
          <w:p>
            <w:pPr>
              <w:spacing w:before="28" w:after="28"/>
            </w:pPr>
            <w:r>
              <w:rPr>
                <w:sz w:val="15"/>
                <w:szCs w:val="15"/>
              </w:rPr>
              <w:t xml:space="preserve">300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700"/>
            <w:tcMar>
              <w:top w:type="dxa" w:w="50"/>
              <w:left w:type="dxa" w:w="110"/>
              <w:bottom w:type="dxa" w:w="50"/>
              <w:right w:type="dxa" w:w="110"/>
            </w:tcMar>
          </w:tcPr>
          <w:p>
            <w:pPr>
              <w:spacing w:before="28" w:after="28"/>
            </w:pPr>
            <w:r>
              <w:rPr>
                <w:sz w:val="15"/>
                <w:szCs w:val="15"/>
              </w:rPr>
              <w:t xml:space="preserve">180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5</w:t>
            </w:r>
          </w:p>
        </w:tc>
        <w:tc>
          <w:tcPr>
            <w:tcW w:type="pct" w:w="7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700"/>
            <w:shd w:fill="FBFAF6" w:val="clear"/>
            <w:tcMar>
              <w:top w:type="dxa" w:w="50"/>
              <w:left w:type="dxa" w:w="110"/>
              <w:bottom w:type="dxa" w:w="50"/>
              <w:right w:type="dxa" w:w="110"/>
            </w:tcMar>
          </w:tcPr>
          <w:p>
            <w:pPr>
              <w:spacing w:before="28" w:after="28"/>
            </w:pPr>
            <w:r>
              <w:rPr>
                <w:sz w:val="15"/>
                <w:szCs w:val="15"/>
              </w:rPr>
              <w:t xml:space="preserve">40</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Cash</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40</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r>
      <w:tr>
        <w:tc>
          <w:tcPr>
            <w:tcW w:type="pct" w:w="700"/>
            <w:tcMar>
              <w:top w:type="dxa" w:w="50"/>
              <w:left w:type="dxa" w:w="110"/>
              <w:bottom w:type="dxa" w:w="50"/>
              <w:right w:type="dxa" w:w="110"/>
            </w:tcMar>
          </w:tcPr>
          <w:p>
            <w:pPr>
              <w:spacing w:before="28" w:after="28"/>
            </w:pPr>
            <w:r>
              <w:rPr>
                <w:sz w:val="15"/>
                <w:szCs w:val="15"/>
              </w:rPr>
              <w:t xml:space="preserve">6</w:t>
            </w:r>
          </w:p>
        </w:tc>
        <w:tc>
          <w:tcPr>
            <w:tcW w:type="pct" w:w="700"/>
            <w:tcMar>
              <w:top w:type="dxa" w:w="50"/>
              <w:left w:type="dxa" w:w="110"/>
              <w:bottom w:type="dxa" w:w="50"/>
              <w:right w:type="dxa" w:w="110"/>
            </w:tcMar>
          </w:tcPr>
          <w:p>
            <w:pPr>
              <w:spacing w:before="28" w:after="28"/>
            </w:pPr>
            <w:r>
              <w:rPr>
                <w:sz w:val="15"/>
                <w:szCs w:val="15"/>
              </w:rPr>
              <w:t xml:space="preserve">Jan 31</w:t>
            </w:r>
          </w:p>
        </w:tc>
        <w:tc>
          <w:tcPr>
            <w:tcW w:type="pct" w:w="2200"/>
            <w:tcMar>
              <w:top w:type="dxa" w:w="50"/>
              <w:left w:type="dxa" w:w="110"/>
              <w:bottom w:type="dxa" w:w="50"/>
              <w:right w:type="dxa" w:w="110"/>
            </w:tcMar>
          </w:tcPr>
          <w:p>
            <w:pPr>
              <w:spacing w:before="28" w:after="28"/>
            </w:pPr>
            <w:r>
              <w:rPr>
                <w:sz w:val="15"/>
                <w:szCs w:val="15"/>
              </w:rPr>
              <w:t xml:space="preserve">Retained earnings (dividends declared)</w:t>
            </w:r>
          </w:p>
        </w:tc>
        <w:tc>
          <w:tcPr>
            <w:tcW w:type="pct" w:w="700"/>
            <w:tcMar>
              <w:top w:type="dxa" w:w="50"/>
              <w:left w:type="dxa" w:w="110"/>
              <w:bottom w:type="dxa" w:w="50"/>
              <w:right w:type="dxa" w:w="110"/>
            </w:tcMar>
          </w:tcPr>
          <w:p>
            <w:pPr>
              <w:spacing w:before="28" w:after="28"/>
            </w:pPr>
            <w:r>
              <w:rPr>
                <w:sz w:val="15"/>
                <w:szCs w:val="15"/>
              </w:rPr>
              <w:t xml:space="preserve">50</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700"/>
            <w:tcMar>
              <w:top w:type="dxa" w:w="50"/>
              <w:left w:type="dxa" w:w="110"/>
              <w:bottom w:type="dxa" w:w="50"/>
              <w:right w:type="dxa" w:w="110"/>
            </w:tcMar>
          </w:tcPr>
          <w:p>
            <w:pPr>
              <w:spacing w:before="28" w:after="28"/>
            </w:pPr>
            <w:r>
              <w:rPr>
                <w:sz w:val="15"/>
                <w:szCs w:val="15"/>
              </w:rPr>
              <w:t xml:space="preserve"> </w:t>
            </w:r>
          </w:p>
        </w:tc>
        <w:tc>
          <w:tcPr>
            <w:tcW w:type="pct" w:w="700"/>
            <w:tcMar>
              <w:top w:type="dxa" w:w="50"/>
              <w:left w:type="dxa" w:w="110"/>
              <w:bottom w:type="dxa" w:w="50"/>
              <w:right w:type="dxa" w:w="110"/>
            </w:tcMar>
          </w:tcPr>
          <w:p>
            <w:pPr>
              <w:spacing w:before="28" w:after="28"/>
            </w:pPr>
            <w:r>
              <w:rPr>
                <w:sz w:val="15"/>
                <w:szCs w:val="15"/>
              </w:rPr>
              <w:t xml:space="preserve"> </w:t>
            </w:r>
          </w:p>
        </w:tc>
      </w:tr>
      <w:tr>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700"/>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c>
          <w:tcPr>
            <w:tcW w:type="pct" w:w="700"/>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Jan 31   ·   bottling   ·   Wages expense   ·   Borrowed   ·   Equipment   ·   Sales revenue   ·   Accounts receivable   ·   Cash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27–35</w:t>
      </w:r>
    </w:p>
    <w:p>
      <w:pPr>
        <w:spacing w:before="20" w:after="20" w:line="360" w:lineRule="auto"/>
        <w:ind w:left="200"/>
      </w:pPr>
      <w:r>
        <w:rPr>
          <w:sz w:val="19"/>
          <w:szCs w:val="19"/>
        </w:rPr>
        <w:t xml:space="preserve">Check each entry: the debits equal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lenders is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owners   ·   February   ·   delivers   ·   points   ·   liability   ·   equation   ·   credits   ·   advance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36–39</w:t>
      </w:r>
    </w:p>
    <w:p>
      <w:pPr>
        <w:spacing w:before="20" w:after="20" w:line="360" w:lineRule="auto"/>
        <w:ind w:left="200"/>
      </w:pPr>
      <w:r>
        <w:rPr>
          <w:sz w:val="19"/>
          <w:szCs w:val="19"/>
        </w:rPr>
        <w:t xml:space="preserve">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equation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40–48</w:t>
      </w:r>
    </w:p>
    <w:p>
      <w:pPr>
        <w:spacing w:before="20" w:after="20" w:line="360" w:lineRule="auto"/>
        <w:ind w:left="200"/>
      </w:pPr>
      <w:r>
        <w:rPr>
          <w:sz w:val="19"/>
          <w:szCs w:val="19"/>
        </w:rPr>
        <w:t xml:space="preserve">Here are six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Feb 3: Paid a supplier for olives bought on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in January. </w:t>
      </w:r>
      <w:r>
        <w:rPr>
          <w:sz w:val="19"/>
          <w:szCs w:val="19"/>
        </w:rPr>
        <w:t xml:space="preserve">Feb 8: Collected part of the January receivable from GreenBasket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Feb 10: Paid 12 months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rent in advance. </w:t>
      </w:r>
      <w:r>
        <w:rPr>
          <w:sz w:val="19"/>
          <w:szCs w:val="19"/>
        </w:rPr>
        <w:t xml:space="preserve">Feb 12: A Dubai hotel group paid cash in advance for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that Orontes will deliver in March. </w:t>
      </w:r>
      <w:r>
        <w:rPr>
          <w:sz w:val="19"/>
          <w:szCs w:val="19"/>
        </w:rPr>
        <w:t xml:space="preserve">Feb 15: Paid the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declared on January 31. </w:t>
      </w:r>
      <w:r>
        <w:rPr>
          <w:sz w:val="19"/>
          <w:szCs w:val="19"/>
        </w:rPr>
        <w:t xml:space="preserve">Feb 28: </w:t>
      </w:r>
      <w:r>
        <w:rPr>
          <w:b/>
          <w:bCs/>
          <w:color w:val="8186EF"/>
          <w:sz w:val="15"/>
          <w:szCs w:val="15"/>
        </w:rPr>
        <w:t xml:space="preserve"> (46) </w:t>
      </w:r>
      <w:r>
        <w:rPr>
          <w:u w:val="single"/>
          <w:sz w:val="19"/>
          <w:szCs w:val="19"/>
        </w:rPr>
        <w:t xml:space="preserve">           </w:t>
      </w:r>
      <w:r>
        <w:rPr>
          <w:sz w:val="19"/>
          <w:szCs w:val="19"/>
        </w:rPr>
        <w:t xml:space="preserve"> </w:t>
      </w:r>
      <w:r>
        <w:rPr>
          <w:sz w:val="19"/>
          <w:szCs w:val="19"/>
        </w:rPr>
        <w:t xml:space="preserve"> one month of interest on the bank note. </w:t>
      </w:r>
      <w:r>
        <w:rPr>
          <w:sz w:val="19"/>
          <w:szCs w:val="19"/>
        </w:rPr>
        <w:t xml:space="preserve">Orontes has not paid it yet. </w:t>
      </w:r>
      <w:r>
        <w:rPr>
          <w:sz w:val="19"/>
          <w:szCs w:val="19"/>
        </w:rPr>
        <w:t xml:space="preserve">Rows 1 to 3 are done for you. </w:t>
      </w:r>
      <w:r>
        <w:rPr>
          <w:sz w:val="19"/>
          <w:szCs w:val="19"/>
        </w:rPr>
        <w:t xml:space="preserve"/>
      </w:r>
      <w:r>
        <w:rPr>
          <w:b/>
          <w:bCs/>
          <w:color w:val="8186EF"/>
          <w:sz w:val="15"/>
          <w:szCs w:val="15"/>
        </w:rPr>
        <w:t xml:space="preserve"> (47)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w:t>
      </w:r>
      <w:r>
        <w:rPr>
          <w:b/>
          <w:bCs/>
          <w:color w:val="8186EF"/>
          <w:sz w:val="15"/>
          <w:szCs w:val="15"/>
        </w:rPr>
        <w:t xml:space="preserve"> (48) </w:t>
      </w:r>
      <w:r>
        <w:rPr>
          <w:u w:val="single"/>
          <w:sz w:val="19"/>
          <w:szCs w:val="19"/>
        </w:rPr>
        <w:t xml:space="preserve">           </w:t>
      </w:r>
      <w:r>
        <w:rPr>
          <w:sz w:val="19"/>
          <w:szCs w:val="19"/>
        </w:rPr>
        <w:t xml:space="preserve"> </w:t>
      </w:r>
      <w:r>
        <w:rPr>
          <w:sz w:val="19"/>
          <w:szCs w:val="19"/>
        </w:rPr>
        <w:t xml:space="preserve">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Complete   ·   warehouse   ·   pastries   ·   equation   ·   credit   ·   journal   ·   transactions   ·   Supermarkets   ·   dividend   ·   Recorded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pageBreakBefore w:val="true"/>
        <w:spacing w:after="0"/>
      </w:pPr>
      <w:r>
        <w:rPr>
          <w:sz w:val="2"/>
        </w:rPr>
        <w:t xml:space="preserve"> </w:t>
      </w:r>
    </w:p>
    <w:p>
      <w:pPr>
        <w:spacing w:before="44" w:after="14"/>
      </w:pPr>
      <w:r>
        <w:rPr>
          <w:b/>
          <w:bCs/>
          <w:color w:val="353A7C"/>
          <w:sz w:val="18"/>
          <w:szCs w:val="18"/>
        </w:rPr>
        <w:t xml:space="preserve">Summary 6</w:t>
      </w:r>
      <w:r>
        <w:rPr>
          <w:color w:val="6B7280"/>
          <w:sz w:val="16"/>
          <w:szCs w:val="16"/>
        </w:rPr>
        <w:t xml:space="preserve">      gaps 49–54</w:t>
      </w:r>
    </w:p>
    <w:p>
      <w:pPr>
        <w:spacing w:before="20" w:after="20" w:line="360" w:lineRule="auto"/>
        <w:ind w:left="200"/>
      </w:pPr>
      <w:r>
        <w:rPr>
          <w:sz w:val="19"/>
          <w:szCs w:val="19"/>
        </w:rPr>
        <w:t xml:space="preserve">X is debited (or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is to increase... </w:t>
      </w:r>
      <w:r>
        <w:rPr>
          <w:sz w:val="19"/>
          <w:szCs w:val="19"/>
        </w:rPr>
        <w:t xml:space="preserve">In English, always say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w:t>
      </w:r>
      <w:r>
        <w:rPr>
          <w:sz w:val="19"/>
          <w:szCs w:val="19"/>
        </w:rPr>
        <w:t xml:space="preserve">An allowance (for example, the allowance for credit losses) reduces an </w:t>
      </w:r>
      <w:r>
        <w:rPr>
          <w:b/>
          <w:bCs/>
          <w:color w:val="8186EF"/>
          <w:sz w:val="15"/>
          <w:szCs w:val="15"/>
        </w:rPr>
        <w:t xml:space="preserve"> (52) </w:t>
      </w:r>
      <w:r>
        <w:rPr>
          <w:u w:val="single"/>
          <w:sz w:val="19"/>
          <w:szCs w:val="19"/>
        </w:rPr>
        <w:t xml:space="preserve">           </w:t>
      </w:r>
      <w:r>
        <w:rPr>
          <w:sz w:val="19"/>
          <w:szCs w:val="19"/>
        </w:rPr>
        <w:t xml:space="preserve"> </w:t>
      </w:r>
      <w:r>
        <w:rPr>
          <w:sz w:val="19"/>
          <w:szCs w:val="19"/>
        </w:rPr>
        <w:t xml:space="preserve">. </w:t>
      </w:r>
      <w:r>
        <w:rPr>
          <w:sz w:val="19"/>
          <w:szCs w:val="19"/>
        </w:rPr>
        <w:t xml:space="preserve">A provision is a </w:t>
      </w:r>
      <w:r>
        <w:rPr>
          <w:b/>
          <w:bCs/>
          <w:color w:val="8186EF"/>
          <w:sz w:val="15"/>
          <w:szCs w:val="15"/>
        </w:rPr>
        <w:t xml:space="preserve"> (53) </w:t>
      </w:r>
      <w:r>
        <w:rPr>
          <w:u w:val="single"/>
          <w:sz w:val="19"/>
          <w:szCs w:val="19"/>
        </w:rPr>
        <w:t xml:space="preserve">           </w:t>
      </w:r>
      <w:r>
        <w:rPr>
          <w:sz w:val="19"/>
          <w:szCs w:val="19"/>
        </w:rPr>
        <w:t xml:space="preserve"> </w:t>
      </w:r>
      <w:r>
        <w:rPr>
          <w:sz w:val="19"/>
          <w:szCs w:val="19"/>
        </w:rPr>
        <w:t xml:space="preserve">. </w:t>
      </w:r>
      <w:r>
        <w:rPr>
          <w:sz w:val="19"/>
          <w:szCs w:val="19"/>
        </w:rPr>
        <w:t xml:space="preserve">Never say </w:t>
      </w:r>
      <w:r>
        <w:rPr>
          <w:b/>
          <w:bCs/>
          <w:color w:val="8186EF"/>
          <w:sz w:val="15"/>
          <w:szCs w:val="15"/>
        </w:rPr>
        <w:t xml:space="preserve"> (54) </w:t>
      </w:r>
      <w:r>
        <w:rPr>
          <w:u w:val="single"/>
          <w:sz w:val="19"/>
          <w:szCs w:val="19"/>
        </w:rPr>
        <w:t xml:space="preserve">           </w:t>
      </w:r>
      <w:r>
        <w:rPr>
          <w:sz w:val="19"/>
          <w:szCs w:val="19"/>
        </w:rPr>
        <w:t xml:space="preserve"> </w:t>
      </w:r>
      <w:r>
        <w:rPr>
          <w:sz w:val="19"/>
          <w:szCs w:val="19"/>
        </w:rPr>
        <w:t xml:space="preserve"> for bad debts in a U.S. GAAP answer. </w:t>
      </w:r>
      <w:r>
        <w:rPr>
          <w:sz w:val="19"/>
          <w:szCs w:val="19"/>
        </w:rPr>
        <w:t xml:space="preserve">That is the bank's view. </w:t>
      </w:r>
      <w:r>
        <w:rPr>
          <w:sz w:val="19"/>
          <w:szCs w:val="19"/>
        </w:rPr>
        <w:t xml:space="preserve">Do not use banking habits to guess the accounting side.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   belongs   ·   reserve   ·   credited   ·   liability   ·   depreciation   ·   asset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expanded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Supermarkets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pastries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journal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Jan 31</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Wages expense</w:t>
            </w:r>
          </w:p>
        </w:tc>
        <w:tc>
          <w:tcPr>
            <w:tcW w:type="pct" w:w="2500"/>
            <w:tcMar>
              <w:top w:type="dxa" w:w="20"/>
              <w:left w:type="dxa" w:w="80"/>
              <w:bottom w:type="dxa" w:w="20"/>
              <w:right w:type="dxa" w:w="80"/>
            </w:tcMar>
          </w:tcPr>
          <w:p>
            <w:pPr>
              <w:spacing w:before="12" w:after="12"/>
            </w:pPr>
            <w:r>
              <w:rPr>
                <w:b/>
                <w:bCs/>
                <w:color w:val="8186EF"/>
                <w:sz w:val="16"/>
                <w:szCs w:val="16"/>
              </w:rPr>
              <w:t xml:space="preserve">54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55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56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points</w:t>
            </w:r>
          </w:p>
        </w:tc>
        <w:tc>
          <w:tcPr>
            <w:tcW w:type="pct" w:w="2500"/>
            <w:tcMar>
              <w:top w:type="dxa" w:w="20"/>
              <w:left w:type="dxa" w:w="80"/>
              <w:bottom w:type="dxa" w:w="20"/>
              <w:right w:type="dxa" w:w="80"/>
            </w:tcMar>
          </w:tcPr>
          <w:p>
            <w:pPr>
              <w:spacing w:before="12" w:after="12"/>
            </w:pPr>
            <w:r>
              <w:rPr>
                <w:b/>
                <w:bCs/>
                <w:color w:val="8186EF"/>
                <w:sz w:val="16"/>
                <w:szCs w:val="16"/>
              </w:rPr>
              <w:t xml:space="preserve">57  </w:t>
            </w:r>
            <w:r>
              <w:rPr>
                <w:sz w:val="16"/>
                <w:szCs w:val="16"/>
              </w:rPr>
              <w:t xml:space="preserve">normal 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owners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The expanded equation at the bottom is a useful memory aid.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Feb 3: Paid a supplier for olives bought on credit in January. Feb 8: Collected part of the January receivable from GreenBasket Supermarkets. Feb 10: Paid 12 months of warehouse rent in advance. Feb 12: A Dubai hotel group paid cash in advance for pastries that Orontes will deliver in March. Feb 15: Paid the dividend declared on January 31. Feb 28: Recorded one month of interest on the bank note. Orontes has not paid it yet. Rows 1 to 3 are done for you.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 In English, always say depreciation. An allowance (for example, the allowance for credit losses) reduces an asset. A provision is a liability. Never say reserve for bad debts in a U.S. GAAP answer. That is the bank's view. Do not use banking habits to guess the accounting side.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20, 2025, Orontes ships olive oil to GreenBasket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sends an invoice for 90. </w:t>
      </w:r>
      <w:r>
        <w:rPr>
          <w:sz w:val="19"/>
          <w:szCs w:val="19"/>
        </w:rPr>
        <w:t xml:space="preserve">The goods cost Orontes 54. </w:t>
      </w:r>
      <w:r>
        <w:rPr>
          <w:sz w:val="19"/>
          <w:szCs w:val="19"/>
        </w:rPr>
        <w:t xml:space="preserve">GreenBasket pays on January 15, 2026. </w:t>
      </w:r>
      <w:r>
        <w:rPr>
          <w:sz w:val="19"/>
          <w:szCs w:val="19"/>
        </w:rPr>
        <w:t xml:space="preserve">Under the accrual basis, Orontes records the revenue and the cost of goods sold in fiscal 2025, the year it delivered the goods. </w:t>
      </w:r>
      <w:r>
        <w:rPr>
          <w:sz w:val="19"/>
          <w:szCs w:val="19"/>
        </w:rPr>
        <w:t xml:space="preserve">The gross profit of 36 belongs to 2025.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December   ·   decide   ·   belongs   ·   revenues   ·   received   ·   statements   ·   Supermarkets   ·   timing</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cash receipt only changes one asset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into another asset (cash). </w:t>
      </w:r>
      <w:r>
        <w:rPr>
          <w:sz w:val="19"/>
          <w:szCs w:val="19"/>
        </w:rPr>
        <w:t xml:space="preserve">Under the cash basis, the revenue would fall in 2026, which is the wrong period. </w:t>
      </w:r>
      <w:r>
        <w:rPr>
          <w:sz w:val="19"/>
          <w:szCs w:val="19"/>
        </w:rPr>
        <w:t xml:space="preserve">The matching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bottling   ·   transactions   ·   classic   ·   T-account   ·   principle   ·   receivable   ·   Depreciation   ·   incurred   ·   Systematic   ·   directly   ·   January   ·   adjustment</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Two of these names are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30–31</w:t>
      </w:r>
    </w:p>
    <w:p>
      <w:pPr>
        <w:spacing w:before="20" w:after="20" w:line="360" w:lineRule="auto"/>
        <w:ind w:left="200"/>
      </w:pPr>
      <w:r>
        <w:rPr>
          <w:sz w:val="19"/>
          <w:szCs w:val="19"/>
        </w:rPr>
        <w:t xml:space="preserve">Cash received in advance is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expense   ·   liability</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prepaid expense   ·   contract liability (unearned revenue)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Systematic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contract liability (unearned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classic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On December 20, 2025, Orontes ships olive oil to GreenBasket Supermarkets and sends an invoice for 90. The goods cost Orontes 54. GreenBasket pays on January 15, 2026. Under the accrual basis, Orontes records the revenue and the cost of goods sold in fiscal 2025, the year it delivered the goods. The gross profit of 36 belongs to 2025.</w:t>
      </w:r>
    </w:p>
    <w:p>
      <w:pPr>
        <w:spacing w:before="20" w:after="20"/>
        <w:ind w:left="240" w:hanging="240"/>
      </w:pPr>
      <w:r>
        <w:rPr>
          <w:b/>
          <w:bCs/>
          <w:color w:val="353A7C"/>
          <w:sz w:val="15"/>
          <w:szCs w:val="15"/>
        </w:rPr>
        <w:t xml:space="preserve">Summary 2   </w:t>
      </w:r>
      <w:r>
        <w:rPr>
          <w:color w:val="6B7280"/>
          <w:sz w:val="15"/>
          <w:szCs w:val="15"/>
        </w:rPr>
        <w:t xml:space="preserve">In January, the cash receipt only changes one asset (the receivable) into another asset (cash). Under the cash basis, the revenue would fall in 2026, which is the wrong period. 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 the United States, the accounting rules are called 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accepted accounting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generally   ·   recognizes   ·   changes   ·   oversees   ·   nongovernmental   ·   report   ·   principles   ·   Securities   ·   writes   ·   organization   ·   authoritative   ·   revenue   ·   organized</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PCAOB 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30–31</w:t>
      </w:r>
    </w:p>
    <w:p>
      <w:pPr>
        <w:spacing w:before="20" w:after="20" w:line="360" w:lineRule="auto"/>
        <w:ind w:left="200"/>
      </w:pPr>
      <w:r>
        <w:rPr>
          <w:sz w:val="19"/>
          <w:szCs w:val="19"/>
        </w:rPr>
        <w:t xml:space="preserve">FASB: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generally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Middle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SEC</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double-entry system</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describes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statement of financial position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disclose</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   6   ·   dividend   ·   4</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Asset   ·   Equity   ·   Transaction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current from noncurrent assets and current from noncurrent liabilities, so users can see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All the amounts come from the same records as the earlier chapters on receivables, inventory, investments and long-lived assets. </w:t>
      </w:r>
      <w:r>
        <w:rPr>
          <w:sz w:val="19"/>
          <w:szCs w:val="19"/>
        </w:rPr>
        <w:t xml:space="preserve">For example, the equity-method investments include Jordan Glass Co. from, and goodwill fell after the impairments.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unexpected   ·   questions   ·   company's   ·   solvency   ·   lenders   ·   equity   ·   current   ·   classified   ·   subtotal   ·   separates   ·   coming   ·   flexibility   ·   short-term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00"/>
            <w:tcMar>
              <w:top w:type="dxa" w:w="50"/>
              <w:left w:type="dxa" w:w="110"/>
              <w:bottom w:type="dxa" w:w="50"/>
              <w:right w:type="dxa" w:w="110"/>
            </w:tcMar>
          </w:tcPr>
          <w:p>
            <w:pPr>
              <w:spacing w:before="28" w:after="28"/>
            </w:pPr>
            <w:r>
              <w:rPr>
                <w:sz w:val="15"/>
                <w:szCs w:val="15"/>
              </w:rPr>
              <w:t xml:space="preserve">ASSETS</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w:t>
            </w:r>
          </w:p>
        </w:tc>
        <w:tc>
          <w:tcPr>
            <w:tcW w:type="pct" w:w="1400"/>
            <w:tcMar>
              <w:top w:type="dxa" w:w="50"/>
              <w:left w:type="dxa" w:w="110"/>
              <w:bottom w:type="dxa" w:w="50"/>
              <w:right w:type="dxa" w:w="110"/>
            </w:tcMar>
          </w:tcPr>
          <w:p>
            <w:pPr>
              <w:spacing w:before="28" w:after="28"/>
            </w:pPr>
            <w:r>
              <w:rPr>
                <w:sz w:val="15"/>
                <w:szCs w:val="15"/>
              </w:rPr>
              <w:t xml:space="preserve">7,302,100</w:t>
            </w:r>
          </w:p>
        </w:tc>
        <w:tc>
          <w:tcPr>
            <w:tcW w:type="pct" w:w="1400"/>
            <w:tcMar>
              <w:top w:type="dxa" w:w="50"/>
              <w:left w:type="dxa" w:w="110"/>
              <w:bottom w:type="dxa" w:w="50"/>
              <w:right w:type="dxa" w:w="110"/>
            </w:tcMar>
          </w:tcPr>
          <w:p>
            <w:pPr>
              <w:spacing w:before="28" w:after="28"/>
            </w:pPr>
            <w:r>
              <w:rPr>
                <w:sz w:val="15"/>
                <w:szCs w:val="15"/>
              </w:rPr>
              <w:t xml:space="preserve">2,100,000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42,000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00"/>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400"/>
            <w:tcMar>
              <w:top w:type="dxa" w:w="50"/>
              <w:left w:type="dxa" w:w="110"/>
              <w:bottom w:type="dxa" w:w="50"/>
              <w:right w:type="dxa" w:w="110"/>
            </w:tcMar>
          </w:tcPr>
          <w:p>
            <w:pPr>
              <w:spacing w:before="28" w:after="28"/>
            </w:pPr>
            <w:r>
              <w:rPr>
                <w:sz w:val="15"/>
                <w:szCs w:val="15"/>
              </w:rPr>
              <w:t xml:space="preserve">4,144,000</w:t>
            </w:r>
          </w:p>
        </w:tc>
        <w:tc>
          <w:tcPr>
            <w:tcW w:type="pct" w:w="1400"/>
            <w:tcMar>
              <w:top w:type="dxa" w:w="50"/>
              <w:left w:type="dxa" w:w="110"/>
              <w:bottom w:type="dxa" w:w="50"/>
              <w:right w:type="dxa" w:w="110"/>
            </w:tcMar>
          </w:tcPr>
          <w:p>
            <w:pPr>
              <w:spacing w:before="28" w:after="28"/>
            </w:pPr>
            <w:r>
              <w:rPr>
                <w:sz w:val="15"/>
                <w:szCs w:val="15"/>
              </w:rPr>
              <w:t xml:space="preserve">3,760,000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Inventory</w:t>
            </w:r>
          </w:p>
        </w:tc>
        <w:tc>
          <w:tcPr>
            <w:tcW w:type="pct" w:w="1400"/>
            <w:shd w:fill="FBFAF6" w:val="clear"/>
            <w:tcMar>
              <w:top w:type="dxa" w:w="50"/>
              <w:left w:type="dxa" w:w="110"/>
              <w:bottom w:type="dxa" w:w="50"/>
              <w:right w:type="dxa" w:w="110"/>
            </w:tcMar>
          </w:tcPr>
          <w:p>
            <w:pPr>
              <w:spacing w:before="28" w:after="28"/>
            </w:pPr>
            <w:r>
              <w:rPr>
                <w:sz w:val="15"/>
                <w:szCs w:val="15"/>
              </w:rPr>
              <w:t xml:space="preserve">2,450,000</w:t>
            </w:r>
          </w:p>
        </w:tc>
        <w:tc>
          <w:tcPr>
            <w:tcW w:type="pct" w:w="1400"/>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0"/>
            <w:tcMar>
              <w:top w:type="dxa" w:w="50"/>
              <w:left w:type="dxa" w:w="110"/>
              <w:bottom w:type="dxa" w:w="50"/>
              <w:right w:type="dxa" w:w="110"/>
            </w:tcMar>
          </w:tcPr>
          <w:p>
            <w:pPr>
              <w:spacing w:before="28" w:after="28"/>
            </w:pPr>
            <w:r>
              <w:rPr>
                <w:sz w:val="15"/>
                <w:szCs w:val="15"/>
              </w:rPr>
              <w:t xml:space="preserve">204,000</w:t>
            </w:r>
          </w:p>
        </w:tc>
        <w:tc>
          <w:tcPr>
            <w:tcW w:type="pct" w:w="1400"/>
            <w:tcMar>
              <w:top w:type="dxa" w:w="50"/>
              <w:left w:type="dxa" w:w="110"/>
              <w:bottom w:type="dxa" w:w="50"/>
              <w:right w:type="dxa" w:w="110"/>
            </w:tcMar>
          </w:tcPr>
          <w:p>
            <w:pPr>
              <w:spacing w:before="28" w:after="28"/>
            </w:pPr>
            <w:r>
              <w:rPr>
                <w:sz w:val="15"/>
                <w:szCs w:val="15"/>
              </w:rPr>
              <w:t xml:space="preserve">180,000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400"/>
            <w:shd w:fill="FBFAF6" w:val="clear"/>
            <w:tcMar>
              <w:top w:type="dxa" w:w="50"/>
              <w:left w:type="dxa" w:w="110"/>
              <w:bottom w:type="dxa" w:w="50"/>
              <w:right w:type="dxa" w:w="110"/>
            </w:tcMar>
          </w:tcPr>
          <w:p>
            <w:pPr>
              <w:spacing w:before="28" w:after="28"/>
            </w:pPr>
            <w:r>
              <w:rPr>
                <w:sz w:val="15"/>
                <w:szCs w:val="15"/>
              </w:rPr>
              <w:t xml:space="preserve">46,000</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current assets</w:t>
            </w:r>
          </w:p>
        </w:tc>
        <w:tc>
          <w:tcPr>
            <w:tcW w:type="pct" w:w="1400"/>
            <w:tcMar>
              <w:top w:type="dxa" w:w="50"/>
              <w:left w:type="dxa" w:w="110"/>
              <w:bottom w:type="dxa" w:w="50"/>
              <w:right w:type="dxa" w:w="110"/>
            </w:tcMar>
          </w:tcPr>
          <w:p>
            <w:pPr>
              <w:spacing w:before="28" w:after="28"/>
            </w:pPr>
            <w:r>
              <w:rPr>
                <w:sz w:val="15"/>
                <w:szCs w:val="15"/>
              </w:rPr>
              <w:t xml:space="preserve">14,188,100</w:t>
            </w:r>
          </w:p>
        </w:tc>
        <w:tc>
          <w:tcPr>
            <w:tcW w:type="pct" w:w="1400"/>
            <w:tcMar>
              <w:top w:type="dxa" w:w="50"/>
              <w:left w:type="dxa" w:w="110"/>
              <w:bottom w:type="dxa" w:w="50"/>
              <w:right w:type="dxa" w:w="110"/>
            </w:tcMar>
          </w:tcPr>
          <w:p>
            <w:pPr>
              <w:spacing w:before="28" w:after="28"/>
            </w:pPr>
            <w:r>
              <w:rPr>
                <w:sz w:val="15"/>
                <w:szCs w:val="15"/>
              </w:rPr>
              <w:t xml:space="preserve">8,380,000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400"/>
            <w:tcMar>
              <w:top w:type="dxa" w:w="50"/>
              <w:left w:type="dxa" w:w="110"/>
              <w:bottom w:type="dxa" w:w="50"/>
              <w:right w:type="dxa" w:w="110"/>
            </w:tcMar>
          </w:tcPr>
          <w:p>
            <w:pPr>
              <w:spacing w:before="28" w:after="28"/>
            </w:pPr>
            <w:r>
              <w:rPr>
                <w:sz w:val="15"/>
                <w:szCs w:val="15"/>
              </w:rPr>
              <w:t xml:space="preserve">88,500</w:t>
            </w:r>
          </w:p>
        </w:tc>
        <w:tc>
          <w:tcPr>
            <w:tcW w:type="pct" w:w="1400"/>
            <w:tcMar>
              <w:top w:type="dxa" w:w="50"/>
              <w:left w:type="dxa" w:w="110"/>
              <w:bottom w:type="dxa" w:w="50"/>
              <w:right w:type="dxa" w:w="110"/>
            </w:tcMar>
          </w:tcPr>
          <w:p>
            <w:pPr>
              <w:spacing w:before="28" w:after="28"/>
            </w:pPr>
            <w:r>
              <w:rPr>
                <w:sz w:val="15"/>
                <w:szCs w:val="15"/>
              </w:rPr>
              <w:t xml:space="preserve">90,000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400"/>
            <w:shd w:fill="FBFAF6" w:val="clear"/>
            <w:tcMar>
              <w:top w:type="dxa" w:w="50"/>
              <w:left w:type="dxa" w:w="110"/>
              <w:bottom w:type="dxa" w:w="50"/>
              <w:right w:type="dxa" w:w="110"/>
            </w:tcMar>
          </w:tcPr>
          <w:p>
            <w:pPr>
              <w:spacing w:before="28" w:after="28"/>
            </w:pPr>
            <w:r>
              <w:rPr>
                <w:sz w:val="15"/>
                <w:szCs w:val="15"/>
              </w:rPr>
              <w:t xml:space="preserve">27,000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00"/>
            <w:tcMar>
              <w:top w:type="dxa" w:w="50"/>
              <w:left w:type="dxa" w:w="110"/>
              <w:bottom w:type="dxa" w:w="50"/>
              <w:right w:type="dxa" w:w="110"/>
            </w:tcMar>
          </w:tcPr>
          <w:p>
            <w:pPr>
              <w:spacing w:before="28" w:after="28"/>
            </w:pPr>
            <w:r>
              <w:rPr>
                <w:sz w:val="15"/>
                <w:szCs w:val="15"/>
              </w:rPr>
              <w:t xml:space="preserve">Equity-method investments</w:t>
            </w:r>
          </w:p>
        </w:tc>
        <w:tc>
          <w:tcPr>
            <w:tcW w:type="pct" w:w="1400"/>
            <w:tcMar>
              <w:top w:type="dxa" w:w="50"/>
              <w:left w:type="dxa" w:w="110"/>
              <w:bottom w:type="dxa" w:w="50"/>
              <w:right w:type="dxa" w:w="110"/>
            </w:tcMar>
          </w:tcPr>
          <w:p>
            <w:pPr>
              <w:spacing w:before="28" w:after="28"/>
            </w:pPr>
            <w:r>
              <w:rPr>
                <w:sz w:val="15"/>
                <w:szCs w:val="15"/>
              </w:rPr>
              <w:t xml:space="preserve">1,807,000</w:t>
            </w:r>
          </w:p>
        </w:tc>
        <w:tc>
          <w:tcPr>
            <w:tcW w:type="pct" w:w="1400"/>
            <w:tcMar>
              <w:top w:type="dxa" w:w="50"/>
              <w:left w:type="dxa" w:w="110"/>
              <w:bottom w:type="dxa" w:w="50"/>
              <w:right w:type="dxa" w:w="110"/>
            </w:tcMar>
          </w:tcPr>
          <w:p>
            <w:pPr>
              <w:spacing w:before="28" w:after="28"/>
            </w:pPr>
            <w:r>
              <w:rPr>
                <w:sz w:val="15"/>
                <w:szCs w:val="15"/>
              </w:rPr>
              <w:t xml:space="preserve">500,000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(2025: 11,988,000; 2024: 8,000,000)</w:t>
            </w:r>
          </w:p>
        </w:tc>
        <w:tc>
          <w:tcPr>
            <w:tcW w:type="pct" w:w="1400"/>
            <w:shd w:fill="FBFAF6" w:val="clear"/>
            <w:tcMar>
              <w:top w:type="dxa" w:w="50"/>
              <w:left w:type="dxa" w:w="110"/>
              <w:bottom w:type="dxa" w:w="50"/>
              <w:right w:type="dxa" w:w="110"/>
            </w:tcMar>
          </w:tcPr>
          <w:p>
            <w:pPr>
              <w:spacing w:before="28" w:after="28"/>
            </w:pPr>
            <w:r>
              <w:rPr>
                <w:sz w:val="15"/>
                <w:szCs w:val="15"/>
              </w:rPr>
              <w:t xml:space="preserve">14,802,000</w:t>
            </w:r>
          </w:p>
        </w:tc>
        <w:tc>
          <w:tcPr>
            <w:tcW w:type="pct" w:w="1400"/>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0"/>
            <w:tcMar>
              <w:top w:type="dxa" w:w="50"/>
              <w:left w:type="dxa" w:w="110"/>
              <w:bottom w:type="dxa" w:w="50"/>
              <w:right w:type="dxa" w:w="110"/>
            </w:tcMar>
          </w:tcPr>
          <w:p>
            <w:pPr>
              <w:spacing w:before="28" w:after="28"/>
            </w:pPr>
            <w:r>
              <w:rPr>
                <w:sz w:val="15"/>
                <w:szCs w:val="15"/>
              </w:rPr>
              <w:t xml:space="preserve">260,000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Goodwill</w:t>
            </w:r>
          </w:p>
        </w:tc>
        <w:tc>
          <w:tcPr>
            <w:tcW w:type="pct" w:w="1400"/>
            <w:shd w:fill="FBFAF6" w:val="clear"/>
            <w:tcMar>
              <w:top w:type="dxa" w:w="50"/>
              <w:left w:type="dxa" w:w="110"/>
              <w:bottom w:type="dxa" w:w="50"/>
              <w:right w:type="dxa" w:w="110"/>
            </w:tcMar>
          </w:tcPr>
          <w:p>
            <w:pPr>
              <w:spacing w:before="28" w:after="28"/>
            </w:pPr>
            <w:r>
              <w:rPr>
                <w:sz w:val="15"/>
                <w:szCs w:val="15"/>
              </w:rPr>
              <w:t xml:space="preserve">300,000</w:t>
            </w:r>
          </w:p>
        </w:tc>
        <w:tc>
          <w:tcPr>
            <w:tcW w:type="pct" w:w="1400"/>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00"/>
            <w:tcMar>
              <w:top w:type="dxa" w:w="50"/>
              <w:left w:type="dxa" w:w="110"/>
              <w:bottom w:type="dxa" w:w="50"/>
              <w:right w:type="dxa" w:w="110"/>
            </w:tcMar>
          </w:tcPr>
          <w:p>
            <w:pPr>
              <w:spacing w:before="28" w:after="28"/>
            </w:pPr>
            <w:r>
              <w:rPr>
                <w:sz w:val="15"/>
                <w:szCs w:val="15"/>
              </w:rPr>
              <w:t xml:space="preserve">Other noncurrent assets</w:t>
            </w:r>
          </w:p>
        </w:tc>
        <w:tc>
          <w:tcPr>
            <w:tcW w:type="pct" w:w="1400"/>
            <w:tcMar>
              <w:top w:type="dxa" w:w="50"/>
              <w:left w:type="dxa" w:w="110"/>
              <w:bottom w:type="dxa" w:w="50"/>
              <w:right w:type="dxa" w:w="110"/>
            </w:tcMar>
          </w:tcPr>
          <w:p>
            <w:pPr>
              <w:spacing w:before="28" w:after="28"/>
            </w:pPr>
            <w:r>
              <w:rPr>
                <w:sz w:val="15"/>
                <w:szCs w:val="15"/>
              </w:rPr>
              <w:t xml:space="preserve">200,000</w:t>
            </w:r>
          </w:p>
        </w:tc>
        <w:tc>
          <w:tcPr>
            <w:tcW w:type="pct" w:w="1400"/>
            <w:tcMar>
              <w:top w:type="dxa" w:w="50"/>
              <w:left w:type="dxa" w:w="110"/>
              <w:bottom w:type="dxa" w:w="50"/>
              <w:right w:type="dxa" w:w="110"/>
            </w:tcMar>
          </w:tcPr>
          <w:p>
            <w:pPr>
              <w:spacing w:before="28" w:after="28"/>
            </w:pPr>
            <w:r>
              <w:rPr>
                <w:sz w:val="15"/>
                <w:szCs w:val="15"/>
              </w:rPr>
              <w:t xml:space="preserve">200,000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00"/>
            <w:tcMar>
              <w:top w:type="dxa" w:w="50"/>
              <w:left w:type="dxa" w:w="110"/>
              <w:bottom w:type="dxa" w:w="50"/>
              <w:right w:type="dxa" w:w="110"/>
            </w:tcMar>
          </w:tcPr>
          <w:p>
            <w:pPr>
              <w:spacing w:before="28" w:after="28"/>
            </w:pPr>
            <w:r>
              <w:rPr>
                <w:sz w:val="15"/>
                <w:szCs w:val="15"/>
              </w:rPr>
              <w:t xml:space="preserve">LIABILITIES AND STOCKHOLDERS' EQUITY</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0"/>
            <w:tcMar>
              <w:top w:type="dxa" w:w="50"/>
              <w:left w:type="dxa" w:w="110"/>
              <w:bottom w:type="dxa" w:w="50"/>
              <w:right w:type="dxa" w:w="110"/>
            </w:tcMar>
          </w:tcPr>
          <w:p>
            <w:pPr>
              <w:spacing w:before="28" w:after="28"/>
            </w:pPr>
            <w:r>
              <w:rPr>
                <w:sz w:val="15"/>
                <w:szCs w:val="15"/>
              </w:rPr>
              <w:t xml:space="preserve">2,050,000</w:t>
            </w:r>
          </w:p>
        </w:tc>
        <w:tc>
          <w:tcPr>
            <w:tcW w:type="pct" w:w="1400"/>
            <w:tcMar>
              <w:top w:type="dxa" w:w="50"/>
              <w:left w:type="dxa" w:w="110"/>
              <w:bottom w:type="dxa" w:w="50"/>
              <w:right w:type="dxa" w:w="110"/>
            </w:tcMar>
          </w:tcPr>
          <w:p>
            <w:pPr>
              <w:spacing w:before="28" w:after="28"/>
            </w:pPr>
            <w:r>
              <w:rPr>
                <w:sz w:val="15"/>
                <w:szCs w:val="15"/>
              </w:rPr>
              <w:t xml:space="preserve">1,900,000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900,000</w:t>
            </w:r>
          </w:p>
        </w:tc>
        <w:tc>
          <w:tcPr>
            <w:tcW w:type="pct" w:w="1400"/>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00"/>
            <w:tcMar>
              <w:top w:type="dxa" w:w="50"/>
              <w:left w:type="dxa" w:w="110"/>
              <w:bottom w:type="dxa" w:w="50"/>
              <w:right w:type="dxa" w:w="110"/>
            </w:tcMar>
          </w:tcPr>
          <w:p>
            <w:pPr>
              <w:spacing w:before="28" w:after="28"/>
            </w:pPr>
            <w:r>
              <w:rPr>
                <w:sz w:val="15"/>
                <w:szCs w:val="15"/>
              </w:rPr>
              <w:t xml:space="preserve">Income taxes payable</w:t>
            </w:r>
          </w:p>
        </w:tc>
        <w:tc>
          <w:tcPr>
            <w:tcW w:type="pct" w:w="1400"/>
            <w:tcMar>
              <w:top w:type="dxa" w:w="50"/>
              <w:left w:type="dxa" w:w="110"/>
              <w:bottom w:type="dxa" w:w="50"/>
              <w:right w:type="dxa" w:w="110"/>
            </w:tcMar>
          </w:tcPr>
          <w:p>
            <w:pPr>
              <w:spacing w:before="28" w:after="28"/>
            </w:pPr>
            <w:r>
              <w:rPr>
                <w:sz w:val="15"/>
                <w:szCs w:val="15"/>
              </w:rPr>
              <w:t xml:space="preserve">350,000</w:t>
            </w:r>
          </w:p>
        </w:tc>
        <w:tc>
          <w:tcPr>
            <w:tcW w:type="pct" w:w="1400"/>
            <w:tcMar>
              <w:top w:type="dxa" w:w="50"/>
              <w:left w:type="dxa" w:w="110"/>
              <w:bottom w:type="dxa" w:w="50"/>
              <w:right w:type="dxa" w:w="110"/>
            </w:tcMar>
          </w:tcPr>
          <w:p>
            <w:pPr>
              <w:spacing w:before="28" w:after="28"/>
            </w:pPr>
            <w:r>
              <w:rPr>
                <w:sz w:val="15"/>
                <w:szCs w:val="15"/>
              </w:rPr>
              <w:t xml:space="preserve">300,000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180,000</w:t>
            </w:r>
          </w:p>
        </w:tc>
        <w:tc>
          <w:tcPr>
            <w:tcW w:type="pct" w:w="1400"/>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00"/>
            <w:tcMar>
              <w:top w:type="dxa" w:w="50"/>
              <w:left w:type="dxa" w:w="110"/>
              <w:bottom w:type="dxa" w:w="50"/>
              <w:right w:type="dxa" w:w="110"/>
            </w:tcMar>
          </w:tcPr>
          <w:p>
            <w:pPr>
              <w:spacing w:before="28" w:after="28"/>
            </w:pPr>
            <w:r>
              <w:rPr>
                <w:sz w:val="15"/>
                <w:szCs w:val="15"/>
              </w:rPr>
              <w:t xml:space="preserve">Dividends payable</w:t>
            </w:r>
          </w:p>
        </w:tc>
        <w:tc>
          <w:tcPr>
            <w:tcW w:type="pct" w:w="1400"/>
            <w:tcMar>
              <w:top w:type="dxa" w:w="50"/>
              <w:left w:type="dxa" w:w="110"/>
              <w:bottom w:type="dxa" w:w="50"/>
              <w:right w:type="dxa" w:w="110"/>
            </w:tcMar>
          </w:tcPr>
          <w:p>
            <w:pPr>
              <w:spacing w:before="28" w:after="28"/>
            </w:pPr>
            <w:r>
              <w:rPr>
                <w:sz w:val="15"/>
                <w:szCs w:val="15"/>
              </w:rPr>
              <w:t xml:space="preserve">400,000</w:t>
            </w:r>
          </w:p>
        </w:tc>
        <w:tc>
          <w:tcPr>
            <w:tcW w:type="pct" w:w="1400"/>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00"/>
            <w:tcMar>
              <w:top w:type="dxa" w:w="50"/>
              <w:left w:type="dxa" w:w="110"/>
              <w:bottom w:type="dxa" w:w="50"/>
              <w:right w:type="dxa" w:w="110"/>
            </w:tcMar>
          </w:tcPr>
          <w:p>
            <w:pPr>
              <w:spacing w:before="28" w:after="28"/>
            </w:pPr>
            <w:r>
              <w:rPr>
                <w:sz w:val="15"/>
                <w:szCs w:val="15"/>
              </w:rPr>
              <w:t xml:space="preserve">Total current liabilities</w:t>
            </w:r>
          </w:p>
        </w:tc>
        <w:tc>
          <w:tcPr>
            <w:tcW w:type="pct" w:w="1400"/>
            <w:tcMar>
              <w:top w:type="dxa" w:w="50"/>
              <w:left w:type="dxa" w:w="110"/>
              <w:bottom w:type="dxa" w:w="50"/>
              <w:right w:type="dxa" w:w="110"/>
            </w:tcMar>
          </w:tcPr>
          <w:p>
            <w:pPr>
              <w:spacing w:before="28" w:after="28"/>
            </w:pPr>
            <w:r>
              <w:rPr>
                <w:sz w:val="15"/>
                <w:szCs w:val="15"/>
              </w:rPr>
              <w:t xml:space="preserve">4,280,000</w:t>
            </w:r>
          </w:p>
        </w:tc>
        <w:tc>
          <w:tcPr>
            <w:tcW w:type="pct" w:w="1400"/>
            <w:tcMar>
              <w:top w:type="dxa" w:w="50"/>
              <w:left w:type="dxa" w:w="110"/>
              <w:bottom w:type="dxa" w:w="50"/>
              <w:right w:type="dxa" w:w="110"/>
            </w:tcMar>
          </w:tcPr>
          <w:p>
            <w:pPr>
              <w:spacing w:before="28" w:after="28"/>
            </w:pPr>
            <w:r>
              <w:rPr>
                <w:sz w:val="15"/>
                <w:szCs w:val="15"/>
              </w:rPr>
              <w:t xml:space="preserve">3,570,000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0"/>
            <w:shd w:fill="FBFAF6" w:val="clear"/>
            <w:tcMar>
              <w:top w:type="dxa" w:w="50"/>
              <w:left w:type="dxa" w:w="110"/>
              <w:bottom w:type="dxa" w:w="50"/>
              <w:right w:type="dxa" w:w="110"/>
            </w:tcMar>
          </w:tcPr>
          <w:p>
            <w:pPr>
              <w:spacing w:before="28" w:after="28"/>
            </w:pPr>
            <w:r>
              <w:rPr>
                <w:sz w:val="15"/>
                <w:szCs w:val="15"/>
              </w:rPr>
              <w:t xml:space="preserve">6,000,000</w:t>
            </w:r>
          </w:p>
        </w:tc>
        <w:tc>
          <w:tcPr>
            <w:tcW w:type="pct" w:w="1400"/>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00"/>
            <w:tcMar>
              <w:top w:type="dxa" w:w="50"/>
              <w:left w:type="dxa" w:w="110"/>
              <w:bottom w:type="dxa" w:w="50"/>
              <w:right w:type="dxa" w:w="110"/>
            </w:tcMar>
          </w:tcPr>
          <w:p>
            <w:pPr>
              <w:spacing w:before="28" w:after="28"/>
            </w:pPr>
            <w:r>
              <w:rPr>
                <w:sz w:val="15"/>
                <w:szCs w:val="15"/>
              </w:rPr>
              <w:t xml:space="preserve">Deferred tax liability</w:t>
            </w:r>
          </w:p>
        </w:tc>
        <w:tc>
          <w:tcPr>
            <w:tcW w:type="pct" w:w="1400"/>
            <w:tcMar>
              <w:top w:type="dxa" w:w="50"/>
              <w:left w:type="dxa" w:w="110"/>
              <w:bottom w:type="dxa" w:w="50"/>
              <w:right w:type="dxa" w:w="110"/>
            </w:tcMar>
          </w:tcPr>
          <w:p>
            <w:pPr>
              <w:spacing w:before="28" w:after="28"/>
            </w:pPr>
            <w:r>
              <w:rPr>
                <w:sz w:val="15"/>
                <w:szCs w:val="15"/>
              </w:rPr>
              <w:t xml:space="preserve">999,625</w:t>
            </w:r>
          </w:p>
        </w:tc>
        <w:tc>
          <w:tcPr>
            <w:tcW w:type="pct" w:w="1400"/>
            <w:tcMar>
              <w:top w:type="dxa" w:w="50"/>
              <w:left w:type="dxa" w:w="110"/>
              <w:bottom w:type="dxa" w:w="50"/>
              <w:right w:type="dxa" w:w="110"/>
            </w:tcMar>
          </w:tcPr>
          <w:p>
            <w:pPr>
              <w:spacing w:before="28" w:after="28"/>
            </w:pPr>
            <w:r>
              <w:rPr>
                <w:sz w:val="15"/>
                <w:szCs w:val="15"/>
              </w:rPr>
              <w:t xml:space="preserve">900,000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400"/>
            <w:shd w:fill="FBFAF6" w:val="clear"/>
            <w:tcMar>
              <w:top w:type="dxa" w:w="50"/>
              <w:left w:type="dxa" w:w="110"/>
              <w:bottom w:type="dxa" w:w="50"/>
              <w:right w:type="dxa" w:w="110"/>
            </w:tcMar>
          </w:tcPr>
          <w:p>
            <w:pPr>
              <w:spacing w:before="28" w:after="28"/>
            </w:pPr>
            <w:r>
              <w:rPr>
                <w:sz w:val="15"/>
                <w:szCs w:val="15"/>
              </w:rPr>
              <w:t xml:space="preserve">11,279,625</w:t>
            </w:r>
          </w:p>
        </w:tc>
        <w:tc>
          <w:tcPr>
            <w:tcW w:type="pct" w:w="1400"/>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0"/>
            <w:tcMar>
              <w:top w:type="dxa" w:w="50"/>
              <w:left w:type="dxa" w:w="110"/>
              <w:bottom w:type="dxa" w:w="50"/>
              <w:right w:type="dxa" w:w="110"/>
            </w:tcMar>
          </w:tcPr>
          <w:p>
            <w:pPr>
              <w:spacing w:before="28" w:after="28"/>
            </w:pPr>
            <w:r>
              <w:rPr>
                <w:sz w:val="15"/>
                <w:szCs w:val="15"/>
              </w:rPr>
              <w:t xml:space="preserve"> </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2025 8,100,000, 2024 8,000,000</w:t>
            </w:r>
          </w:p>
        </w:tc>
        <w:tc>
          <w:tcPr>
            <w:tcW w:type="pct" w:w="1400"/>
            <w:tcMar>
              <w:top w:type="dxa" w:w="50"/>
              <w:left w:type="dxa" w:w="110"/>
              <w:bottom w:type="dxa" w:w="50"/>
              <w:right w:type="dxa" w:w="110"/>
            </w:tcMar>
          </w:tcPr>
          <w:p>
            <w:pPr>
              <w:spacing w:before="28" w:after="28"/>
            </w:pPr>
            <w:r>
              <w:rPr>
                <w:sz w:val="15"/>
                <w:szCs w:val="15"/>
              </w:rPr>
              <w:t xml:space="preserve">8,100,000</w:t>
            </w:r>
          </w:p>
        </w:tc>
        <w:tc>
          <w:tcPr>
            <w:tcW w:type="pct" w:w="1400"/>
            <w:tcMar>
              <w:top w:type="dxa" w:w="50"/>
              <w:left w:type="dxa" w:w="110"/>
              <w:bottom w:type="dxa" w:w="50"/>
              <w:right w:type="dxa" w:w="110"/>
            </w:tcMar>
          </w:tcPr>
          <w:p>
            <w:pPr>
              <w:spacing w:before="28" w:after="28"/>
            </w:pPr>
            <w:r>
              <w:rPr>
                <w:sz w:val="15"/>
                <w:szCs w:val="15"/>
              </w:rPr>
              <w:t xml:space="preserve">8,000,000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400"/>
            <w:shd w:fill="FBFAF6" w:val="clear"/>
            <w:tcMar>
              <w:top w:type="dxa" w:w="50"/>
              <w:left w:type="dxa" w:w="110"/>
              <w:bottom w:type="dxa" w:w="50"/>
              <w:right w:type="dxa" w:w="110"/>
            </w:tcMar>
          </w:tcPr>
          <w:p>
            <w:pPr>
              <w:spacing w:before="28" w:after="28"/>
            </w:pPr>
            <w:r>
              <w:rPr>
                <w:sz w:val="15"/>
                <w:szCs w:val="15"/>
              </w:rPr>
              <w:t xml:space="preserve">5,400,000</w:t>
            </w:r>
          </w:p>
        </w:tc>
        <w:tc>
          <w:tcPr>
            <w:tcW w:type="pct" w:w="1400"/>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00"/>
            <w:tcMar>
              <w:top w:type="dxa" w:w="50"/>
              <w:left w:type="dxa" w:w="110"/>
              <w:bottom w:type="dxa" w:w="50"/>
              <w:right w:type="dxa" w:w="110"/>
            </w:tcMar>
          </w:tcPr>
          <w:p>
            <w:pPr>
              <w:spacing w:before="28" w:after="28"/>
            </w:pPr>
            <w:r>
              <w:rPr>
                <w:sz w:val="15"/>
                <w:szCs w:val="15"/>
              </w:rPr>
              <w:t xml:space="preserve">Retained earnings</w:t>
            </w:r>
          </w:p>
        </w:tc>
        <w:tc>
          <w:tcPr>
            <w:tcW w:type="pct" w:w="1400"/>
            <w:tcMar>
              <w:top w:type="dxa" w:w="50"/>
              <w:left w:type="dxa" w:w="110"/>
              <w:bottom w:type="dxa" w:w="50"/>
              <w:right w:type="dxa" w:w="110"/>
            </w:tcMar>
          </w:tcPr>
          <w:p>
            <w:pPr>
              <w:spacing w:before="28" w:after="28"/>
            </w:pPr>
            <w:r>
              <w:rPr>
                <w:sz w:val="15"/>
                <w:szCs w:val="15"/>
              </w:rPr>
              <w:t xml:space="preserve">6,894,100</w:t>
            </w:r>
          </w:p>
        </w:tc>
        <w:tc>
          <w:tcPr>
            <w:tcW w:type="pct" w:w="1400"/>
            <w:tcMar>
              <w:top w:type="dxa" w:w="50"/>
              <w:left w:type="dxa" w:w="110"/>
              <w:bottom w:type="dxa" w:w="50"/>
              <w:right w:type="dxa" w:w="110"/>
            </w:tcMar>
          </w:tcPr>
          <w:p>
            <w:pPr>
              <w:spacing w:before="28" w:after="28"/>
            </w:pPr>
            <w:r>
              <w:rPr>
                <w:sz w:val="15"/>
                <w:szCs w:val="15"/>
              </w:rPr>
              <w:t xml:space="preserve">4,375,000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400"/>
            <w:shd w:fill="FBFAF6" w:val="clear"/>
            <w:tcMar>
              <w:top w:type="dxa" w:w="50"/>
              <w:left w:type="dxa" w:w="110"/>
              <w:bottom w:type="dxa" w:w="50"/>
              <w:right w:type="dxa" w:w="110"/>
            </w:tcMar>
          </w:tcPr>
          <w:p>
            <w:pPr>
              <w:spacing w:before="28" w:after="28"/>
            </w:pPr>
            <w:r>
              <w:rPr>
                <w:sz w:val="15"/>
                <w:szCs w:val="15"/>
              </w:rPr>
              <w:t xml:space="preserve">(1,125)</w:t>
            </w:r>
          </w:p>
        </w:tc>
        <w:tc>
          <w:tcPr>
            <w:tcW w:type="pct" w:w="140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Total stockholders' equity</w:t>
            </w:r>
          </w:p>
        </w:tc>
        <w:tc>
          <w:tcPr>
            <w:tcW w:type="pct" w:w="1400"/>
            <w:tcMar>
              <w:top w:type="dxa" w:w="50"/>
              <w:left w:type="dxa" w:w="110"/>
              <w:bottom w:type="dxa" w:w="50"/>
              <w:right w:type="dxa" w:w="110"/>
            </w:tcMar>
          </w:tcPr>
          <w:p>
            <w:pPr>
              <w:spacing w:before="28" w:after="28"/>
            </w:pPr>
            <w:r>
              <w:rPr>
                <w:sz w:val="15"/>
                <w:szCs w:val="15"/>
              </w:rPr>
              <w:t xml:space="preserve">20,392,975</w:t>
            </w:r>
          </w:p>
        </w:tc>
        <w:tc>
          <w:tcPr>
            <w:tcW w:type="pct" w:w="1400"/>
            <w:tcMar>
              <w:top w:type="dxa" w:w="50"/>
              <w:left w:type="dxa" w:w="110"/>
              <w:bottom w:type="dxa" w:w="50"/>
              <w:right w:type="dxa" w:w="110"/>
            </w:tcMar>
          </w:tcPr>
          <w:p>
            <w:pPr>
              <w:spacing w:before="28" w:after="28"/>
            </w:pPr>
            <w:r>
              <w:rPr>
                <w:sz w:val="15"/>
                <w:szCs w:val="15"/>
              </w:rPr>
              <w:t xml:space="preserve">16,375,000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400"/>
            <w:shd w:fill="FBFAF6" w:val="clear"/>
            <w:tcMar>
              <w:top w:type="dxa" w:w="50"/>
              <w:left w:type="dxa" w:w="110"/>
              <w:bottom w:type="dxa" w:w="50"/>
              <w:right w:type="dxa" w:w="110"/>
            </w:tcMar>
          </w:tcPr>
          <w:p>
            <w:pPr>
              <w:spacing w:before="28" w:after="28"/>
            </w:pPr>
            <w:r>
              <w:rPr>
                <w:sz w:val="15"/>
                <w:szCs w:val="15"/>
              </w:rPr>
              <w:t xml:space="preserve">31,672,600</w:t>
            </w:r>
          </w:p>
        </w:tc>
        <w:tc>
          <w:tcPr>
            <w:tcW w:type="pct" w:w="1400"/>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Equity-method investments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25–30</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property, plant and equipment,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assets. </w:t>
      </w:r>
      <w:r>
        <w:rPr>
          <w:sz w:val="19"/>
          <w:szCs w:val="19"/>
        </w:rPr>
        <w:t xml:space="preserve"/>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liquidity   ·   intangible   ·   depreciation   ·   Liabilities   ·   Current   ·   investments   ·   contingencies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subtotal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 All the amounts come from the same records as the earlier chapters on receivables, inventory, investments and long-lived assets. For example, the equity-method investments include Jordan Glass Co. from, and goodwill fell after the impairments.</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It takes about 32 days to sell 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34 days to collect from customers: 66 days in total.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cycle is shorter than a year, Orontes uses one year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its items. </w:t>
      </w:r>
      <w:r>
        <w:rPr>
          <w:sz w:val="19"/>
          <w:szCs w:val="19"/>
        </w:rPr>
        <w:t xml:space="preserve">Some assets that look current are not.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noncurrent   ·   investments   ·   classify   ·   obligations   ·   collecting   ·   creating   ·   Working   ·   whichever   ·   Restricted   ·   prepayments   ·   inventory   ·   Because</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On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side, current portion of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is current, because that part of the principal is due within a year. </w:t>
      </w:r>
      <w:r>
        <w:rPr>
          <w:sz w:val="19"/>
          <w:szCs w:val="19"/>
        </w:rPr>
        <w:t xml:space="preserve">Two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come directly from these totals. </w:t>
      </w: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long-term   ·   analyzes   ·   liability   ·   solvency   ·   divided   ·   measures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20–23</w:t>
      </w:r>
    </w:p>
    <w:p>
      <w:pPr>
        <w:spacing w:before="20" w:after="20" w:line="360" w:lineRule="auto"/>
        <w:ind w:left="200"/>
      </w:pPr>
      <w:r>
        <w:rPr>
          <w:sz w:val="19"/>
          <w:szCs w:val="19"/>
        </w:rPr>
        <w:t xml:space="preserve">Paying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measures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24–29</w:t>
      </w:r>
    </w:p>
    <w:p>
      <w:pPr>
        <w:spacing w:before="20" w:after="20" w:line="360" w:lineRule="auto"/>
        <w:ind w:left="200"/>
      </w:pPr>
      <w:r>
        <w:rPr>
          <w:sz w:val="19"/>
          <w:szCs w:val="19"/>
        </w:rPr>
        <w:t xml:space="preserve">Next year's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operating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p>
      <w:pPr>
        <w:spacing w:before="20" w:after="20" w:line="360" w:lineRule="auto"/>
        <w:ind w:left="200"/>
      </w:pPr>
      <w:r>
        <w:rPr>
          <w:sz w:val="19"/>
          <w:szCs w:val="19"/>
        </w:rPr>
        <w:t xml:space="preserve">The first two are done. Classify the other four and give a reason.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operating cycle   ·   current assets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operating cycle   ·   current liabilities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Orontes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It takes about 32 days to sell its inventory and 34 days to collect from customers: 66 days in total. Because the cycle is shorter than a year, Orontes uses one year to classify its items. Some assets that look current are not. Restricted cash set aside to repay long-term debt or to build a plant is noncurrent. So are long-term investments, receivables that will not be collected within the period, the cash surrender value of life insurance, and long-term prepayments.</w:t>
      </w:r>
    </w:p>
    <w:p>
      <w:pPr>
        <w:spacing w:before="20" w:after="20"/>
        <w:ind w:left="240" w:hanging="240"/>
      </w:pPr>
      <w:r>
        <w:rPr>
          <w:b/>
          <w:bCs/>
          <w:color w:val="353A7C"/>
          <w:sz w:val="15"/>
          <w:szCs w:val="15"/>
        </w:rPr>
        <w:t xml:space="preserve">Summary 2   </w:t>
      </w:r>
      <w:r>
        <w:rPr>
          <w:color w:val="6B7280"/>
          <w:sz w:val="15"/>
          <w:szCs w:val="15"/>
        </w:rPr>
        <w:t xml:space="preserve">On the liability side, current portion of long-term debt is current, because that part of the principal is due within a year. Two measures come directly from these totals. 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signing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refinancing, but only if the company intends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long-term debt or shares after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date but before the statements are issued, or by signing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counts   ·   Short-term   ·   refinance   ·   current   ·   through   ·   waiver   ·   issuing   ·   balance   ·   intends   ·   settlement   ·   qualifying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2"/>
        <w:gridCol w:w="29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287"/>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513"/>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287"/>
            <w:tcMar>
              <w:top w:type="dxa" w:w="50"/>
              <w:left w:type="dxa" w:w="110"/>
              <w:bottom w:type="dxa" w:w="50"/>
              <w:right w:type="dxa" w:w="110"/>
            </w:tcMar>
          </w:tcPr>
          <w:p>
            <w:pPr>
              <w:spacing w:before="28" w:after="28"/>
            </w:pPr>
            <w:r>
              <w:rPr>
                <w:sz w:val="15"/>
                <w:szCs w:val="15"/>
              </w:rPr>
              <w:t xml:space="preserve">Noncurrent (intent and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ability)</w:t>
            </w:r>
          </w:p>
        </w:tc>
        <w:tc>
          <w:tcPr>
            <w:tcW w:type="pct" w:w="1513"/>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w:t>
            </w:r>
          </w:p>
        </w:tc>
        <w:tc>
          <w:tcPr>
            <w:tcW w:type="pct" w:w="1513"/>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287"/>
            <w:tcMar>
              <w:top w:type="dxa" w:w="50"/>
              <w:left w:type="dxa" w:w="110"/>
              <w:bottom w:type="dxa" w:w="50"/>
              <w:right w:type="dxa" w:w="110"/>
            </w:tcMar>
          </w:tcPr>
          <w:p>
            <w:pPr>
              <w:spacing w:before="28" w:after="28"/>
            </w:pPr>
            <w:r>
              <w:rPr>
                <w:sz w:val="15"/>
                <w:szCs w:val="15"/>
              </w:rPr>
              <w:t xml:space="preserve">Noncurrent</w:t>
            </w:r>
          </w:p>
        </w:tc>
        <w:tc>
          <w:tcPr>
            <w:tcW w:type="pct" w:w="1513"/>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287"/>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513"/>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287"/>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513"/>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287"/>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513"/>
            <w:shd w:fill="FFFFFF" w:val="clear"/>
            <w:tcMar>
              <w:top w:type="dxa" w:w="50"/>
              <w:left w:type="dxa" w:w="110"/>
              <w:bottom w:type="dxa" w:w="50"/>
              <w:right w:type="dxa" w:w="110"/>
            </w:tcMar>
          </w:tcPr>
          <w:p>
            <w:pPr>
              <w:spacing w:before="46" w:after="46"/>
            </w:pPr>
            <w:r>
              <w:rPr>
                <w:b/>
                <w:bCs/>
                <w:color w:val="8186EF"/>
                <w:sz w:val="14"/>
                <w:szCs w:val="14"/>
              </w:rPr>
              <w:t xml:space="preserve">(24)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demonstrated   ·   All non-current   ·   working capital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25–26</w:t>
      </w:r>
    </w:p>
    <w:p>
      <w:pPr>
        <w:spacing w:before="20" w:after="20" w:line="360" w:lineRule="auto"/>
        <w:ind w:left="200"/>
      </w:pPr>
      <w:r>
        <w:rPr>
          <w:sz w:val="19"/>
          <w:szCs w:val="19"/>
        </w:rPr>
        <w:t xml:space="preserve">The FASB proposed a simpler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27–28</w:t>
      </w:r>
    </w:p>
    <w:p>
      <w:pPr>
        <w:spacing w:before="20" w:after="20" w:line="360" w:lineRule="auto"/>
        <w:ind w:left="200"/>
      </w:pPr>
      <w:r>
        <w:rPr>
          <w:sz w:val="19"/>
          <w:szCs w:val="19"/>
        </w:rPr>
        <w:t xml:space="preserve">Refinanced after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demonstrated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subjective acceleration clause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refinance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liquidity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contingency   ·   liability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reasonably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In U.S. GAAP answers, use allowance for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accrued liability or loss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contingency   ·   contra-assets   ·   reserve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cycle   ·   subsequent events   ·   right of setoff</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right of setoff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subsequent 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In U.S. GAAP answers, use allowance for contra-assets, accrued liability or loss contingency for liabilities, and never call either a reserve.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improve   ·   estimates   ·   valuation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The net change in cash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cash flows explains the change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missing   ·   Orontes's   ·   balance-sheet   ·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Total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compare</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Cash surrender value</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400"/>
            <w:tcMar>
              <w:top w:type="dxa" w:w="50"/>
              <w:left w:type="dxa" w:w="110"/>
              <w:bottom w:type="dxa" w:w="50"/>
              <w:right w:type="dxa" w:w="110"/>
            </w:tcMar>
          </w:tcPr>
          <w:p>
            <w:pPr>
              <w:spacing w:before="28" w:after="28"/>
            </w:pPr>
            <w:r>
              <w:rPr>
                <w:sz w:val="15"/>
                <w:szCs w:val="15"/>
              </w:rPr>
              <w:t xml:space="preserve">Deferred tax asset</w:t>
            </w:r>
          </w:p>
        </w:tc>
        <w:tc>
          <w:tcPr>
            <w:tcW w:type="pct" w:w="2600"/>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00"/>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callable debt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M1   ·   Equity</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income statement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earnings   ·   profitable   ·   usually   ·   Managers   ·   competitors   ·   result   ·   Investors   ·   Lenders   ·   photograph</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All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come from the same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the balance sheet. </w:t>
      </w:r>
      <w:r>
        <w:rPr>
          <w:sz w:val="19"/>
          <w:szCs w:val="19"/>
        </w:rPr>
        <w:t xml:space="preserve">For example,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losses are the ones you calculated in, and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comes. </w:t>
      </w:r>
      <w:r>
        <w:rPr>
          <w:sz w:val="19"/>
          <w:szCs w:val="19"/>
        </w:rPr>
        <w:t xml:space="preserve">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form is simpler to read, but it hides useful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multi-step form tells a reader that Orontes's main business earned $4,176,000 before interest and tax, and that other items reduced this by a net $217,200.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information   ·   single-step   ·   usually   ·   equity-method   ·   impairment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42,000,000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400"/>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14,700,000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(7,237,000)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00"/>
            <w:tcMar>
              <w:top w:type="dxa" w:w="50"/>
              <w:left w:type="dxa" w:w="110"/>
              <w:bottom w:type="dxa" w:w="50"/>
              <w:right w:type="dxa" w:w="110"/>
            </w:tcMar>
          </w:tcPr>
          <w:p>
            <w:pPr>
              <w:spacing w:before="28" w:after="28"/>
            </w:pPr>
            <w:r>
              <w:rPr>
                <w:sz w:val="15"/>
                <w:szCs w:val="15"/>
              </w:rPr>
              <w:t xml:space="preserve">Research and development</w:t>
            </w:r>
          </w:p>
        </w:tc>
        <w:tc>
          <w:tcPr>
            <w:tcW w:type="pct" w:w="2400"/>
            <w:tcMar>
              <w:top w:type="dxa" w:w="50"/>
              <w:left w:type="dxa" w:w="110"/>
              <w:bottom w:type="dxa" w:w="50"/>
              <w:right w:type="dxa" w:w="110"/>
            </w:tcMar>
          </w:tcPr>
          <w:p>
            <w:pPr>
              <w:spacing w:before="28" w:after="28"/>
            </w:pPr>
            <w:r>
              <w:rPr>
                <w:sz w:val="15"/>
                <w:szCs w:val="15"/>
              </w:rPr>
              <w:t xml:space="preserve">(500,000)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400"/>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tcMar>
              <w:top w:type="dxa" w:w="50"/>
              <w:left w:type="dxa" w:w="110"/>
              <w:bottom w:type="dxa" w:w="50"/>
              <w:right w:type="dxa" w:w="110"/>
            </w:tcMar>
          </w:tcPr>
          <w:p>
            <w:pPr>
              <w:spacing w:before="28" w:after="28"/>
            </w:pPr>
            <w:r>
              <w:rPr>
                <w:sz w:val="15"/>
                <w:szCs w:val="15"/>
              </w:rPr>
              <w:t xml:space="preserve">(10,524,000)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00"/>
            <w:tcMar>
              <w:top w:type="dxa" w:w="50"/>
              <w:left w:type="dxa" w:w="110"/>
              <w:bottom w:type="dxa" w:w="50"/>
              <w:right w:type="dxa" w:w="110"/>
            </w:tcMar>
          </w:tcPr>
          <w:p>
            <w:pPr>
              <w:spacing w:before="28" w:after="28"/>
            </w:pPr>
            <w:r>
              <w:rPr>
                <w:sz w:val="15"/>
                <w:szCs w:val="15"/>
              </w:rPr>
              <w:t xml:space="preserve">Other income and (expense)</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Interest and dividend income</w:t>
            </w:r>
          </w:p>
        </w:tc>
        <w:tc>
          <w:tcPr>
            <w:tcW w:type="pct" w:w="2400"/>
            <w:tcMar>
              <w:top w:type="dxa" w:w="50"/>
              <w:left w:type="dxa" w:w="110"/>
              <w:bottom w:type="dxa" w:w="50"/>
              <w:right w:type="dxa" w:w="110"/>
            </w:tcMar>
          </w:tcPr>
          <w:p>
            <w:pPr>
              <w:spacing w:before="28" w:after="28"/>
            </w:pPr>
            <w:r>
              <w:rPr>
                <w:sz w:val="15"/>
                <w:szCs w:val="15"/>
              </w:rPr>
              <w:t xml:space="preserve">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Unrealized gains on securities</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tcMar>
              <w:top w:type="dxa" w:w="50"/>
              <w:left w:type="dxa" w:w="110"/>
              <w:bottom w:type="dxa" w:w="50"/>
              <w:right w:type="dxa" w:w="110"/>
            </w:tcMar>
          </w:tcPr>
          <w:p>
            <w:pPr>
              <w:spacing w:before="28" w:after="28"/>
            </w:pPr>
            <w:r>
              <w:rPr>
                <w:sz w:val="15"/>
                <w:szCs w:val="15"/>
              </w:rPr>
              <w:t xml:space="preserve">177,000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(15,000)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other income and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2,969,100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400"/>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00"/>
            <w:tcMar>
              <w:top w:type="dxa" w:w="50"/>
              <w:left w:type="dxa" w:w="110"/>
              <w:bottom w:type="dxa" w:w="50"/>
              <w:right w:type="dxa" w:w="110"/>
            </w:tcMar>
          </w:tcPr>
          <w:p>
            <w:pPr>
              <w:spacing w:before="28" w:after="28"/>
            </w:pPr>
            <w:r>
              <w:rPr>
                <w:sz w:val="15"/>
                <w:szCs w:val="15"/>
              </w:rPr>
              <w:t xml:space="preserve">Weighted-average shares outstanding</w:t>
            </w:r>
          </w:p>
        </w:tc>
        <w:tc>
          <w:tcPr>
            <w:tcW w:type="pct" w:w="2400"/>
            <w:tcMar>
              <w:top w:type="dxa" w:w="50"/>
              <w:left w:type="dxa" w:w="110"/>
              <w:bottom w:type="dxa" w:w="50"/>
              <w:right w:type="dxa" w:w="110"/>
            </w:tcMar>
          </w:tcPr>
          <w:p>
            <w:pPr>
              <w:spacing w:before="28" w:after="28"/>
            </w:pPr>
            <w:r>
              <w:rPr>
                <w:sz w:val="15"/>
                <w:szCs w:val="15"/>
              </w:rPr>
              <w:t xml:space="preserve">8,099,726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Other comprehensive income</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400"/>
            <w:tcMar>
              <w:top w:type="dxa" w:w="50"/>
              <w:left w:type="dxa" w:w="110"/>
              <w:bottom w:type="dxa" w:w="50"/>
              <w:right w:type="dxa" w:w="110"/>
            </w:tcMar>
          </w:tcPr>
          <w:p>
            <w:pPr>
              <w:spacing w:before="28" w:after="28"/>
            </w:pPr>
            <w:r>
              <w:rPr>
                <w:sz w:val="15"/>
                <w:szCs w:val="15"/>
              </w:rPr>
              <w:t xml:space="preserve">(1,125)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Credit loss expense   ·   Income tax expense   ·   Loss on sale of receivables   ·   Net sales   ·   Gain on sale of equipment   ·   Total operating expenses   ·   Selling, general and administrative   ·   Operating income   ·   Equity-method income   ·   Income before income taxes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single-step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Net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Selling, general and 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Credit loss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Total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Equity-method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Loss on sale of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pacing w:before="20" w:after="20"/>
        <w:ind w:left="240" w:hanging="240"/>
      </w:pPr>
      <w:r>
        <w:rPr>
          <w:b/>
          <w:bCs/>
          <w:color w:val="353A7C"/>
          <w:sz w:val="15"/>
          <w:szCs w:val="15"/>
        </w:rPr>
        <w:t xml:space="preserve">Summary 2   </w:t>
      </w:r>
      <w:r>
        <w:rPr>
          <w:color w:val="6B7280"/>
          <w:sz w:val="15"/>
          <w:szCs w:val="15"/>
        </w:rPr>
        <w:t xml:space="preserve">All the amounts come from the same records as the balance sheet. For example, the impairment losses are the ones you calculated in, and the equity-method income comes. The single-step form is simpler to read, but it hides useful information. The multi-step form tells a reader that Orontes's main business earned $4,176,000 before interest and tax, and that other items reduced this by a net $217,200.</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general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credit losses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follows   ·   administrative   ·   reported   ·   transaction   ·   deducted   ·   impairments   ·   selling   ·   peripheral   ·   proceeds   ·   carrying   ·   development</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EPS in depth.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step is the cost of goods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biggest   ·   analyzes   ·   statement   ·   weighted-average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16–18</w:t>
      </w:r>
    </w:p>
    <w:p>
      <w:pPr>
        <w:spacing w:before="20" w:after="20" w:line="360" w:lineRule="auto"/>
        <w:ind w:left="200"/>
      </w:pPr>
      <w:r>
        <w:rPr>
          <w:sz w:val="19"/>
          <w:szCs w:val="19"/>
        </w:rPr>
        <w:t xml:space="preserve">Gross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investment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p>
      <w:pPr>
        <w:spacing w:before="20" w:after="20" w:line="360" w:lineRule="auto"/>
        <w:ind w:left="200"/>
      </w:pPr>
      <w:r>
        <w:rPr>
          <w:sz w:val="19"/>
          <w:szCs w:val="19"/>
        </w:rPr>
        <w:t xml:space="preserve">Barada's 2025 statements ignore income tax. Fill in the three blanks.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19–21</w:t>
      </w:r>
    </w:p>
    <w:p>
      <w:pPr>
        <w:spacing w:before="20" w:after="20" w:line="360" w:lineRule="auto"/>
        <w:ind w:left="200"/>
      </w:pPr>
      <w:r>
        <w:rPr>
          <w:sz w:val="19"/>
          <w:szCs w:val="19"/>
        </w:rPr>
        <w:t xml:space="preserve">Interest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   ·   equipment   ·   depreciation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3,100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00"/>
            <w:tcMar>
              <w:top w:type="dxa" w:w="50"/>
              <w:left w:type="dxa" w:w="110"/>
              <w:bottom w:type="dxa" w:w="50"/>
              <w:right w:type="dxa" w:w="110"/>
            </w:tcMar>
          </w:tcPr>
          <w:p>
            <w:pPr>
              <w:spacing w:before="28" w:after="28"/>
            </w:pPr>
            <w:r>
              <w:rPr>
                <w:sz w:val="15"/>
                <w:szCs w:val="15"/>
              </w:rPr>
              <w:t xml:space="preserve">Depreciation expense</w:t>
            </w:r>
          </w:p>
        </w:tc>
        <w:tc>
          <w:tcPr>
            <w:tcW w:type="pct" w:w="2400"/>
            <w:tcMar>
              <w:top w:type="dxa" w:w="50"/>
              <w:left w:type="dxa" w:w="110"/>
              <w:bottom w:type="dxa" w:w="50"/>
              <w:right w:type="dxa" w:w="110"/>
            </w:tcMar>
          </w:tcPr>
          <w:p>
            <w:pPr>
              <w:spacing w:before="28" w:after="28"/>
            </w:pPr>
            <w:r>
              <w:rPr>
                <w:sz w:val="15"/>
                <w:szCs w:val="15"/>
              </w:rPr>
              <w:t xml:space="preserve">(300)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(90)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Gross profit as a percentage of sales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income   ·   Sales revenue   ·   Interest expense   ·   Wages expense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other income and expense   ·   earnings per share (EPS)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biggest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impairments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Interest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earnings per share (EPS)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analyzes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 The biggest step is the cost of goods sold.</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Examples   ·   strategic   ·   removed   ·   component   ·   infrequent   ·   including   ·   attention   ·   classified   ·   geographic   ·   effect   ·   happen   ·   extraordinary</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Ask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order: OCI first, then discontinued operations, then unusual items, and finally main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or other income and expense. </w:t>
      </w:r>
      <w:r>
        <w:rPr>
          <w:sz w:val="19"/>
          <w:szCs w:val="19"/>
        </w:rPr>
        <w:t xml:space="preserve">Suppose that in 2026 Orontes sells its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business to focus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dry foods. </w:t>
      </w:r>
      <w:r>
        <w:rPr>
          <w:sz w:val="19"/>
          <w:szCs w:val="19"/>
        </w:rPr>
        <w:t xml:space="preserve">This is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shift. </w:t>
      </w:r>
      <w:r>
        <w:rPr>
          <w:sz w:val="19"/>
          <w:szCs w:val="19"/>
        </w:rPr>
        <w:t xml:space="preserve">The business lost $420,000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tax during the year, and the sale caused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loss of $180,000. </w:t>
      </w:r>
      <w:r>
        <w:rPr>
          <w:sz w:val="19"/>
          <w:szCs w:val="19"/>
        </w:rPr>
        <w:t xml:space="preserve">Each loss reduces tax, so Orontes reports a loss from discontinued operations of $450,000, net of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activities   ·   before   ·   strategic   ·   further   ·   questions   ·   unusual   ·   frozen-foods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tcMar>
              <w:top w:type="dxa" w:w="50"/>
              <w:left w:type="dxa" w:w="110"/>
              <w:bottom w:type="dxa" w:w="50"/>
              <w:right w:type="dxa" w:w="110"/>
            </w:tcMar>
          </w:tcPr>
          <w:p>
            <w:pPr>
              <w:spacing w:before="28" w:after="28"/>
            </w:pPr>
            <w:r>
              <w:rPr>
                <w:sz w:val="15"/>
                <w:szCs w:val="15"/>
              </w:rPr>
              <w:t xml:space="preserve">Loss from operations of the frozen-foods business</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on disposal of the business   ·   Loss from discontinued operations   ·   earnings per share (EPS)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22–27</w:t>
      </w:r>
    </w:p>
    <w:p>
      <w:pPr>
        <w:spacing w:before="20" w:after="20" w:line="360" w:lineRule="auto"/>
        <w:ind w:left="200"/>
      </w:pPr>
      <w:r>
        <w:rPr>
          <w:sz w:val="19"/>
          <w:szCs w:val="19"/>
        </w:rPr>
        <w:t xml:space="preserve">Older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classified   ·   today's   ·   expropriations   ·   discontinued   ·   geographic   ·   textbooks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other income and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 on disposal of the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frozen-foods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unusual or infrequent item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Ask the questions in order: OCI first, then discontinued operations, then unusual items, and finally main activities or other income and expense. Suppose that in 2026 Orontes sells its frozen-foods business to focus on beverages and dry foods. This is a strategic shift. The business lost $420,000 before tax during the year, and the sale caused a further loss of $180,000. Each loss reduces tax, so Orontes reports a loss from discontinued operations of $450,000, net of tax.</w:t>
      </w:r>
    </w:p>
    <w:p>
      <w:pPr>
        <w:spacing w:before="20" w:after="20"/>
        <w:ind w:left="240" w:hanging="240"/>
      </w:pPr>
      <w:r>
        <w:rPr>
          <w:b/>
          <w:bCs/>
          <w:color w:val="353A7C"/>
          <w:sz w:val="15"/>
          <w:szCs w:val="15"/>
        </w:rPr>
        <w:t xml:space="preserve">Summary 3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Revaluation surplus in OCI; never reclassified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through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الدخل الشامل الآخر المتراكم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results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earnings   ·   depreciation   ·   subtotals   ·   testable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Net sales</w:t>
            </w:r>
          </w:p>
        </w:tc>
        <w:tc>
          <w:tcPr>
            <w:tcW w:type="pct" w:w="2600"/>
            <w:tcMar>
              <w:top w:type="dxa" w:w="50"/>
              <w:left w:type="dxa" w:w="110"/>
              <w:bottom w:type="dxa" w:w="50"/>
              <w:right w:type="dxa" w:w="110"/>
            </w:tcMar>
          </w:tcPr>
          <w:p>
            <w:pPr>
              <w:spacing w:before="28" w:after="28"/>
            </w:pPr>
            <w:r>
              <w:rPr>
                <w:sz w:val="15"/>
                <w:szCs w:val="15"/>
              </w:rPr>
              <w:t xml:space="preserve">3,400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400"/>
            <w:tcMar>
              <w:top w:type="dxa" w:w="50"/>
              <w:left w:type="dxa" w:w="110"/>
              <w:bottom w:type="dxa" w:w="50"/>
              <w:right w:type="dxa" w:w="110"/>
            </w:tcMar>
          </w:tcPr>
          <w:p>
            <w:pPr>
              <w:spacing w:before="28" w:after="28"/>
            </w:pPr>
            <w:r>
              <w:rPr>
                <w:sz w:val="15"/>
                <w:szCs w:val="15"/>
              </w:rPr>
              <w:t xml:space="preserve">Wages expense</w:t>
            </w:r>
          </w:p>
        </w:tc>
        <w:tc>
          <w:tcPr>
            <w:tcW w:type="pct" w:w="2600"/>
            <w:tcMar>
              <w:top w:type="dxa" w:w="50"/>
              <w:left w:type="dxa" w:w="110"/>
              <w:bottom w:type="dxa" w:w="50"/>
              <w:right w:type="dxa" w:w="110"/>
            </w:tcMar>
          </w:tcPr>
          <w:p>
            <w:pPr>
              <w:spacing w:before="28" w:after="28"/>
            </w:pPr>
            <w:r>
              <w:rPr>
                <w:sz w:val="15"/>
                <w:szCs w:val="15"/>
              </w:rPr>
              <w:t xml:space="preserve">560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400"/>
            <w:tcMar>
              <w:top w:type="dxa" w:w="50"/>
              <w:left w:type="dxa" w:w="110"/>
              <w:bottom w:type="dxa" w:w="50"/>
              <w:right w:type="dxa" w:w="110"/>
            </w:tcMar>
          </w:tcPr>
          <w:p>
            <w:pPr>
              <w:spacing w:before="28" w:after="28"/>
            </w:pPr>
            <w:r>
              <w:rPr>
                <w:sz w:val="15"/>
                <w:szCs w:val="15"/>
              </w:rPr>
              <w:t xml:space="preserve">Fire loss (uninsured inventory)</w:t>
            </w:r>
          </w:p>
        </w:tc>
        <w:tc>
          <w:tcPr>
            <w:tcW w:type="pct" w:w="2600"/>
            <w:tcMar>
              <w:top w:type="dxa" w:w="50"/>
              <w:left w:type="dxa" w:w="110"/>
              <w:bottom w:type="dxa" w:w="50"/>
              <w:right w:type="dxa" w:w="110"/>
            </w:tcMar>
          </w:tcPr>
          <w:p>
            <w:pPr>
              <w:spacing w:before="28" w:after="28"/>
            </w:pPr>
            <w:r>
              <w:rPr>
                <w:sz w:val="15"/>
                <w:szCs w:val="15"/>
              </w:rPr>
              <w:t xml:space="preserve">70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400"/>
            <w:tcMar>
              <w:top w:type="dxa" w:w="50"/>
              <w:left w:type="dxa" w:w="110"/>
              <w:bottom w:type="dxa" w:w="50"/>
              <w:right w:type="dxa" w:w="110"/>
            </w:tcMar>
          </w:tcPr>
          <w:p>
            <w:pPr>
              <w:spacing w:before="28" w:after="28"/>
            </w:pPr>
            <w:r>
              <w:rPr>
                <w:sz w:val="15"/>
                <w:szCs w:val="15"/>
              </w:rPr>
              <w:t xml:space="preserve">Interest expense</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00"/>
            <w:shd w:fill="FBFAF6" w:val="clear"/>
            <w:tcMar>
              <w:top w:type="dxa" w:w="50"/>
              <w:left w:type="dxa" w:w="110"/>
              <w:bottom w:type="dxa" w:w="50"/>
              <w:right w:type="dxa" w:w="110"/>
            </w:tcMar>
          </w:tcPr>
          <w:p>
            <w:pPr>
              <w:spacing w:before="28" w:after="28"/>
            </w:pPr>
            <w:r>
              <w:rPr>
                <w:sz w:val="15"/>
                <w:szCs w:val="15"/>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The fire loss is the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inventory destroyed on February 10, 2026. Fires are unusual for Barada.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comprehensive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uninsured   ·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Loss on sale of the division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Fire loss</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uninsured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 on sale of equipment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Limitations and links to the other statements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why each part of equity changed during the period. </w:t>
      </w:r>
      <w:r>
        <w:rPr>
          <w:sz w:val="19"/>
          <w:szCs w:val="19"/>
        </w:rPr>
        <w:t xml:space="preserve">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capital is retained earnings and AOCI.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interest, if any, is shown separately within equity. </w:t>
      </w:r>
      <w:r>
        <w:rPr>
          <w:sz w:val="19"/>
          <w:szCs w:val="19"/>
        </w:rPr>
        <w:t xml:space="preserve">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 Orontes issued 100,000 shares for $1,500,000: $100,000 to common stock at par and $1,400,000 to APIC. </w:t>
      </w:r>
      <w:r>
        <w:rPr>
          <w:sz w:val="19"/>
          <w:szCs w:val="19"/>
        </w:rPr>
        <w:t xml:space="preserve">Net income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retained earnings, dividends reduced them, and the OCI loss went to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separates   ·   Comprehensive   ·   Transactions   ·   noncontrolling   ·   Treasury   ·   Earned   ·   increased   ·   Contributed   ·   explains   ·   January   ·   interest</w:t>
            </w:r>
          </w:p>
        </w:tc>
      </w:tr>
    </w:tbl>
    <w:p/>
    <w:p>
      <w:pPr>
        <w:pageBreakBefore w:val="true"/>
        <w:spacing w:after="0"/>
      </w:pPr>
      <w:r>
        <w:rPr>
          <w:sz w:val="2"/>
        </w:rPr>
        <w:t xml:space="preserve"> </w:t>
      </w:r>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appropriated retained earnings   ·   Cash dividends declared   ·   Balance, January 1, 2025</w:t>
            </w:r>
          </w:p>
        </w:tc>
      </w:tr>
    </w:tbl>
    <w:p/>
    <w:p>
      <w:pPr>
        <w:spacing w:before="44" w:after="14"/>
      </w:pPr>
      <w:r>
        <w:rPr>
          <w:b/>
          <w:bCs/>
          <w:color w:val="353A7C"/>
          <w:sz w:val="18"/>
          <w:szCs w:val="18"/>
        </w:rPr>
        <w:t xml:space="preserve">Summary 2</w:t>
      </w:r>
      <w:r>
        <w:rPr>
          <w:color w:val="6B7280"/>
          <w:sz w:val="16"/>
          <w:szCs w:val="16"/>
        </w:rPr>
        <w:t xml:space="preserve">      gaps 16–17</w:t>
      </w:r>
    </w:p>
    <w:p>
      <w:pPr>
        <w:spacing w:before="20" w:after="20" w:line="360" w:lineRule="auto"/>
        <w:ind w:left="200"/>
      </w:pPr>
      <w:r>
        <w:rPr>
          <w:sz w:val="19"/>
          <w:szCs w:val="19"/>
        </w:rPr>
        <w:t xml:space="preserve">Each column is one equity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balance   ·   account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outstanding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increased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 January 1, 2025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Cash dividends declared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Earned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Treasury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 On January 2 Orontes issued 100,000 shares for $1,500,000: $100,000 to common stock at par and $1,400,000 to APIC. Net income increased retained earnings, dividends reduced them, and the OCI loss went to AOCI.</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treasury stock is recorded at the price paid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outstanding shares: they receive no dividends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reduces   ·   amount   ·   stated   ·   account   ·   method   ·   credits   ·   whichever   ·   underwriting   ·   issues   ·   deducted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debited   ·   applies   ·   Orontes   ·   appears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3. Reissue 20,000 shares at $13</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20–30</w:t>
      </w:r>
    </w:p>
    <w:p>
      <w:pPr>
        <w:spacing w:before="20" w:after="20" w:line="360" w:lineRule="auto"/>
        <w:ind w:left="200"/>
      </w:pPr>
      <w:r>
        <w:rPr>
          <w:sz w:val="19"/>
          <w:szCs w:val="19"/>
        </w:rPr>
        <w:t xml:space="preserve">If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treasury shares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earnings   ·   between   ·   instead   ·   beginning   ·   current   ·   amounts   ·   equity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returns   ·   remeasures   ·   declared   ·   December   ·   dividends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41"/>
        <w:gridCol w:w="3151"/>
        <w:gridCol w:w="2105"/>
        <w:gridCol w:w="190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641"/>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096"/>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991"/>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71"/>
            <w:tcMar>
              <w:top w:type="dxa" w:w="50"/>
              <w:left w:type="dxa" w:w="110"/>
              <w:bottom w:type="dxa" w:w="50"/>
              <w:right w:type="dxa" w:w="110"/>
            </w:tcMar>
          </w:tcPr>
          <w:p>
            <w:pPr>
              <w:spacing w:before="28" w:after="28"/>
            </w:pPr>
            <w:r>
              <w:rPr>
                <w:sz w:val="15"/>
                <w:szCs w:val="15"/>
              </w:rPr>
              <w:t xml:space="preserve">Cash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liability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Scrip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Amount beyond retained earnings</w:t>
            </w:r>
          </w:p>
        </w:tc>
        <w:tc>
          <w:tcPr>
            <w:tcW w:type="pct" w:w="1096"/>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Small stock dividend (below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No change</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71"/>
            <w:tcMar>
              <w:top w:type="dxa" w:w="50"/>
              <w:left w:type="dxa" w:w="110"/>
              <w:bottom w:type="dxa" w:w="50"/>
              <w:right w:type="dxa" w:w="110"/>
            </w:tcMar>
          </w:tcPr>
          <w:p>
            <w:pPr>
              <w:spacing w:before="28" w:after="28"/>
            </w:pPr>
            <w:r>
              <w:rPr>
                <w:sz w:val="15"/>
                <w:szCs w:val="15"/>
              </w:rPr>
              <w:t xml:space="preserve">Stock split</w:t>
            </w:r>
          </w:p>
        </w:tc>
        <w:tc>
          <w:tcPr>
            <w:tcW w:type="pct" w:w="1641"/>
            <w:tcMar>
              <w:top w:type="dxa" w:w="50"/>
              <w:left w:type="dxa" w:w="110"/>
              <w:bottom w:type="dxa" w:w="50"/>
              <w:right w:type="dxa" w:w="110"/>
            </w:tcMar>
          </w:tcPr>
          <w:p>
            <w:pPr>
              <w:spacing w:before="28" w:after="28"/>
            </w:pPr>
            <w:r>
              <w:rPr>
                <w:sz w:val="15"/>
                <w:szCs w:val="15"/>
              </w:rPr>
              <w:t xml:space="preserve">No entry; par per share falls</w:t>
            </w:r>
          </w:p>
        </w:tc>
        <w:tc>
          <w:tcPr>
            <w:tcW w:type="pct" w:w="1096"/>
            <w:tcMar>
              <w:top w:type="dxa" w:w="50"/>
              <w:left w:type="dxa" w:w="110"/>
              <w:bottom w:type="dxa" w:w="50"/>
              <w:right w:type="dxa" w:w="110"/>
            </w:tcMar>
          </w:tcPr>
          <w:p>
            <w:pPr>
              <w:spacing w:before="28" w:after="28"/>
            </w:pPr>
            <w:r>
              <w:rPr>
                <w:sz w:val="15"/>
                <w:szCs w:val="15"/>
              </w:rPr>
              <w:t xml:space="preserve">No change</w:t>
            </w:r>
          </w:p>
        </w:tc>
        <w:tc>
          <w:tcPr>
            <w:tcW w:type="pct" w:w="991"/>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Reissue treasury stock above cost   ·   Amount declared   ·   Face value of the note   ·   Fair value of the shares   ·   Par value of the shares</w:t>
            </w:r>
          </w:p>
        </w:tc>
      </w:tr>
    </w:tbl>
    <w:p/>
    <w:p>
      <w:pPr>
        <w:spacing w:before="44" w:after="14"/>
      </w:pPr>
      <w:r>
        <w:rPr>
          <w:b/>
          <w:bCs/>
          <w:color w:val="353A7C"/>
          <w:sz w:val="18"/>
          <w:szCs w:val="18"/>
        </w:rPr>
        <w:t xml:space="preserve">Summary 2</w:t>
      </w:r>
      <w:r>
        <w:rPr>
          <w:color w:val="6B7280"/>
          <w:sz w:val="16"/>
          <w:szCs w:val="16"/>
        </w:rPr>
        <w:t xml:space="preserve">      gaps 15–21</w:t>
      </w:r>
    </w:p>
    <w:p>
      <w:pPr>
        <w:spacing w:before="20" w:after="20" w:line="360" w:lineRule="auto"/>
        <w:ind w:left="200"/>
      </w:pPr>
      <w:r>
        <w:rPr>
          <w:sz w:val="19"/>
          <w:szCs w:val="19"/>
        </w:rPr>
        <w:t xml:space="preserve">A stock dividend gives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only the labels inside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instead   ·   earnings   ·   retained   ·   increases   ·   proportion   ·   shareholders   ·   outstanding</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20" w:after="20" w:line="360" w:lineRule="auto"/>
        <w:ind w:left="200"/>
      </w:pPr>
      <w:r>
        <w:rPr>
          <w:sz w:val="19"/>
          <w:szCs w:val="19"/>
        </w:rPr>
        <w:t xml:space="preserve">The first two are done. Complete the effects of the other four.</w:t>
      </w:r>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Declare and issue a small stock dividend   ·   Carry out a 2-for-1 stock split   ·   Buy treasury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them. </w:t>
      </w:r>
      <w:r>
        <w:rPr>
          <w:sz w:val="19"/>
          <w:szCs w:val="19"/>
        </w:rPr>
        <w:t xml:space="preserve">Use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reverse   ·   earnings   ·   distributable   ·   outstanding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Buy 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Fair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retained earnings stay within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separate   ·   appropriated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simply   ·   appropriated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2025 issue price,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shares would be worth about 6.0 times their book value. </w:t>
      </w:r>
      <w:r>
        <w:rPr>
          <w:sz w:val="19"/>
          <w:szCs w:val="19"/>
        </w:rPr>
        <w:t xml:space="preserve">The statement of changes in equity takes net income and OCI from the statement of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income, and dividends and share issues from the company's owner transactions.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distribute   ·   statement   ·   today's   ·   liabilities   ·   accounting   ·   comprehensive   ·   know-how   ·   capital   ·   historical   ·   January   ·   Orontes's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Balance / event (USD 000 unless stated)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Common stock, $1 par (600,000 shares issued and outstanding)</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600"/>
            <w:shd w:fill="FBFAF6" w:val="clear"/>
            <w:tcMar>
              <w:top w:type="dxa" w:w="50"/>
              <w:left w:type="dxa" w:w="110"/>
              <w:bottom w:type="dxa" w:w="50"/>
              <w:right w:type="dxa" w:w="110"/>
            </w:tcMar>
          </w:tcPr>
          <w:p>
            <w:pPr>
              <w:spacing w:before="28" w:after="28"/>
            </w:pPr>
            <w:r>
              <w:rPr>
                <w:sz w:val="15"/>
                <w:szCs w:val="15"/>
              </w:rPr>
              <w:t xml:space="preserve">1,900</w:t>
            </w:r>
          </w:p>
        </w:tc>
      </w:tr>
      <w:tr>
        <w:tc>
          <w:tcPr>
            <w:tcW w:type="pct" w:w="2400"/>
            <w:tcMar>
              <w:top w:type="dxa" w:w="50"/>
              <w:left w:type="dxa" w:w="110"/>
              <w:bottom w:type="dxa" w:w="50"/>
              <w:right w:type="dxa" w:w="110"/>
            </w:tcMar>
          </w:tcPr>
          <w:p>
            <w:pPr>
              <w:spacing w:before="28" w:after="28"/>
            </w:pPr>
            <w:r>
              <w:rPr>
                <w:sz w:val="15"/>
                <w:szCs w:val="15"/>
              </w:rPr>
              <w:t xml:space="preserve">Retained earnings</w:t>
            </w:r>
          </w:p>
        </w:tc>
        <w:tc>
          <w:tcPr>
            <w:tcW w:type="pct" w:w="2600"/>
            <w:tcMar>
              <w:top w:type="dxa" w:w="50"/>
              <w:left w:type="dxa" w:w="110"/>
              <w:bottom w:type="dxa" w:w="50"/>
              <w:right w:type="dxa" w:w="110"/>
            </w:tcMar>
          </w:tcPr>
          <w:p>
            <w:pPr>
              <w:spacing w:before="28" w:after="28"/>
            </w:pPr>
            <w:r>
              <w:rPr>
                <w:sz w:val="15"/>
                <w:szCs w:val="15"/>
              </w:rPr>
              <w:t xml:space="preserve">1,280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stockholders' equity, January 1, 2026</w:t>
            </w:r>
          </w:p>
        </w:tc>
        <w:tc>
          <w:tcPr>
            <w:tcW w:type="pct" w:w="2600"/>
            <w:shd w:fill="FBFAF6" w:val="clear"/>
            <w:tcMar>
              <w:top w:type="dxa" w:w="50"/>
              <w:left w:type="dxa" w:w="110"/>
              <w:bottom w:type="dxa" w:w="50"/>
              <w:right w:type="dxa" w:w="110"/>
            </w:tcMar>
          </w:tcPr>
          <w:p>
            <w:pPr>
              <w:spacing w:before="28" w:after="28"/>
            </w:pPr>
            <w:r>
              <w:rPr>
                <w:sz w:val="15"/>
                <w:szCs w:val="15"/>
              </w:rPr>
              <w:t xml:space="preserve">3,780</w:t>
            </w:r>
          </w:p>
        </w:tc>
      </w:tr>
      <w:tr>
        <w:tc>
          <w:tcPr>
            <w:tcW w:type="pct" w:w="2400"/>
            <w:tcMar>
              <w:top w:type="dxa" w:w="50"/>
              <w:left w:type="dxa" w:w="110"/>
              <w:bottom w:type="dxa" w:w="50"/>
              <w:right w:type="dxa" w:w="110"/>
            </w:tcMar>
          </w:tcPr>
          <w:p>
            <w:pPr>
              <w:spacing w:before="28" w:after="28"/>
            </w:pPr>
            <w:r>
              <w:rPr>
                <w:sz w:val="15"/>
                <w:szCs w:val="15"/>
              </w:rPr>
              <w:t xml:space="preserve">E1</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Barada bought 80,000 of its own shares at $6 per share (cost method).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Barada reissued 20,000 treasury shares at $8 per share.</w:t>
            </w:r>
          </w:p>
        </w:tc>
      </w:tr>
      <w:tr>
        <w:tc>
          <w:tcPr>
            <w:tcW w:type="pct" w:w="2400"/>
            <w:tcMar>
              <w:top w:type="dxa" w:w="50"/>
              <w:left w:type="dxa" w:w="110"/>
              <w:bottom w:type="dxa" w:w="50"/>
              <w:right w:type="dxa" w:w="110"/>
            </w:tcMar>
          </w:tcPr>
          <w:p>
            <w:pPr>
              <w:spacing w:before="28" w:after="28"/>
            </w:pPr>
            <w:r>
              <w:rPr>
                <w:sz w:val="15"/>
                <w:szCs w:val="15"/>
              </w:rPr>
              <w:t xml:space="preserve">E3</w:t>
            </w:r>
          </w:p>
        </w:tc>
        <w:tc>
          <w:tcPr>
            <w:tcW w:type="pct" w:w="2600"/>
            <w:tcMar>
              <w:top w:type="dxa" w:w="50"/>
              <w:left w:type="dxa" w:w="110"/>
              <w:bottom w:type="dxa" w:w="50"/>
              <w:right w:type="dxa" w:w="110"/>
            </w:tcMar>
          </w:tcPr>
          <w:p>
            <w:pPr>
              <w:spacing w:before="28" w:after="28"/>
            </w:pPr>
            <w:r>
              <w:rPr>
                <w:sz w:val="15"/>
                <w:szCs w:val="15"/>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E4</w:t>
            </w:r>
          </w:p>
        </w:tc>
        <w:tc>
          <w:tcPr>
            <w:tcW w:type="pct" w:w="2600"/>
            <w:shd w:fill="FBFAF6" w:val="clear"/>
            <w:tcMar>
              <w:top w:type="dxa" w:w="50"/>
              <w:left w:type="dxa" w:w="110"/>
              <w:bottom w:type="dxa" w:w="50"/>
              <w:right w:type="dxa" w:w="110"/>
            </w:tcMar>
          </w:tcPr>
          <w:p>
            <w:pPr>
              <w:spacing w:before="28" w:after="28"/>
            </w:pPr>
            <w:r>
              <w:rPr>
                <w:sz w:val="15"/>
                <w:szCs w:val="15"/>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8" w:after="28"/>
            </w:pPr>
            <w:r>
              <w:rPr>
                <w:sz w:val="15"/>
                <w:szCs w:val="15"/>
              </w:rPr>
              <w:t xml:space="preserve">E5</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E6</w:t>
            </w:r>
          </w:p>
        </w:tc>
        <w:tc>
          <w:tcPr>
            <w:tcW w:type="pct" w:w="2600"/>
            <w:shd w:fill="FBFAF6" w:val="clear"/>
            <w:tcMar>
              <w:top w:type="dxa" w:w="50"/>
              <w:left w:type="dxa" w:w="110"/>
              <w:bottom w:type="dxa" w:w="50"/>
              <w:right w:type="dxa" w:w="110"/>
            </w:tcMar>
          </w:tcPr>
          <w:p>
            <w:pPr>
              <w:spacing w:before="28" w:after="28"/>
            </w:pPr>
            <w:r>
              <w:rPr>
                <w:sz w:val="15"/>
                <w:szCs w:val="15"/>
              </w:rPr>
              <w:t xml:space="preserve">Net income for 2026 was 165 (the Chapter 3 case).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10   ·   March 5   ·   prior-period adjustment   ·   December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2-for-1 stock split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earnings: no change. Total equity: no change (no entry is made).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 treasury stock</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no change. Total equity: decreases by the cost.</w:t>
            </w:r>
          </w:p>
        </w:tc>
      </w:tr>
      <w:tr>
        <w:tc>
          <w:tcPr>
            <w:tcW w:type="pct" w:w="2400"/>
            <w:tcMar>
              <w:top w:type="dxa" w:w="50"/>
              <w:left w:type="dxa" w:w="110"/>
              <w:bottom w:type="dxa" w:w="50"/>
              <w:right w:type="dxa" w:w="110"/>
            </w:tcMar>
          </w:tcPr>
          <w:p>
            <w:pPr>
              <w:spacing w:before="28" w:after="28"/>
            </w:pPr>
            <w:r>
              <w:rPr>
                <w:sz w:val="15"/>
                <w:szCs w:val="15"/>
              </w:rPr>
              <w:t xml:space="preserve">Reissue treasury stock above cost</w:t>
            </w:r>
          </w:p>
        </w:tc>
        <w:tc>
          <w:tcPr>
            <w:tcW w:type="pct" w:w="2600"/>
            <w:tcMar>
              <w:top w:type="dxa" w:w="50"/>
              <w:left w:type="dxa" w:w="110"/>
              <w:bottom w:type="dxa" w:w="50"/>
              <w:right w:type="dxa" w:w="110"/>
            </w:tcMar>
          </w:tcPr>
          <w:p>
            <w:pPr>
              <w:spacing w:before="28" w:after="28"/>
            </w:pPr>
            <w:r>
              <w:rPr>
                <w:sz w:val="15"/>
                <w:szCs w:val="15"/>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Correct an error that overstated expenses</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opening balance increases, net of tax. Total equity: increases.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decreases   ·   Retained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BFAF6" w:val="clear"/>
            <w:tcMar>
              <w:top w:type="dxa" w:w="50"/>
              <w:left w:type="dxa" w:w="110"/>
              <w:bottom w:type="dxa" w:w="50"/>
              <w:right w:type="dxa" w:w="110"/>
            </w:tcMar>
          </w:tcPr>
          <w:p>
            <w:pPr>
              <w:spacing w:before="28" w:after="28"/>
            </w:pPr>
            <w:r>
              <w:rPr>
                <w:sz w:val="15"/>
                <w:szCs w:val="15"/>
              </w:rPr>
              <w:t xml:space="preserve">Earned capital</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Contributed capital   ·   Current liability   ·   Deduction from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property dividend   ·   statement of changes in equity</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March 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June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December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Deduction from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treasury stock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At the January 2025 issue price, Orontes's shares would be worth about 6.0 times their book value.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r>
        <w:rPr>
          <w:sz w:val="19"/>
          <w:szCs w:val="19"/>
        </w:rPr>
        <w:t xml:space="preserve">Strong operating cash is a good sign, but a reader should also ask where the cash went. </w:t>
      </w:r>
      <w:r>
        <w:rPr>
          <w:sz w:val="19"/>
          <w:szCs w:val="19"/>
        </w:rPr>
        <w:t xml:space="preserve">Orontes spent heavily on equipment and on its investment in Jordan Glass, and it also raised new shares and a bank loan.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reports   ·   grouped   ·   company's   ·   short-term   ·   because   ·   investments   ·   Moving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flows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0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00"/>
            <w:tcMar>
              <w:top w:type="dxa" w:w="50"/>
              <w:left w:type="dxa" w:w="110"/>
              <w:bottom w:type="dxa" w:w="50"/>
              <w:right w:type="dxa" w:w="110"/>
            </w:tcMar>
          </w:tcPr>
          <w:p>
            <w:pPr>
              <w:spacing w:before="28" w:after="28"/>
            </w:pPr>
            <w:r>
              <w:rPr>
                <w:sz w:val="15"/>
                <w:szCs w:val="15"/>
              </w:rPr>
              <w:t xml:space="preserve">Impairment losses</w:t>
            </w:r>
          </w:p>
        </w:tc>
        <w:tc>
          <w:tcPr>
            <w:tcW w:type="pct" w:w="2400"/>
            <w:tcMar>
              <w:top w:type="dxa" w:w="50"/>
              <w:left w:type="dxa" w:w="110"/>
              <w:bottom w:type="dxa" w:w="50"/>
              <w:right w:type="dxa" w:w="110"/>
            </w:tcMar>
          </w:tcPr>
          <w:p>
            <w:pPr>
              <w:spacing w:before="28" w:after="28"/>
            </w:pPr>
            <w:r>
              <w:rPr>
                <w:sz w:val="15"/>
                <w:szCs w:val="15"/>
              </w:rPr>
              <w:t xml:space="preserve">2,724,000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40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0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400"/>
            <w:tcMar>
              <w:top w:type="dxa" w:w="50"/>
              <w:left w:type="dxa" w:w="110"/>
              <w:bottom w:type="dxa" w:w="50"/>
              <w:right w:type="dxa" w:w="110"/>
            </w:tcMar>
          </w:tcPr>
          <w:p>
            <w:pPr>
              <w:spacing w:before="28" w:after="28"/>
            </w:pPr>
            <w:r>
              <w:rPr>
                <w:sz w:val="15"/>
                <w:szCs w:val="15"/>
              </w:rPr>
              <w:t xml:space="preserve">70,000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(384,000)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Increase in prepaid expenses</w:t>
            </w:r>
          </w:p>
        </w:tc>
        <w:tc>
          <w:tcPr>
            <w:tcW w:type="pct" w:w="2400"/>
            <w:tcMar>
              <w:top w:type="dxa" w:w="50"/>
              <w:left w:type="dxa" w:w="110"/>
              <w:bottom w:type="dxa" w:w="50"/>
              <w:right w:type="dxa" w:w="110"/>
            </w:tcMar>
          </w:tcPr>
          <w:p>
            <w:pPr>
              <w:spacing w:before="28" w:after="28"/>
            </w:pPr>
            <w:r>
              <w:rPr>
                <w:sz w:val="15"/>
                <w:szCs w:val="15"/>
              </w:rPr>
              <w:t xml:space="preserve">(24,000)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Increase in contract liabilities</w:t>
            </w:r>
          </w:p>
        </w:tc>
        <w:tc>
          <w:tcPr>
            <w:tcW w:type="pct" w:w="2400"/>
            <w:tcMar>
              <w:top w:type="dxa" w:w="50"/>
              <w:left w:type="dxa" w:w="110"/>
              <w:bottom w:type="dxa" w:w="50"/>
              <w:right w:type="dxa" w:w="110"/>
            </w:tcMar>
          </w:tcPr>
          <w:p>
            <w:pPr>
              <w:spacing w:before="28" w:after="28"/>
            </w:pPr>
            <w:r>
              <w:rPr>
                <w:sz w:val="15"/>
                <w:szCs w:val="15"/>
              </w:rPr>
              <w:t xml:space="preserve">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00"/>
            <w:tcMar>
              <w:top w:type="dxa" w:w="50"/>
              <w:left w:type="dxa" w:w="110"/>
              <w:bottom w:type="dxa" w:w="50"/>
              <w:right w:type="dxa" w:w="110"/>
            </w:tcMar>
          </w:tcPr>
          <w:p>
            <w:pPr>
              <w:spacing w:before="28" w:after="28"/>
            </w:pPr>
            <w:r>
              <w:rPr>
                <w:sz w:val="15"/>
                <w:szCs w:val="15"/>
              </w:rPr>
              <w:t xml:space="preserve">Cash flows from investing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00"/>
            <w:tcMar>
              <w:top w:type="dxa" w:w="50"/>
              <w:left w:type="dxa" w:w="110"/>
              <w:bottom w:type="dxa" w:w="50"/>
              <w:right w:type="dxa" w:w="110"/>
            </w:tcMar>
          </w:tcPr>
          <w:p>
            <w:pPr>
              <w:spacing w:before="28" w:after="28"/>
            </w:pPr>
            <w:r>
              <w:rPr>
                <w:sz w:val="15"/>
                <w:szCs w:val="15"/>
              </w:rPr>
              <w:t xml:space="preserve">Proceeds from sale of equipment</w:t>
            </w:r>
          </w:p>
        </w:tc>
        <w:tc>
          <w:tcPr>
            <w:tcW w:type="pct" w:w="2400"/>
            <w:tcMar>
              <w:top w:type="dxa" w:w="50"/>
              <w:left w:type="dxa" w:w="110"/>
              <w:bottom w:type="dxa" w:w="50"/>
              <w:right w:type="dxa" w:w="110"/>
            </w:tcMar>
          </w:tcPr>
          <w:p>
            <w:pPr>
              <w:spacing w:before="28" w:after="28"/>
            </w:pPr>
            <w:r>
              <w:rPr>
                <w:sz w:val="15"/>
                <w:szCs w:val="15"/>
              </w:rPr>
              <w:t xml:space="preserve">21,000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40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0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400"/>
            <w:tcMar>
              <w:top w:type="dxa" w:w="50"/>
              <w:left w:type="dxa" w:w="110"/>
              <w:bottom w:type="dxa" w:w="50"/>
              <w:right w:type="dxa" w:w="110"/>
            </w:tcMar>
          </w:tcPr>
          <w:p>
            <w:pPr>
              <w:spacing w:before="28" w:after="28"/>
            </w:pPr>
            <w:r>
              <w:rPr>
                <w:sz w:val="15"/>
                <w:szCs w:val="15"/>
              </w:rPr>
              <w:t xml:space="preserve">(4,179,000)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Repayment of long-term debt</w:t>
            </w:r>
          </w:p>
        </w:tc>
        <w:tc>
          <w:tcPr>
            <w:tcW w:type="pct" w:w="2400"/>
            <w:tcMar>
              <w:top w:type="dxa" w:w="50"/>
              <w:left w:type="dxa" w:w="110"/>
              <w:bottom w:type="dxa" w:w="50"/>
              <w:right w:type="dxa" w:w="110"/>
            </w:tcMar>
          </w:tcPr>
          <w:p>
            <w:pPr>
              <w:spacing w:before="28" w:after="28"/>
            </w:pPr>
            <w:r>
              <w:rPr>
                <w:sz w:val="15"/>
                <w:szCs w:val="15"/>
              </w:rPr>
              <w:t xml:space="preserve">(400,000)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400"/>
            <w:tcMar>
              <w:top w:type="dxa" w:w="50"/>
              <w:left w:type="dxa" w:w="110"/>
              <w:bottom w:type="dxa" w:w="50"/>
              <w:right w:type="dxa" w:w="110"/>
            </w:tcMar>
          </w:tcPr>
          <w:p>
            <w:pPr>
              <w:spacing w:before="28" w:after="28"/>
            </w:pPr>
            <w:r>
              <w:rPr>
                <w:sz w:val="15"/>
                <w:szCs w:val="15"/>
              </w:rPr>
              <w:t xml:space="preserve">1,850,000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40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00"/>
            <w:tcMar>
              <w:top w:type="dxa" w:w="50"/>
              <w:left w:type="dxa" w:w="110"/>
              <w:bottom w:type="dxa" w:w="50"/>
              <w:right w:type="dxa" w:w="110"/>
            </w:tcMar>
          </w:tcPr>
          <w:p>
            <w:pPr>
              <w:spacing w:before="28" w:after="28"/>
            </w:pPr>
            <w:r>
              <w:rPr>
                <w:sz w:val="15"/>
                <w:szCs w:val="15"/>
              </w:rPr>
              <w:t xml:space="preserve">Cash, January 1, 2025</w:t>
            </w:r>
          </w:p>
        </w:tc>
        <w:tc>
          <w:tcPr>
            <w:tcW w:type="pct" w:w="2400"/>
            <w:tcMar>
              <w:top w:type="dxa" w:w="50"/>
              <w:left w:type="dxa" w:w="110"/>
              <w:bottom w:type="dxa" w:w="50"/>
              <w:right w:type="dxa" w:w="110"/>
            </w:tcMar>
          </w:tcPr>
          <w:p>
            <w:pPr>
              <w:spacing w:before="28" w:after="28"/>
            </w:pPr>
            <w:r>
              <w:rPr>
                <w:sz w:val="15"/>
                <w:szCs w:val="15"/>
              </w:rPr>
              <w:t xml:space="preserve">2,100,000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40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Income taxes paid</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Depreciation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grouped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financing 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 Strong operating cash is a good sign, but a reader should also ask where the cash went. Orontes spent heavily on equipment and on its investment in Jordan Glass, and it also raised new shares and a bank loan.</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disclosed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Dividends received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equipment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spacing w:before="20" w:after="20" w:line="360" w:lineRule="auto"/>
        <w:ind w:left="200"/>
      </w:pPr>
      <w:r>
        <w:rPr>
          <w:sz w:val="19"/>
          <w:szCs w:val="19"/>
        </w:rPr>
        <w:t xml:space="preserve">The first two are done. Classify the other four under U.S. GAAP.</w:t>
      </w:r>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buy back the company's own shares   ·   Land acquired by issuing a long-term note (no cash)   ·   Cash paid to buy a delivery truck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received   ·   disclose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Cash paid to buy back the company's own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Working-capital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operating activities   ·   subtracted   ·   equity-method   ·   add back noncash expenses and losses   ·   receivables</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impairments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taxes, which used no cash: $4,924,000. </w:t>
      </w:r>
      <w:r>
        <w:rPr>
          <w:sz w:val="19"/>
          <w:szCs w:val="19"/>
        </w:rPr>
        <w:t xml:space="preserve">Subtract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changes reduce cash by a net $248,000. </w:t>
      </w:r>
      <w:r>
        <w:rPr>
          <w:sz w:val="19"/>
          <w:szCs w:val="19"/>
        </w:rPr>
        <w:t xml:space="preserve">The total, $7,531,100, equals net cash from operating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depreciation   ·   deferred   ·   activities   ·   equity-method   ·   Working-capital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unrealized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الأنشطة التشغيلية   ·   investing activities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subtracted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deferred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 The total, $7,531,100, equals net cash from operating activities.</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direct method shows the main classes of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payments, such as cash from customers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r>
        <w:rPr>
          <w:sz w:val="19"/>
          <w:szCs w:val="19"/>
        </w:rPr>
        <w:t xml:space="preserve">Cash from customers is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the change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customer deposits. </w:t>
      </w:r>
      <w:r>
        <w:rPr>
          <w:sz w:val="19"/>
          <w:szCs w:val="19"/>
        </w:rPr>
        <w:t xml:space="preserve">Both methods give the same total, $7,531,100; only the presentation differs.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reconciliation   ·   encourages   ·   methods   ·   receipts   ·   adjusted   ·   suppliers</w:t>
            </w:r>
          </w:p>
        </w:tc>
      </w:tr>
    </w:tbl>
    <w:p/>
    <w:p>
      <w:pPr>
        <w:spacing w:before="44" w:after="10"/>
      </w:pPr>
      <w:r>
        <w:rPr>
          <w:b/>
          <w:bCs/>
          <w:color w:val="353A7C"/>
          <w:sz w:val="18"/>
          <w:szCs w:val="18"/>
        </w:rPr>
        <w:t xml:space="preserve">Orontes Foods Inc. — operating activities by the direct method,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9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497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Cash paid to suppliers and employees   ·   Cash received from customers</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A company using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indirect   ·   increase   ·   Orontes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الطريقة المباشرة   ·   operating activities   ·   indirect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receipts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adjusted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indirect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paid to suppliers and employees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 Cash from customers is sales adjusted for the change in receivables and customer deposits. Both methods give the same total, $7,531,100; only the presentation differs.</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also shows only one year, and it is not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also arbitrary: interest paid is operating under U.S. GAAP but may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which makes companies harder to compare.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one year of cash flows can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stops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will show strong cash flow for a while, even if its future is weak. </w:t>
      </w:r>
      <w:r>
        <w:rPr>
          <w:sz w:val="19"/>
          <w:szCs w:val="19"/>
        </w:rPr>
        <w:t xml:space="preserve">Net income starts the statement of cash flows and increases retained earnings. </w:t>
      </w:r>
      <w:r>
        <w:rPr>
          <w:sz w:val="19"/>
          <w:szCs w:val="19"/>
        </w:rPr>
        <w:t xml:space="preserve">Changes in balance sheet accounts drive the working-capital adjustments. </w:t>
      </w:r>
      <w:r>
        <w:rPr>
          <w:sz w:val="19"/>
          <w:szCs w:val="19"/>
        </w:rPr>
        <w:t xml:space="preserve">Closing cash equals the cash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building   ·   manage   ·   mislead   ·   measure   ·   suppliers   ·   classifications   ·   impossible   ·   investing   ·   Finally   ·   jurisdiction   ·   receivables   ·   Important   ·   financing</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The links also help you find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are not given. </w:t>
      </w:r>
      <w:r>
        <w:rPr>
          <w:sz w:val="19"/>
          <w:szCs w:val="19"/>
        </w:rPr>
        <w:t xml:space="preserve">Orontes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dividends of $450,000, but dividends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rose by $400,000, so dividends paid were only $50,000. </w:t>
      </w:r>
      <w:r>
        <w:rPr>
          <w:sz w:val="19"/>
          <w:szCs w:val="19"/>
        </w:rPr>
        <w:t xml:space="preserve">That is the amount in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section. </w:t>
      </w:r>
      <w:r>
        <w:rPr>
          <w:sz w:val="19"/>
          <w:szCs w:val="19"/>
        </w:rPr>
        <w:t xml:space="preserve">In August 2026 the FASB proposed new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cash equivalents does not change.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definition   ·   amounts   ·   financing   ·   digital   ·   working-capital   ·   disclosures   ·   payable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555"/>
        <w:gridCol w:w="18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851"/>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1851"/>
            <w:shd w:fill="FBFAF6" w:val="clear"/>
            <w:tcMar>
              <w:top w:type="dxa" w:w="50"/>
              <w:left w:type="dxa" w:w="110"/>
              <w:bottom w:type="dxa" w:w="50"/>
              <w:right w:type="dxa" w:w="110"/>
            </w:tcMar>
          </w:tcPr>
          <w:p>
            <w:pPr>
              <w:spacing w:before="28" w:after="28"/>
            </w:pPr>
            <w:r>
              <w:rPr>
                <w:sz w:val="15"/>
                <w:szCs w:val="15"/>
              </w:rPr>
              <w:t xml:space="preserve">165</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Depreciation expense</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20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851"/>
            <w:tcMar>
              <w:top w:type="dxa" w:w="50"/>
              <w:left w:type="dxa" w:w="110"/>
              <w:bottom w:type="dxa" w:w="50"/>
              <w:right w:type="dxa" w:w="110"/>
            </w:tcMar>
          </w:tcPr>
          <w:p>
            <w:pPr>
              <w:spacing w:before="28" w:after="28"/>
            </w:pPr>
            <w:r>
              <w:rPr>
                <w:sz w:val="15"/>
                <w:szCs w:val="15"/>
              </w:rPr>
              <w:t xml:space="preserve">40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Balances</w:t>
            </w:r>
          </w:p>
        </w:tc>
        <w:tc>
          <w:tcPr>
            <w:tcW w:type="pct" w:w="1851"/>
            <w:shd w:fill="FBFAF6" w:val="clear"/>
            <w:tcMar>
              <w:top w:type="dxa" w:w="50"/>
              <w:left w:type="dxa" w:w="110"/>
              <w:bottom w:type="dxa" w:w="50"/>
              <w:right w:type="dxa" w:w="110"/>
            </w:tcMar>
          </w:tcPr>
          <w:p>
            <w:pPr>
              <w:spacing w:before="28" w:after="28"/>
            </w:pPr>
            <w:r>
              <w:rPr>
                <w:sz w:val="15"/>
                <w:szCs w:val="15"/>
              </w:rPr>
              <w:t xml:space="preserve"> </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851"/>
            <w:tcMar>
              <w:top w:type="dxa" w:w="50"/>
              <w:left w:type="dxa" w:w="110"/>
              <w:bottom w:type="dxa" w:w="50"/>
              <w:right w:type="dxa" w:w="110"/>
            </w:tcMar>
          </w:tcPr>
          <w:p>
            <w:pPr>
              <w:spacing w:before="28" w:after="28"/>
            </w:pPr>
            <w:r>
              <w:rPr>
                <w:sz w:val="15"/>
                <w:szCs w:val="15"/>
              </w:rPr>
              <w:t xml:space="preserve">280</w:t>
            </w:r>
          </w:p>
        </w:tc>
        <w:tc>
          <w:tcPr>
            <w:tcW w:type="pct" w:w="949"/>
            <w:tcMar>
              <w:top w:type="dxa" w:w="50"/>
              <w:left w:type="dxa" w:w="110"/>
              <w:bottom w:type="dxa" w:w="50"/>
              <w:right w:type="dxa" w:w="110"/>
            </w:tcMar>
          </w:tcPr>
          <w:p>
            <w:pPr>
              <w:spacing w:before="28" w:after="28"/>
            </w:pPr>
            <w:r>
              <w:rPr>
                <w:sz w:val="15"/>
                <w:szCs w:val="15"/>
              </w:rPr>
              <w:t xml:space="preserve">310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851"/>
            <w:shd w:fill="FBFAF6" w:val="clear"/>
            <w:tcMar>
              <w:top w:type="dxa" w:w="50"/>
              <w:left w:type="dxa" w:w="110"/>
              <w:bottom w:type="dxa" w:w="50"/>
              <w:right w:type="dxa" w:w="110"/>
            </w:tcMar>
          </w:tcPr>
          <w:p>
            <w:pPr>
              <w:spacing w:before="28" w:after="28"/>
            </w:pPr>
            <w:r>
              <w:rPr>
                <w:sz w:val="15"/>
                <w:szCs w:val="15"/>
              </w:rPr>
              <w:t xml:space="preserve">420</w:t>
            </w:r>
          </w:p>
        </w:tc>
        <w:tc>
          <w:tcPr>
            <w:tcW w:type="pct" w:w="94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851"/>
            <w:tcMar>
              <w:top w:type="dxa" w:w="50"/>
              <w:left w:type="dxa" w:w="110"/>
              <w:bottom w:type="dxa" w:w="50"/>
              <w:right w:type="dxa" w:w="110"/>
            </w:tcMar>
          </w:tcPr>
          <w:p>
            <w:pPr>
              <w:spacing w:before="28" w:after="28"/>
            </w:pPr>
            <w:r>
              <w:rPr>
                <w:sz w:val="15"/>
                <w:szCs w:val="15"/>
              </w:rPr>
              <w:t xml:space="preserve">24</w:t>
            </w:r>
          </w:p>
        </w:tc>
        <w:tc>
          <w:tcPr>
            <w:tcW w:type="pct" w:w="949"/>
            <w:tcMar>
              <w:top w:type="dxa" w:w="50"/>
              <w:left w:type="dxa" w:w="110"/>
              <w:bottom w:type="dxa" w:w="50"/>
              <w:right w:type="dxa" w:w="110"/>
            </w:tcMar>
          </w:tcPr>
          <w:p>
            <w:pPr>
              <w:spacing w:before="28" w:after="28"/>
            </w:pPr>
            <w:r>
              <w:rPr>
                <w:sz w:val="15"/>
                <w:szCs w:val="15"/>
              </w:rPr>
              <w:t xml:space="preserve">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851"/>
            <w:shd w:fill="FBFAF6" w:val="clear"/>
            <w:tcMar>
              <w:top w:type="dxa" w:w="50"/>
              <w:left w:type="dxa" w:w="110"/>
              <w:bottom w:type="dxa" w:w="50"/>
              <w:right w:type="dxa" w:w="110"/>
            </w:tcMar>
          </w:tcPr>
          <w:p>
            <w:pPr>
              <w:spacing w:before="28" w:after="28"/>
            </w:pPr>
            <w:r>
              <w:rPr>
                <w:sz w:val="15"/>
                <w:szCs w:val="15"/>
              </w:rPr>
              <w:t xml:space="preserve">380</w:t>
            </w:r>
          </w:p>
        </w:tc>
        <w:tc>
          <w:tcPr>
            <w:tcW w:type="pct" w:w="94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851"/>
            <w:tcMar>
              <w:top w:type="dxa" w:w="50"/>
              <w:left w:type="dxa" w:w="110"/>
              <w:bottom w:type="dxa" w:w="50"/>
              <w:right w:type="dxa" w:w="110"/>
            </w:tcMar>
          </w:tcPr>
          <w:p>
            <w:pPr>
              <w:spacing w:before="28" w:after="28"/>
            </w:pPr>
            <w:r>
              <w:rPr>
                <w:sz w:val="15"/>
                <w:szCs w:val="15"/>
              </w:rPr>
              <w:t xml:space="preserve">0</w:t>
            </w:r>
          </w:p>
        </w:tc>
        <w:tc>
          <w:tcPr>
            <w:tcW w:type="pct" w:w="949"/>
            <w:tcMar>
              <w:top w:type="dxa" w:w="50"/>
              <w:left w:type="dxa" w:w="110"/>
              <w:bottom w:type="dxa" w:w="50"/>
              <w:right w:type="dxa" w:w="110"/>
            </w:tcMar>
          </w:tcPr>
          <w:p>
            <w:pPr>
              <w:spacing w:before="28" w:after="28"/>
            </w:pPr>
            <w:r>
              <w:rPr>
                <w:sz w:val="15"/>
                <w:szCs w:val="15"/>
              </w:rPr>
              <w:t xml:space="preserve">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1851"/>
            <w:shd w:fill="FBFAF6" w:val="clear"/>
            <w:tcMar>
              <w:top w:type="dxa" w:w="50"/>
              <w:left w:type="dxa" w:w="110"/>
              <w:bottom w:type="dxa" w:w="50"/>
              <w:right w:type="dxa" w:w="110"/>
            </w:tcMar>
          </w:tcPr>
          <w:p>
            <w:pPr>
              <w:spacing w:before="28" w:after="28"/>
            </w:pPr>
            <w:r>
              <w:rPr>
                <w:sz w:val="15"/>
                <w:szCs w:val="15"/>
              </w:rPr>
              <w:t xml:space="preserve">1,050</w:t>
            </w:r>
          </w:p>
        </w:tc>
        <w:tc>
          <w:tcPr>
            <w:tcW w:type="pct" w:w="94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Other 2026 cash information</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70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1851"/>
            <w:tcMar>
              <w:top w:type="dxa" w:w="50"/>
              <w:left w:type="dxa" w:w="110"/>
              <w:bottom w:type="dxa" w:w="50"/>
              <w:right w:type="dxa" w:w="110"/>
            </w:tcMar>
          </w:tcPr>
          <w:p>
            <w:pPr>
              <w:spacing w:before="28" w:after="28"/>
            </w:pPr>
            <w:r>
              <w:rPr>
                <w:sz w:val="15"/>
                <w:szCs w:val="15"/>
              </w:rPr>
              <w:t xml:space="preserve">150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Note installment repaid (Chapter 2, M1)</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851"/>
            <w:shd w:fill="FBFAF6" w:val="clear"/>
            <w:tcMar>
              <w:top w:type="dxa" w:w="50"/>
              <w:left w:type="dxa" w:w="110"/>
              <w:bottom w:type="dxa" w:w="50"/>
              <w:right w:type="dxa" w:w="110"/>
            </w:tcMar>
          </w:tcPr>
          <w:p>
            <w:pPr>
              <w:spacing w:before="28" w:after="28"/>
            </w:pPr>
            <w:r>
              <w:rPr>
                <w:sz w:val="15"/>
                <w:szCs w:val="15"/>
              </w:rPr>
              <w:t xml:space="preserve">50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Treasury stock bought (Chapter 4, E1)</w:t>
            </w:r>
          </w:p>
        </w:tc>
        <w:tc>
          <w:tcPr>
            <w:tcW w:type="pct" w:w="1851"/>
            <w:tcMar>
              <w:top w:type="dxa" w:w="50"/>
              <w:left w:type="dxa" w:w="110"/>
              <w:bottom w:type="dxa" w:w="50"/>
              <w:right w:type="dxa" w:w="110"/>
            </w:tcMar>
          </w:tcPr>
          <w:p>
            <w:pPr>
              <w:spacing w:before="28" w:after="28"/>
            </w:pPr>
            <w:r>
              <w:rPr>
                <w:sz w:val="15"/>
                <w:szCs w:val="15"/>
              </w:rPr>
              <w:t xml:space="preserve">480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851"/>
            <w:tcMar>
              <w:top w:type="dxa" w:w="50"/>
              <w:left w:type="dxa" w:w="110"/>
              <w:bottom w:type="dxa" w:w="50"/>
              <w:right w:type="dxa" w:w="110"/>
            </w:tcMar>
          </w:tcPr>
          <w:p>
            <w:pPr>
              <w:spacing w:before="28" w:after="28"/>
            </w:pPr>
            <w:r>
              <w:rPr>
                <w:sz w:val="15"/>
                <w:szCs w:val="15"/>
              </w:rPr>
              <w:t xml:space="preserve">121</w:t>
            </w:r>
          </w:p>
        </w:tc>
        <w:tc>
          <w:tcPr>
            <w:tcW w:type="pct" w:w="94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Investing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w:t>
            </w:r>
            <w:r>
              <w:rPr>
                <w:b/>
                <w:bCs/>
                <w:color w:val="8186EF"/>
                <w:sz w:val="14"/>
                <w:szCs w:val="14"/>
              </w:rPr>
              <w:t xml:space="preserve"> (30) </w:t>
            </w:r>
            <w:r>
              <w:rPr>
                <w:u w:val="single"/>
                <w:sz w:val="15"/>
                <w:szCs w:val="15"/>
              </w:rPr>
              <w:t xml:space="preserve">              </w:t>
            </w:r>
            <w:r>
              <w:rPr>
                <w:sz w:val="15"/>
                <w:szCs w:val="15"/>
              </w:rPr>
              <w:t xml:space="preserve"> </w:t>
            </w:r>
            <w:r>
              <w:rPr>
                <w:sz w:val="15"/>
                <w:szCs w:val="15"/>
              </w:rPr>
              <w:t xml:space="preserve">.</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Noncash investing and financing activity   ·   securities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operating activities   ·   Interest paid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statement of cash flows   ·   operating activities</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digital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payable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operating 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Net income starts the statement of cash flows and increases retained earnings. Changes in balance sheet accounts drive the working-capital adjustments. Closing cash equals the cash on the balance sheet.</w:t>
      </w:r>
    </w:p>
    <w:p>
      <w:pPr>
        <w:spacing w:before="20" w:after="20"/>
        <w:ind w:left="240" w:hanging="240"/>
      </w:pPr>
      <w:r>
        <w:rPr>
          <w:b/>
          <w:bCs/>
          <w:color w:val="353A7C"/>
          <w:sz w:val="15"/>
          <w:szCs w:val="15"/>
        </w:rPr>
        <w:t xml:space="preserve">Summary 2   </w:t>
      </w:r>
      <w:r>
        <w:rPr>
          <w:color w:val="6B7280"/>
          <w:sz w:val="15"/>
          <w:szCs w:val="15"/>
        </w:rPr>
        <w:t xml:space="preserve">The links also help you find amounts that are not given. Orontes declared dividends of $450,000, but dividends payable rose by $400,000, so dividends paid were only $50,000. That is the amount in the financing section. 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allowance for credit losses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write-off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invoice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transaction   ·   payment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secured borrowing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history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20" w:after="20" w:line="360" w:lineRule="auto"/>
        <w:ind w:left="200"/>
      </w:pPr>
      <w:r>
        <w:rPr>
          <w:sz w:val="19"/>
          <w:szCs w:val="19"/>
        </w:rPr>
        <w:t xml:space="preserve">The loss rates already include a forecast of slower payments in some Gulf markets.</w:t>
      </w:r>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for credit losses   ·   61–90 days past due   ·   Over 90 days past due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method is used for U.S. tax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is not GAAP when bad debts 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because it records losses late and shows receivables at a gross amount. </w:t>
      </w:r>
      <w:r>
        <w:rPr>
          <w:sz w:val="19"/>
          <w:szCs w:val="19"/>
        </w:rPr>
        <w:t xml:space="preserve">Older questions sometimes estimate the expense as a percentage of credit sales. </w:t>
      </w:r>
      <w:r>
        <w:rPr>
          <w:sz w:val="19"/>
          <w:szCs w:val="19"/>
        </w:rPr>
        <w:t xml:space="preserve">This income-statement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started   ·   uncollectible   ·   recovery   ·   changes   ·   returns   ·   recovered   ·   recorded   ·   collection   ·   direct   ·   journal   ·   write-off   ·   customer's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44" w:after="14"/>
      </w:pPr>
      <w:r>
        <w:rPr>
          <w:b/>
          <w:bCs/>
          <w:color w:val="353A7C"/>
          <w:sz w:val="18"/>
          <w:szCs w:val="18"/>
        </w:rPr>
        <w:t xml:space="preserve">Summary 3</w:t>
      </w:r>
      <w:r>
        <w:rPr>
          <w:color w:val="6B7280"/>
          <w:sz w:val="16"/>
          <w:szCs w:val="16"/>
        </w:rPr>
        <w:t xml:space="preserve">      gaps 27–28</w:t>
      </w:r>
    </w:p>
    <w:p>
      <w:pPr>
        <w:spacing w:before="20" w:after="20" w:line="360" w:lineRule="auto"/>
        <w:ind w:left="200"/>
      </w:pPr>
      <w:r>
        <w:rPr>
          <w:sz w:val="19"/>
          <w:szCs w:val="19"/>
        </w:rPr>
        <w:t xml:space="preserve">The first row is done.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other rows and the total, then check your total against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trial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Complete   ·   Barada's   ·   unadjusted</w:t>
            </w:r>
          </w:p>
        </w:tc>
      </w:tr>
    </w:tbl>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factoring   ·   Current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30–40</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significantly   ·   beginning   ·   Private   ·   one-year   ·   provision   ·   conditions   ·   account   ·   simplified   ·   financial   ·   forecasting   ·   amortized   ·   collected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5</w:t>
      </w:r>
      <w:r>
        <w:rPr>
          <w:color w:val="6B7280"/>
          <w:sz w:val="16"/>
          <w:szCs w:val="16"/>
        </w:rPr>
        <w:t xml:space="preserve">      gaps 41–43</w:t>
      </w:r>
    </w:p>
    <w:p>
      <w:pPr>
        <w:spacing w:before="20" w:after="20" w:line="360" w:lineRule="auto"/>
        <w:ind w:left="200"/>
      </w:pPr>
      <w:r>
        <w:rPr>
          <w:sz w:val="19"/>
          <w:szCs w:val="19"/>
        </w:rPr>
        <w:t xml:space="preserve">An allowance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liability   ·   doubtful   ·   reduces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6</w:t>
      </w:r>
      <w:r>
        <w:rPr>
          <w:color w:val="6B7280"/>
          <w:sz w:val="16"/>
          <w:szCs w:val="16"/>
        </w:rPr>
        <w:t xml:space="preserve">      gaps 44–46</w:t>
      </w:r>
    </w:p>
    <w:p>
      <w:pPr>
        <w:spacing w:before="20" w:after="20" w:line="360" w:lineRule="auto"/>
        <w:ind w:left="200"/>
      </w:pPr>
      <w:r>
        <w:rPr>
          <w:sz w:val="19"/>
          <w:szCs w:val="19"/>
        </w:rPr>
        <w:t xml:space="preserve">The aging gives the required ENDING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(45)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(46)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allowance   ·   credit   ·   write-off   ·   approach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46"/>
        <w:gridCol w:w="3150"/>
        <w:gridCol w:w="350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153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40"/>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1825"/>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1534"/>
            <w:tcMar>
              <w:top w:type="dxa" w:w="50"/>
              <w:left w:type="dxa" w:w="110"/>
              <w:bottom w:type="dxa" w:w="50"/>
              <w:right w:type="dxa" w:w="110"/>
            </w:tcMar>
          </w:tcPr>
          <w:p>
            <w:pPr>
              <w:spacing w:before="28" w:after="28"/>
            </w:pPr>
            <w:r>
              <w:rPr>
                <w:sz w:val="15"/>
                <w:szCs w:val="15"/>
              </w:rPr>
              <w:t xml:space="preserve">When is the expense recorded?</w:t>
            </w:r>
          </w:p>
        </w:tc>
        <w:tc>
          <w:tcPr>
            <w:tcW w:type="pct" w:w="1640"/>
            <w:tcMar>
              <w:top w:type="dxa" w:w="50"/>
              <w:left w:type="dxa" w:w="110"/>
              <w:bottom w:type="dxa" w:w="50"/>
              <w:right w:type="dxa" w:w="110"/>
            </w:tcMar>
          </w:tcPr>
          <w:p>
            <w:pPr>
              <w:spacing w:before="28" w:after="28"/>
            </w:pPr>
            <w:r>
              <w:rPr>
                <w:sz w:val="15"/>
                <w:szCs w:val="15"/>
              </w:rPr>
              <w:t xml:space="preserve">Each period, for expected losses (matching)</w:t>
            </w:r>
          </w:p>
        </w:tc>
        <w:tc>
          <w:tcPr>
            <w:tcW w:type="pct" w:w="1825"/>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1534"/>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1640"/>
            <w:shd w:fill="FBFAF6" w:val="clear"/>
            <w:tcMar>
              <w:top w:type="dxa" w:w="50"/>
              <w:left w:type="dxa" w:w="110"/>
              <w:bottom w:type="dxa" w:w="50"/>
              <w:right w:type="dxa" w:w="110"/>
            </w:tcMar>
          </w:tcPr>
          <w:p>
            <w:pPr>
              <w:spacing w:before="28" w:after="28"/>
            </w:pPr>
            <w:r>
              <w:rPr>
                <w:sz w:val="15"/>
                <w:szCs w:val="15"/>
              </w:rPr>
              <w:t xml:space="preserve">28,000</w:t>
            </w:r>
          </w:p>
        </w:tc>
        <w:tc>
          <w:tcPr>
            <w:tcW w:type="pct" w:w="1825"/>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1534"/>
            <w:tcMar>
              <w:top w:type="dxa" w:w="50"/>
              <w:left w:type="dxa" w:w="110"/>
              <w:bottom w:type="dxa" w:w="50"/>
              <w:right w:type="dxa" w:w="110"/>
            </w:tcMar>
          </w:tcPr>
          <w:p>
            <w:pPr>
              <w:spacing w:before="28" w:after="28"/>
            </w:pPr>
            <w:r>
              <w:rPr>
                <w:sz w:val="15"/>
                <w:szCs w:val="15"/>
              </w:rPr>
              <w:t xml:space="preserve">Receivables on the balance sheet</w:t>
            </w:r>
          </w:p>
        </w:tc>
        <w:tc>
          <w:tcPr>
            <w:tcW w:type="pct" w:w="1640"/>
            <w:tcMar>
              <w:top w:type="dxa" w:w="50"/>
              <w:left w:type="dxa" w:w="110"/>
              <w:bottom w:type="dxa" w:w="50"/>
              <w:right w:type="dxa" w:w="110"/>
            </w:tcMar>
          </w:tcPr>
          <w:p>
            <w:pPr>
              <w:spacing w:before="28" w:after="28"/>
            </w:pPr>
            <w:r>
              <w:rPr>
                <w:sz w:val="15"/>
                <w:szCs w:val="15"/>
              </w:rPr>
              <w:t xml:space="preserve">Net: 626,000</w:t>
            </w:r>
          </w:p>
        </w:tc>
        <w:tc>
          <w:tcPr>
            <w:tcW w:type="pct" w:w="1825"/>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1534"/>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1640"/>
            <w:shd w:fill="FFFFFF" w:val="clear"/>
            <w:tcMar>
              <w:top w:type="dxa" w:w="50"/>
              <w:left w:type="dxa" w:w="110"/>
              <w:bottom w:type="dxa" w:w="50"/>
              <w:right w:type="dxa" w:w="110"/>
            </w:tcMar>
          </w:tcPr>
          <w:p>
            <w:pPr>
              <w:spacing w:before="46" w:after="46"/>
            </w:pPr>
            <w:r>
              <w:rPr>
                <w:b/>
                <w:bCs/>
                <w:color w:val="8186EF"/>
                <w:sz w:val="14"/>
                <w:szCs w:val="14"/>
              </w:rPr>
              <w:t xml:space="preserve">(49)</w:t>
            </w:r>
          </w:p>
        </w:tc>
        <w:tc>
          <w:tcPr>
            <w:tcW w:type="pct" w:w="1825"/>
            <w:shd w:fill="FBFAF6" w:val="clear"/>
            <w:tcMar>
              <w:top w:type="dxa" w:w="50"/>
              <w:left w:type="dxa" w:w="110"/>
              <w:bottom w:type="dxa" w:w="50"/>
              <w:right w:type="dxa" w:w="110"/>
            </w:tcMar>
          </w:tcPr>
          <w:p>
            <w:pPr>
              <w:spacing w:before="28" w:after="28"/>
            </w:pPr>
            <w:r>
              <w:rPr>
                <w:sz w:val="15"/>
                <w:szCs w:val="15"/>
              </w:rPr>
              <w:t xml:space="preserve">No, when bad debts are material; used for U.S.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Only when a customer's balance is written off   ·   cash discount   ·   Gross: 660,000 (overstated)   ·   Yes (CECL)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Only when a customer's balance is written 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Yes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The direct method is used for U.S. tax returns. It is not GAAP when bad debts are material, because it records losses late and shows receivables at a gross amount.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The first row is done. Complete the other rows and the total, then check your total against Barada's trial balance.</w:t>
      </w:r>
    </w:p>
    <w:p>
      <w:pPr>
        <w:spacing w:before="20" w:after="20"/>
        <w:ind w:left="240" w:hanging="240"/>
      </w:pPr>
      <w:r>
        <w:rPr>
          <w:b/>
          <w:bCs/>
          <w:color w:val="353A7C"/>
          <w:sz w:val="15"/>
          <w:szCs w:val="15"/>
        </w:rPr>
        <w:t xml:space="preserve">Summary 4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5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6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company that needs cash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customers pay can use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two ways. </w:t>
      </w:r>
      <w:r>
        <w:rPr>
          <w:sz w:val="19"/>
          <w:szCs w:val="19"/>
        </w:rPr>
        <w:t xml:space="preserve">It can use them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a loan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or it can transfer them to a finance company called a factor. </w:t>
      </w:r>
      <w:r>
        <w:rPr>
          <w:sz w:val="19"/>
          <w:szCs w:val="19"/>
        </w:rPr>
        <w:t xml:space="preserve">U.S. GAAP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right to collect from the seller if customers do not pay. </w:t>
      </w:r>
      <w:r>
        <w:rPr>
          <w:sz w:val="19"/>
          <w:szCs w:val="19"/>
        </w:rPr>
        <w:t xml:space="preserve">Recourse does not by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its fair value, which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itself   ·   increases   ·   borrowing   ·   exchange   ·   before   ·   collateral   ·   treats   ·   factor's   ·   receivables   ·   pledging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credit loss expense</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receivables with a carrying amount of $500,000 to Gulf Factor Co. The factor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 fee of 3% ($15,000) and keeps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(due from factor) of 5% ($25,000) to cover returns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sheet, marked as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Loss on a sale = carrying amount − (cash + due from factor − recourse liability). </w:t>
      </w:r>
      <w:r>
        <w:rPr>
          <w:sz w:val="19"/>
          <w:szCs w:val="19"/>
        </w:rPr>
        <w:t xml:space="preserve">With recourse: $500,000 − ($460,000 + $25,000 − $6,000) = $21,000.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borrowing   ·   receives   ·   Recourse   ·   without   ·   holdback   ·   Interest   ·   receivable   ·   credits   ·   pledged   ·   transfers   ·   balance   ·   charges   ·   discounts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25–34</w:t>
      </w:r>
    </w:p>
    <w:p>
      <w:pPr>
        <w:spacing w:before="20" w:after="20" w:line="360" w:lineRule="auto"/>
        <w:ind w:left="200"/>
      </w:pP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sheet effect is the main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receivables and adds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or no debt, so ratios such as debt to equity look better. </w:t>
      </w:r>
      <w:r>
        <w:rPr>
          <w:sz w:val="19"/>
          <w:szCs w:val="19"/>
        </w:rPr>
        <w:t xml:space="preserve">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Factoring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   ·   secured   ·   whether   ·   analysts   ·   removes   ·   derecognition   ·   liability   ·   little   ·   substantially   ·   pledged   ·   balance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 not assume that every transfer with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derecognition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Current: 250,000 at an expected loss rate of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Aging</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(38) </w:t>
            </w:r>
            <w:r>
              <w:rPr>
                <w:u w:val="single"/>
                <w:sz w:val="15"/>
                <w:szCs w:val="15"/>
              </w:rPr>
              <w:t xml:space="preserve">              </w:t>
            </w:r>
            <w:r>
              <w:rPr>
                <w:sz w:val="15"/>
                <w:szCs w:val="15"/>
              </w:rPr>
              <w:t xml:space="preserve"> </w:t>
            </w:r>
            <w:r>
              <w:rPr>
                <w:sz w:val="15"/>
                <w:szCs w:val="15"/>
              </w:rPr>
              <w:t xml:space="preserve">: 90,000 at an expected loss rate of 10%</w:t>
            </w:r>
          </w:p>
        </w:tc>
      </w:tr>
      <w:tr>
        <w:tc>
          <w:tcPr>
            <w:tcW w:type="pct" w:w="2400"/>
            <w:tcMar>
              <w:top w:type="dxa" w:w="50"/>
              <w:left w:type="dxa" w:w="110"/>
              <w:bottom w:type="dxa" w:w="50"/>
              <w:right w:type="dxa" w:w="110"/>
            </w:tcMar>
          </w:tcPr>
          <w:p>
            <w:pPr>
              <w:spacing w:before="28" w:after="28"/>
            </w:pPr>
            <w:r>
              <w:rPr>
                <w:sz w:val="15"/>
                <w:szCs w:val="15"/>
              </w:rPr>
              <w:t xml:space="preserve">Aging</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(39)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00"/>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(40)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400"/>
            <w:tcMar>
              <w:top w:type="dxa" w:w="50"/>
              <w:left w:type="dxa" w:w="110"/>
              <w:bottom w:type="dxa" w:w="50"/>
              <w:right w:type="dxa" w:w="110"/>
            </w:tcMar>
          </w:tcPr>
          <w:p>
            <w:pPr>
              <w:spacing w:before="28" w:after="28"/>
            </w:pPr>
            <w:r>
              <w:rPr>
                <w:sz w:val="15"/>
                <w:szCs w:val="15"/>
              </w:rPr>
              <w:t xml:space="preserve">Transfer T1</w:t>
            </w:r>
          </w:p>
        </w:tc>
        <w:tc>
          <w:tcPr>
            <w:tcW w:type="pct" w:w="2600"/>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transferred with recourse. They are legally isolated from Orontes, the factor may pledge them, and Orontes cannot buy them back.</w:t>
            </w:r>
          </w:p>
        </w:tc>
      </w:tr>
      <w:tr>
        <w:tc>
          <w:tcPr>
            <w:tcW w:type="pct" w:w="2400"/>
            <w:tcMar>
              <w:top w:type="dxa" w:w="50"/>
              <w:left w:type="dxa" w:w="110"/>
              <w:bottom w:type="dxa" w:w="50"/>
              <w:right w:type="dxa" w:w="110"/>
            </w:tcMar>
          </w:tcPr>
          <w:p>
            <w:pPr>
              <w:spacing w:before="28" w:after="28"/>
            </w:pPr>
            <w:r>
              <w:rPr>
                <w:sz w:val="15"/>
                <w:szCs w:val="15"/>
              </w:rPr>
              <w:t xml:space="preserve">Transfer T3</w:t>
            </w:r>
          </w:p>
        </w:tc>
        <w:tc>
          <w:tcPr>
            <w:tcW w:type="pct" w:w="2600"/>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00"/>
            <w:shd w:fill="FBFAF6" w:val="clear"/>
            <w:tcMar>
              <w:top w:type="dxa" w:w="50"/>
              <w:left w:type="dxa" w:w="110"/>
              <w:bottom w:type="dxa" w:w="50"/>
              <w:right w:type="dxa" w:w="110"/>
            </w:tcMar>
          </w:tcPr>
          <w:p>
            <w:pPr>
              <w:spacing w:before="28" w:after="28"/>
            </w:pPr>
            <w:r>
              <w:rPr>
                <w:sz w:val="15"/>
                <w:szCs w:val="15"/>
              </w:rPr>
              <w:t xml:space="preserve">Receivables pledged as collateral for a bank loan; Orontes still collects them.</w:t>
            </w:r>
          </w:p>
        </w:tc>
      </w:tr>
      <w:tr>
        <w:tc>
          <w:tcPr>
            <w:tcW w:type="pct" w:w="2400"/>
            <w:tcMar>
              <w:top w:type="dxa" w:w="50"/>
              <w:left w:type="dxa" w:w="110"/>
              <w:bottom w:type="dxa" w:w="50"/>
              <w:right w:type="dxa" w:w="110"/>
            </w:tcMar>
          </w:tcPr>
          <w:p>
            <w:pPr>
              <w:spacing w:before="28" w:after="28"/>
            </w:pPr>
            <w:r>
              <w:rPr>
                <w:sz w:val="15"/>
                <w:szCs w:val="15"/>
              </w:rPr>
              <w:t xml:space="preserve">Transfer T2 details</w:t>
            </w:r>
          </w:p>
        </w:tc>
        <w:tc>
          <w:tcPr>
            <w:tcW w:type="pct" w:w="2600"/>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Write-offs   ·   Over 60 days past due   ·   1–60 days past due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(41)</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current expected credit losses (CECL)</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factor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aging schedule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before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reason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collateral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removes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pledging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little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holdback</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secured borrowing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that needs cash before its customers pay can use its receivables in two ways. It can use them as collateral for a loan (pledging), or it can transfer them to a finance company called a factor. 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Loss on a sale = carrying amount − (cash + due from factor − recourse liability). With recourse: $500,000 − ($460,000 + $25,000 − $6,000) = $21,000.</w:t>
      </w:r>
    </w:p>
    <w:p>
      <w:pPr>
        <w:spacing w:before="20" w:after="20"/>
        <w:ind w:left="240" w:hanging="240"/>
      </w:pPr>
      <w:r>
        <w:rPr>
          <w:b/>
          <w:bCs/>
          <w:color w:val="353A7C"/>
          <w:sz w:val="15"/>
          <w:szCs w:val="15"/>
        </w:rPr>
        <w:t xml:space="preserve">Summary 3   </w:t>
      </w:r>
      <w:r>
        <w:rPr>
          <w:color w:val="6B7280"/>
          <w:sz w:val="15"/>
          <w:szCs w:val="15"/>
        </w:rPr>
        <w:t xml:space="preserve">The balance sheet effect is the main reason companies care. A sale removes the receivables and adds little or no debt, so ratios such as debt to equity look better. 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FOB destination</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Control   ·   situations</w:t>
            </w:r>
          </w:p>
        </w:tc>
      </w:tr>
    </w:tbl>
    <w:p/>
    <w:p>
      <w:pPr>
        <w:spacing w:before="44" w:after="14"/>
      </w:pPr>
      <w:r>
        <w:rPr>
          <w:b/>
          <w:bCs/>
          <w:color w:val="353A7C"/>
          <w:sz w:val="18"/>
          <w:szCs w:val="18"/>
        </w:rPr>
        <w:t xml:space="preserve">Summary 2</w:t>
      </w:r>
      <w:r>
        <w:rPr>
          <w:color w:val="6B7280"/>
          <w:sz w:val="16"/>
          <w:szCs w:val="16"/>
        </w:rPr>
        <w:t xml:space="preserve">      gaps 15–24</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Use it for every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item in an exam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Two special cases appear in later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   somewhere   ·   question   ·   others   ·   chapters   ·   consigned   ·   though   ·   year-end   ·   warehouse   ·   consignee   ·   consignor's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expects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28–31</w:t>
      </w:r>
    </w:p>
    <w:p>
      <w:pPr>
        <w:spacing w:before="20" w:after="20" w:line="360" w:lineRule="auto"/>
        <w:ind w:left="200"/>
      </w:pPr>
      <w:r>
        <w:rPr>
          <w:sz w:val="19"/>
          <w:szCs w:val="19"/>
        </w:rPr>
        <w:t xml:space="preserve">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consignee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inventory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consignee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Use it for every year-end item in an exam question.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inventoriable   ·   needed   ·   freight-in   ·   expects   ·   direct   ·   recorded   ·   condition   ·   become   ·   capacity   ·   unusually   ·   freight-out   ·   expenses   ·   non-refundable</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In the same way,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average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consignor   ·   No: period cost   ·   reduces</w:t>
            </w:r>
          </w:p>
        </w:tc>
      </w:tr>
    </w:tbl>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The two costs at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include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freight-out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November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Weighted-average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freight-in</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goods available for sale</w:t>
            </w:r>
          </w:p>
        </w:tc>
      </w:tr>
    </w:tbl>
    <w:p/>
    <w:p>
      <w:pPr>
        <w:spacing w:before="44" w:after="14"/>
      </w:pPr>
      <w:r>
        <w:rPr>
          <w:b/>
          <w:bCs/>
          <w:color w:val="353A7C"/>
          <w:sz w:val="18"/>
          <w:szCs w:val="18"/>
        </w:rPr>
        <w:t xml:space="preserve">Summary 4</w:t>
      </w:r>
      <w:r>
        <w:rPr>
          <w:color w:val="6B7280"/>
          <w:sz w:val="16"/>
          <w:szCs w:val="16"/>
        </w:rPr>
        <w:t xml:space="preserve">      gaps 22–29</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the goods at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perpetual   ·   updates   ·   November   ·   systems   ·   counts   ·   moving   ·   year-end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30–35</w:t>
      </w:r>
    </w:p>
    <w:p>
      <w:pPr>
        <w:spacing w:before="20" w:after="20" w:line="360" w:lineRule="auto"/>
        <w:ind w:left="200"/>
      </w:pPr>
      <w:r>
        <w:rPr>
          <w:sz w:val="19"/>
          <w:szCs w:val="19"/>
        </w:rPr>
        <w:t xml:space="preserve">The Dubai plant had 3,000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pastry trays available in 2025,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dashed boxes below using periodic LIFO. </w:t>
      </w:r>
      <w:r>
        <w:rPr>
          <w:sz w:val="19"/>
          <w:szCs w:val="19"/>
        </w:rPr>
        <w:t xml:space="preserve">Then check that cost of goods sold plus ending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perpetual   ·   frozen   ·   inventory   ·   Complete   ·   interchangeable   ·   frameworks   ·   costing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Talking about time and order</w:t>
            </w:r>
          </w:p>
        </w:tc>
      </w:tr>
    </w:tbl>
    <w:p/>
    <w:p>
      <w:pPr>
        <w:spacing w:before="20" w:after="20" w:line="360" w:lineRule="auto"/>
        <w:ind w:left="200"/>
      </w:pPr>
      <w:r>
        <w:rPr>
          <w:sz w:val="19"/>
          <w:szCs w:val="19"/>
        </w:rPr>
        <w:t xml:space="preserve">Under LIFO, the company adds a layer when it buys more than it sells. A company can use LIFO even if it ships its oldest bottles first.</w:t>
      </w:r>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LIFO conformity rule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frozen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moving average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Complete the dashed boxes below using periodic LIFO.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holding   ·   revenues   ·   different</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FIFO with two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the company should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if it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started   ·   results   ·   low-cost   ·   illustrative   ·   liquidation   ·   analyst   ·   during   ·   material   ·   improvement   ·   Income   ·   relationships   ·   disclose</w:t>
            </w:r>
          </w:p>
        </w:tc>
      </w:tr>
    </w:tbl>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A company that uses LIFO for its tax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low-cost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To get FIFO cost of goods sold,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holding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31–32</w:t>
      </w:r>
    </w:p>
    <w:p>
      <w:pPr>
        <w:spacing w:before="20" w:after="20" w:line="360" w:lineRule="auto"/>
        <w:ind w:left="200"/>
      </w:pPr>
      <w:r>
        <w:rPr>
          <w:sz w:val="19"/>
          <w:szCs w:val="19"/>
        </w:rPr>
        <w:t xml:space="preserve">The LIFO reserve is not an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conformity rule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exam item: when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because   ·   inventory   ·   Retained   ·   cancel   ·   Orontes   ·   Remember   ·   accounts   ·   classic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2. Ending inventory understated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consignment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tells you the direction. </w:t>
      </w:r>
      <w:r>
        <w:rPr>
          <w:sz w:val="19"/>
          <w:szCs w:val="19"/>
        </w:rPr>
        <w:t xml:space="preserve">Net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find the direction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question   ·   prefix   ·   correct</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counterbalancing error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w:t>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available   ·   freight-out</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البضاعة المباعة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comparison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prefix</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counterbalanced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cost of goods sold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The prefix tells you the direction. Net income is overstated by 40 (the size of the error), not overstated to 940. In a question, find the direction for the first year, then reverse it for the second year.</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net realizable value (NRV)</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recognized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New estimated selling price per case</w:t>
            </w:r>
          </w:p>
        </w:tc>
        <w:tc>
          <w:tcPr>
            <w:tcW w:type="pct" w:w="2400"/>
            <w:tcMar>
              <w:top w:type="dxa" w:w="50"/>
              <w:left w:type="dxa" w:w="110"/>
              <w:bottom w:type="dxa" w:w="50"/>
              <w:right w:type="dxa" w:w="110"/>
            </w:tcMar>
          </w:tcPr>
          <w:p>
            <w:pPr>
              <w:spacing w:before="28" w:after="28"/>
            </w:pPr>
            <w:r>
              <w:rPr>
                <w:sz w:val="15"/>
                <w:szCs w:val="15"/>
              </w:rPr>
              <w:t xml:space="preserve">$54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$48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$96,000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22–26</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   ·   original</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markdown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lower of cost and net realizable value (LCNRV)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lower of cost and net realizable value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write-down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dollars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Values are per case in whole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For each line, market is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three limits, and LCM is the lower of cost and market.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dollars   ·   directly   ·   middle</w:t>
            </w:r>
          </w:p>
        </w:tc>
      </w:tr>
    </w:tbl>
    <w:p/>
    <w:p>
      <w:pPr>
        <w:spacing w:before="44" w:after="10"/>
      </w:pPr>
      <w:r>
        <w:rPr>
          <w:b/>
          <w:bCs/>
          <w:color w:val="353A7C"/>
          <w:sz w:val="18"/>
          <w:szCs w:val="18"/>
        </w:rPr>
        <w:t xml:space="preserve">LCM, item by item, for four Orontes product lines measured under LIFO (whole USD per case)</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shrinkage   ·   Tahini   ·   Chickpeas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15–22</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or to the total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non-cancellable   ·   inventory   ·   compared   ·   expected   ·   because   ·   consistently   ·   conservative   ·   item-by-item   ·   category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spacing w:before="44" w:after="14"/>
      </w:pPr>
      <w:r>
        <w:rPr>
          <w:b/>
          <w:bCs/>
          <w:color w:val="353A7C"/>
          <w:sz w:val="18"/>
          <w:szCs w:val="18"/>
        </w:rPr>
        <w:t xml:space="preserve">Summary 4</w:t>
      </w:r>
      <w:r>
        <w:rPr>
          <w:color w:val="6B7280"/>
          <w:sz w:val="16"/>
          <w:szCs w:val="16"/>
        </w:rPr>
        <w:t xml:space="preserve">      gaps 23–26</w:t>
      </w:r>
    </w:p>
    <w:p>
      <w:pPr>
        <w:spacing w:before="20" w:after="20" w:line="360" w:lineRule="auto"/>
        <w:ind w:left="200"/>
      </w:pPr>
      <w:r>
        <w:rPr>
          <w:sz w:val="19"/>
          <w:szCs w:val="19"/>
        </w:rPr>
        <w:t xml:space="preserve">Do not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replacement cost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item by item, by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directly   ·   abnormally   ·   question   ·   category   ·   compare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compare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dollars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Chickpeas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item-by-item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category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Values are per case in whole dollars. For each line, market is the middle of the three limits, and LCM is the lower of cost and market.</w:t>
      </w:r>
    </w:p>
    <w:p>
      <w:pPr>
        <w:spacing w:before="20" w:after="20"/>
        <w:ind w:left="240" w:hanging="240"/>
      </w:pPr>
      <w:r>
        <w:rPr>
          <w:b/>
          <w:bCs/>
          <w:color w:val="353A7C"/>
          <w:sz w:val="15"/>
          <w:szCs w:val="15"/>
        </w:rPr>
        <w:t xml:space="preserve">Summary 3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4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destroyed</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cost-to-retail ratio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floor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Complete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boxes using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retail method. </w:t>
      </w:r>
      <w:r>
        <w:rPr>
          <w:sz w:val="19"/>
          <w:szCs w:val="19"/>
        </w:rPr>
        <w:t xml:space="preserve">A LIFO retail method also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adds a new layer each year at that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ratio. </w:t>
      </w:r>
      <w:r>
        <w:rPr>
          <w:sz w:val="19"/>
          <w:szCs w:val="19"/>
        </w:rPr>
        <w:t xml:space="preserve">The exam tests it less often. </w:t>
      </w:r>
      <w:r>
        <w:rPr>
          <w:sz w:val="19"/>
          <w:szCs w:val="19"/>
        </w:rPr>
        <w:t xml:space="preserve">The gross profit method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interim reports, to check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annual financial statements.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warehouse in Jebel Ali. </w:t>
      </w:r>
      <w:r>
        <w:rPr>
          <w:sz w:val="19"/>
          <w:szCs w:val="19"/>
        </w:rPr>
        <w:t xml:space="preserve">Beginning inventory was $80,000,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destroyed   ·   exists   ·   shrinkage   ·   costing   ·   leaves   ·   physical   ·   markdowns   ·   acceptable   ·   year's   ·   estimates   ·   conventional   ·   dashed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available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floor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dashed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Complete the dashed boxes using the conventional retail method. 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No method is best in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 some goals and weak on others.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situation   ·   weighted   ·   strong</w:t>
            </w:r>
          </w:p>
        </w:tc>
      </w:tr>
    </w:tbl>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the two   ·   Cost of records   ·   Balance sheet (inventory)</w:t>
            </w:r>
          </w:p>
        </w:tc>
      </w:tr>
    </w:tbl>
    <w:p/>
    <w:p>
      <w:pPr>
        <w:spacing w:before="44" w:after="14"/>
      </w:pPr>
      <w:r>
        <w:rPr>
          <w:b/>
          <w:bCs/>
          <w:color w:val="353A7C"/>
          <w:sz w:val="18"/>
          <w:szCs w:val="18"/>
        </w:rPr>
        <w:t xml:space="preserve">Summary 2</w:t>
      </w:r>
      <w:r>
        <w:rPr>
          <w:color w:val="6B7280"/>
          <w:sz w:val="16"/>
          <w:szCs w:val="16"/>
        </w:rPr>
        <w:t xml:space="preserve">      gaps 5–13</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statements   ·   strengths   ·   identical   ·   out-of-date   ·   ceiling   ·   manipulate   ·   smooths   ·   prices</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identical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strong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 sheet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 of records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 method is best in every situation. Each one is strong on some goals and weak on others.</w:t>
      </w:r>
    </w:p>
    <w:p>
      <w:pPr>
        <w:spacing w:before="20" w:after="20"/>
        <w:ind w:left="240" w:hanging="240"/>
      </w:pPr>
      <w:r>
        <w:rPr>
          <w:b/>
          <w:bCs/>
          <w:color w:val="353A7C"/>
          <w:sz w:val="15"/>
          <w:szCs w:val="15"/>
        </w:rPr>
        <w:t xml:space="preserve">Summary 2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conformity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identical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profits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cost-to-retail ratio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purchase commitment   ·   LCNRV</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other comprehensive income (OCI)   ·   Measuring debt securities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classification   ·   ownership   ·   holder   ·   current   ·   covers   ·   positive   ·   Held-to-maturity   ·   bought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maturity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standard   ·   change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available-for-sale (AFS)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positive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available-for-sale (AFS)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held-to-maturity (HTM) securities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Trading and AFS securities are reported at fair value: the price the company would receive if it sold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an orderly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HTM securities are reported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w:t>
      </w:r>
      <w:r>
        <w:rPr>
          <w:sz w:val="19"/>
          <w:szCs w:val="19"/>
        </w:rPr>
        <w:t xml:space="preserve">The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trading and AFS is where the unrealized holding gain or loss goes. </w:t>
      </w:r>
      <w:r>
        <w:rPr>
          <w:sz w:val="19"/>
          <w:szCs w:val="19"/>
        </w:rPr>
        <w:t xml:space="preserve">For trading it goes to net income. </w:t>
      </w:r>
      <w:r>
        <w:rPr>
          <w:sz w:val="19"/>
          <w:szCs w:val="19"/>
        </w:rPr>
        <w:t xml:space="preserve">For AFS it goes to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transaction   ·   amortized   ·   security   ·   comprehensive   ·   adjustment</w:t>
            </w:r>
          </w:p>
        </w:tc>
      </w:tr>
    </w:tbl>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Held-to-maturity (debt)   ·   debt security</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A bond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orderly   ·   toward   ·   bought   ·   higher   ·   received   ·   purchase   ·   effective-interest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   interest   ·   December   ·   January</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debt security   ·   Cash interest</w:t>
            </w:r>
          </w:p>
        </w:tc>
      </w:tr>
    </w:tbl>
    <w:p/>
    <w:p>
      <w:pPr>
        <w:spacing w:before="44" w:after="14"/>
      </w:pPr>
      <w:r>
        <w:rPr>
          <w:b/>
          <w:bCs/>
          <w:color w:val="353A7C"/>
          <w:sz w:val="18"/>
          <w:szCs w:val="18"/>
        </w:rPr>
        <w:t xml:space="preserve">Summary 4</w:t>
      </w:r>
      <w:r>
        <w:rPr>
          <w:color w:val="6B7280"/>
          <w:sz w:val="16"/>
          <w:szCs w:val="16"/>
        </w:rPr>
        <w:t xml:space="preserve">      gaps 19–20</w:t>
      </w:r>
    </w:p>
    <w:p>
      <w:pPr>
        <w:spacing w:before="20" w:after="20" w:line="360" w:lineRule="auto"/>
        <w:ind w:left="200"/>
      </w:pPr>
      <w:r>
        <w:rPr>
          <w:sz w:val="19"/>
          <w:szCs w:val="19"/>
        </w:rPr>
        <w:t xml:space="preserve">In 2025,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year-end   ·   sometimes</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holding gain or loss   ·   Amortized cost at Dec 31, 2025</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22–33</w:t>
      </w:r>
    </w:p>
    <w:p>
      <w:pPr>
        <w:spacing w:before="20" w:after="20" w:line="360" w:lineRule="auto"/>
        <w:ind w:left="200"/>
      </w:pPr>
      <w:r>
        <w:rPr>
          <w:sz w:val="19"/>
          <w:szCs w:val="19"/>
        </w:rPr>
        <w:t xml:space="preserve">Interest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counted   ·   immediately   ·   balance   ·   reclassification   ·   adjustment   ·   between   ·   equity   ·   remaining   ·   sometimes   ·   returns   ·   losses   ·   differ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6</w:t>
      </w:r>
      <w:r>
        <w:rPr>
          <w:color w:val="6B7280"/>
          <w:sz w:val="16"/>
          <w:szCs w:val="16"/>
        </w:rPr>
        <w:t xml:space="preserve">      gaps 34–36</w:t>
      </w:r>
    </w:p>
    <w:p>
      <w:pPr>
        <w:spacing w:before="20" w:after="20" w:line="360" w:lineRule="auto"/>
        <w:ind w:left="200"/>
      </w:pPr>
      <w:r>
        <w:rPr>
          <w:sz w:val="19"/>
          <w:szCs w:val="19"/>
        </w:rPr>
        <w:t xml:space="preserve">Trading: fair value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remaining   ·   beginning   ·   accumulated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bond discount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Amortized cost at Dec 31, 2025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 interest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bond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year-end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Trading and AFS securities are reported at fair value: the price the company would receive if it sold the security in an orderly transaction. HTM securities are reported at amortized cost. The main difference between trading and AFS is where the unrealized holding gain or loss goes. For trading it goes to net income. For AFS it goes to other comprehensive income (OCI).</w:t>
      </w:r>
    </w:p>
    <w:p>
      <w:pPr>
        <w:spacing w:before="20" w:after="20"/>
        <w:ind w:left="240" w:hanging="240"/>
      </w:pPr>
      <w:r>
        <w:rPr>
          <w:b/>
          <w:bCs/>
          <w:color w:val="353A7C"/>
          <w:sz w:val="15"/>
          <w:szCs w:val="15"/>
        </w:rPr>
        <w:t xml:space="preserve">Summary 2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3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4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5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6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amortized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writes the security down to fair value through net income   ·   recovers   ·   reclassification adjustment   ·   separates</w:t>
            </w:r>
          </w:p>
        </w:tc>
      </w:tr>
    </w:tbl>
    <w:p/>
    <w:p>
      <w:pPr>
        <w:spacing w:before="44" w:after="14"/>
      </w:pPr>
      <w:r>
        <w:rPr>
          <w:b/>
          <w:bCs/>
          <w:color w:val="353A7C"/>
          <w:sz w:val="18"/>
          <w:szCs w:val="18"/>
        </w:rPr>
        <w:t xml:space="preserve">Summary 2</w:t>
      </w:r>
      <w:r>
        <w:rPr>
          <w:color w:val="6B7280"/>
          <w:sz w:val="16"/>
          <w:szCs w:val="16"/>
        </w:rPr>
        <w:t xml:space="preserve">      gaps 11–16</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later, the allowance can be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reversed   ·   decline   ·   improves   ·   limited   ·   Nothing   ·   records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AFS allowance ≤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impaired</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reversed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investee, the company whose shares it holds. </w:t>
      </w:r>
      <w:r>
        <w:rPr>
          <w:sz w:val="19"/>
          <w:szCs w:val="19"/>
        </w:rPr>
        <w:t xml:space="preserve">Shares with a readily determinable fair value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bought   ·   transaction   ·   changes   ·   dividend   ·   option   ·   year-end   ·   measured   ·   significant   ·   impaired   ·   category   ·   question   ·   measurement</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difference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20–29</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worth more than its book value, which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over 10 years ($3,000 a year), and $270,000 of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which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Glass's   ·   January   ·   equipment   ·   difference   ·   amortized   ·   goodwill   ·   change   ·   equity-method   ·   investor   ·   supplier   ·   depreciated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30–41</w:t>
      </w:r>
    </w:p>
    <w:p>
      <w:pPr>
        <w:spacing w:before="20" w:after="20" w:line="360" w:lineRule="auto"/>
        <w:ind w:left="200"/>
      </w:pPr>
      <w:r>
        <w:rPr>
          <w:sz w:val="19"/>
          <w:szCs w:val="19"/>
        </w:rPr>
        <w:t xml:space="preserve">In 2026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Glass earns $400,000 and pays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classifies   ·   questions   ·   amortize   ·   Jordan   ·   guaranteed   ·   irrevocable   ·   significant   ·   definition   ·   impairment   ·   effective   ·   depreciation   ·   eliminated   ·   dividends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Equity method: dividends reduce the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unrealized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0"/>
        <w:gridCol w:w="4224"/>
        <w:gridCol w:w="218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138"/>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094"/>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(45) </w:t>
            </w:r>
            <w:r>
              <w:rPr>
                <w:u w:val="single"/>
                <w:sz w:val="15"/>
                <w:szCs w:val="15"/>
              </w:rPr>
              <w:t xml:space="preserve">              </w:t>
            </w:r>
            <w:r>
              <w:rPr>
                <w:sz w:val="15"/>
                <w:szCs w:val="15"/>
              </w:rPr>
              <w:t xml:space="preserve"> </w:t>
            </w:r>
            <w:r>
              <w:rPr>
                <w:sz w:val="15"/>
                <w:szCs w:val="15"/>
              </w:rPr>
              <w:t xml:space="preserve"> team trades it actively.</w:t>
            </w:r>
          </w:p>
        </w:tc>
        <w:tc>
          <w:tcPr>
            <w:tcW w:type="pct" w:w="1138"/>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094"/>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intends and is able to hold it until it matures in 2029.</w:t>
            </w:r>
          </w:p>
        </w:tc>
        <w:tc>
          <w:tcPr>
            <w:tcW w:type="pct" w:w="1138"/>
            <w:shd w:fill="FBFAF6" w:val="clear"/>
            <w:tcMar>
              <w:top w:type="dxa" w:w="50"/>
              <w:left w:type="dxa" w:w="110"/>
              <w:bottom w:type="dxa" w:w="50"/>
              <w:right w:type="dxa" w:w="110"/>
            </w:tcMar>
          </w:tcPr>
          <w:p>
            <w:pPr>
              <w:spacing w:before="28" w:after="28"/>
            </w:pPr>
            <w:r>
              <w:rPr>
                <w:sz w:val="15"/>
                <w:szCs w:val="15"/>
              </w:rPr>
              <w:t xml:space="preserve">cost 60,000; fair value 57,000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(47)</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138"/>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094"/>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138"/>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(49)</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13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Orontes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30,000; fair value 28,500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A</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w:t>
            </w:r>
          </w:p>
        </w:tc>
        <w:tc>
          <w:tcPr>
            <w:tcW w:type="pct" w:w="2600"/>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400"/>
            <w:tcMar>
              <w:top w:type="dxa" w:w="50"/>
              <w:left w:type="dxa" w:w="110"/>
              <w:bottom w:type="dxa" w:w="50"/>
              <w:right w:type="dxa" w:w="110"/>
            </w:tcMar>
          </w:tcPr>
          <w:p>
            <w:pPr>
              <w:spacing w:before="28" w:after="28"/>
            </w:pPr>
            <w:r>
              <w:rPr>
                <w:sz w:val="15"/>
                <w:szCs w:val="15"/>
              </w:rPr>
              <w:t xml:space="preserve">C</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w:t>
            </w:r>
          </w:p>
        </w:tc>
        <w:tc>
          <w:tcPr>
            <w:tcW w:type="pct" w:w="2600"/>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400"/>
            <w:tcMar>
              <w:top w:type="dxa" w:w="50"/>
              <w:left w:type="dxa" w:w="110"/>
              <w:bottom w:type="dxa" w:w="50"/>
              <w:right w:type="dxa" w:w="110"/>
            </w:tcMar>
          </w:tcPr>
          <w:p>
            <w:pPr>
              <w:spacing w:before="28" w:after="28"/>
            </w:pPr>
            <w:r>
              <w:rPr>
                <w:sz w:val="15"/>
                <w:szCs w:val="15"/>
              </w:rPr>
              <w:t xml:space="preserve">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B</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فرق الأساس</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Jordan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54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55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56  </w:t>
            </w:r>
            <w:r>
              <w:rPr>
                <w:sz w:val="16"/>
                <w:szCs w:val="16"/>
              </w:rPr>
              <w:t xml:space="preserve">measurement alternative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change in accounting estimate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increases   ·   acquire   ·   equipment   ·   demolition   ·   maintenance   ·   purchase   ·   several   ·   relative   ·   construction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Actual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recorded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capital 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Complete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prospective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development (R&amp;D)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Complete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schedule. </w:t>
      </w:r>
      <w:r>
        <w:rPr>
          <w:sz w:val="19"/>
          <w:szCs w:val="19"/>
        </w:rPr>
        <w:t xml:space="preserve">A new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composite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   ·   capitalized   ·   accounting   ·   straight-line   ·   useful   ·   composite   ·   remaining   ·   double-declining   ·   delivery   ·   expensing   ·   restate   ·   preferable   ·   Suppose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increases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unit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goodwill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reporting 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double-declining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Complete the double-declining schedule.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if use is fairly even. </w:t>
      </w:r>
      <w:r>
        <w:rPr>
          <w:sz w:val="19"/>
          <w:szCs w:val="19"/>
        </w:rPr>
        <w:t xml:space="preserve">Other factors can support the choice: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   ·   production   ·   matches   ·   management's   ·   benefits   ·   separate   ·   straight-line   ·   comparability   ·   acceptable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computer server loses value quickly as technology changes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In a Level C question,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straight-line</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benefits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held for sale</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without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proceeds   ·   depreciation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amount   ·   involuntary conversion   ·   depreciable base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involuntary 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   ·   records</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beginning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24–35</w:t>
      </w:r>
    </w:p>
    <w:p>
      <w:pPr>
        <w:spacing w:before="20" w:after="20" w:line="360" w:lineRule="auto"/>
        <w:ind w:left="200"/>
      </w:pPr>
      <w:r>
        <w:rPr>
          <w:sz w:val="19"/>
          <w:szCs w:val="19"/>
        </w:rPr>
        <w:t xml:space="preserve">Otherwise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It also shows the rule for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and development (R&amp;D): U.S. GAAP expenses R&amp;D as incurred, except for equipment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that have other future uses. </w:t>
      </w:r>
      <w:r>
        <w:rPr>
          <w:sz w:val="19"/>
          <w:szCs w:val="19"/>
        </w:rPr>
        <w:t xml:space="preserve">ASU 2025-06 changes when companies start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amount). </w:t>
      </w:r>
      <w:r>
        <w:rPr>
          <w:sz w:val="19"/>
          <w:szCs w:val="19"/>
        </w:rPr>
        <w:t xml:space="preserve">IFRS allows the reversal of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capitalizing   ·   discounted   ·   recoverable   ·   government   ·   impairment   ·   effective   ·   applies   ·   unit's   ·   one-year   ·   tested   ·   research   ·   facilities   ·   management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36–40</w:t>
      </w:r>
    </w:p>
    <w:p>
      <w:pPr>
        <w:spacing w:before="20" w:after="20" w:line="360" w:lineRule="auto"/>
        <w:ind w:left="200"/>
      </w:pPr>
      <w:r>
        <w:rPr>
          <w:sz w:val="19"/>
          <w:szCs w:val="19"/>
        </w:rPr>
        <w:t xml:space="preserve">Step 1 uses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patents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(42)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Local property prices fell.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Year 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Year 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400"/>
            <w:tcMar>
              <w:top w:type="dxa" w:w="50"/>
              <w:left w:type="dxa" w:w="110"/>
              <w:bottom w:type="dxa" w:w="50"/>
              <w:right w:type="dxa" w:w="110"/>
            </w:tcMar>
          </w:tcPr>
          <w:p>
            <w:pPr>
              <w:spacing w:before="28" w:after="28"/>
            </w:pPr>
            <w:r>
              <w:rPr>
                <w:sz w:val="15"/>
                <w:szCs w:val="15"/>
              </w:rPr>
              <w:t xml:space="preserve">Year 4</w:t>
            </w:r>
          </w:p>
        </w:tc>
        <w:tc>
          <w:tcPr>
            <w:tcW w:type="pct" w:w="2600"/>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1,000; undiscounted cash flows 1,300; fair value 900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w:t>
            </w:r>
          </w:p>
        </w:tc>
        <w:tc>
          <w:tcPr>
            <w:tcW w:type="pct" w:w="2600"/>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(48)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400"/>
            <w:tcMar>
              <w:top w:type="dxa" w:w="50"/>
              <w:left w:type="dxa" w:w="110"/>
              <w:bottom w:type="dxa" w:w="50"/>
              <w:right w:type="dxa" w:w="110"/>
            </w:tcMar>
          </w:tcPr>
          <w:p>
            <w:pPr>
              <w:spacing w:before="28" w:after="28"/>
            </w:pPr>
            <w:r>
              <w:rPr>
                <w:sz w:val="15"/>
                <w:szCs w:val="15"/>
              </w:rPr>
              <w:t xml:space="preserve">B</w:t>
            </w:r>
          </w:p>
        </w:tc>
        <w:tc>
          <w:tcPr>
            <w:tcW w:type="pct" w:w="2600"/>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(49)</w:t>
            </w:r>
          </w:p>
        </w:tc>
      </w:tr>
      <w:tr>
        <w:tc>
          <w:tcPr>
            <w:tcW w:type="pct" w:w="2400"/>
            <w:tcMar>
              <w:top w:type="dxa" w:w="50"/>
              <w:left w:type="dxa" w:w="110"/>
              <w:bottom w:type="dxa" w:w="50"/>
              <w:right w:type="dxa" w:w="110"/>
            </w:tcMar>
          </w:tcPr>
          <w:p>
            <w:pPr>
              <w:spacing w:before="28" w:after="28"/>
            </w:pPr>
            <w:r>
              <w:rPr>
                <w:sz w:val="15"/>
                <w:szCs w:val="15"/>
              </w:rPr>
              <w:t xml:space="preserve">V</w:t>
            </w:r>
          </w:p>
        </w:tc>
        <w:tc>
          <w:tcPr>
            <w:tcW w:type="pct" w:w="2600"/>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(50)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Year 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sum-of-the-years'-digits method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capitalizing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research</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reporting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facilities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It also shows the rule for research and development (R&amp;D): U.S. GAAP expenses R&amp;D as incurred, except for equipment and facilities that have other future uses.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Steps 3 and 4: the transaction price and its a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performance obligations. </w:t>
      </w:r>
      <w:r>
        <w:rPr>
          <w:sz w:val="19"/>
          <w:szCs w:val="19"/>
        </w:rPr>
        <w:t xml:space="preserve">Each promise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contract, not highly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other promises. </w:t>
      </w:r>
      <w:r>
        <w:rPr>
          <w:sz w:val="19"/>
          <w:szCs w:val="19"/>
        </w:rPr>
        <w:t xml:space="preserve">GreenBasket buys olive oil, a beverage dispenser installed in its stores, and two years of dispenser maintenance. </w:t>
      </w:r>
      <w:r>
        <w:rPr>
          <w:sz w:val="19"/>
          <w:szCs w:val="19"/>
        </w:rPr>
        <w:t xml:space="preserve">Each can be bought separately, so there are three performance obligations.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identifiable   ·   higher   ·   dependent   ·   transfer   ·   substantially   ·   customer   ·   criteria   ·   meaning   ·   consideration   ·   commercial   ·   revenue   ·   obligation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selling prices totalling 1,200,000; each obligation gets 90%.</w:t>
            </w:r>
          </w:p>
        </w:tc>
        <w:tc>
          <w:tcPr>
            <w:tcW w:type="pct" w:w="758"/>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Maintenance: over 24 months (over time).</w:t>
            </w:r>
          </w:p>
        </w:tc>
        <w:tc>
          <w:tcPr>
            <w:tcW w:type="pct" w:w="758"/>
            <w:tcMar>
              <w:top w:type="dxa" w:w="50"/>
              <w:left w:type="dxa" w:w="110"/>
              <w:bottom w:type="dxa" w:w="50"/>
              <w:right w:type="dxa" w:w="110"/>
            </w:tcMar>
          </w:tcPr>
          <w:p>
            <w:pPr>
              <w:spacing w:before="28" w:after="28"/>
            </w:pPr>
            <w:r>
              <w:rPr>
                <w:sz w:val="15"/>
                <w:szCs w:val="15"/>
              </w:rPr>
              <w:t xml:space="preserve">2026: 515,250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point in time   ·   Three obligations   ·   maintenance   ·   standalone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In U.S. GAAP, probable means likely to occur: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only a little more likely than not fails the U.S.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promises   ·   contract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التزام الأداء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identifiable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 GreenBasket buys olive oil, a beverage dispenser installed in its stores, and two years of dispenser maintenance. Each can be bought separately, so there are three performance obligations.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expects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outcome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521"/>
        <w:gridCol w:w="4224"/>
        <w:gridCol w:w="18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834"/>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966"/>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834"/>
            <w:tcMar>
              <w:top w:type="dxa" w:w="50"/>
              <w:left w:type="dxa" w:w="110"/>
              <w:bottom w:type="dxa" w:w="50"/>
              <w:right w:type="dxa" w:w="110"/>
            </w:tcMar>
          </w:tcPr>
          <w:p>
            <w:pPr>
              <w:spacing w:before="28" w:after="28"/>
            </w:pPr>
            <w:r>
              <w:rPr>
                <w:sz w:val="15"/>
                <w:szCs w:val="15"/>
              </w:rPr>
              <w:t xml:space="preserve">Most likely amount</w:t>
            </w:r>
          </w:p>
        </w:tc>
        <w:tc>
          <w:tcPr>
            <w:tcW w:type="pct" w:w="2200"/>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966"/>
            <w:tcMar>
              <w:top w:type="dxa" w:w="50"/>
              <w:left w:type="dxa" w:w="110"/>
              <w:bottom w:type="dxa" w:w="50"/>
              <w:right w:type="dxa" w:w="110"/>
            </w:tcMar>
          </w:tcPr>
          <w:p>
            <w:pPr>
              <w:spacing w:before="28" w:after="28"/>
            </w:pPr>
            <w:r>
              <w:rPr>
                <w:sz w:val="15"/>
                <w:szCs w:val="15"/>
              </w:rPr>
              <w:t xml:space="preserve">2,328,000</w:t>
            </w:r>
          </w:p>
        </w:tc>
      </w:tr>
      <w:tr>
        <w:tc>
          <w:tcPr>
            <w:tcW w:type="pct" w:w="1834"/>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966"/>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834"/>
            <w:tcMar>
              <w:top w:type="dxa" w:w="50"/>
              <w:left w:type="dxa" w:w="110"/>
              <w:bottom w:type="dxa" w:w="50"/>
              <w:right w:type="dxa" w:w="110"/>
            </w:tcMar>
          </w:tcPr>
          <w:p>
            <w:pPr>
              <w:spacing w:before="28" w:after="28"/>
            </w:pPr>
            <w:r>
              <w:rPr>
                <w:sz w:val="15"/>
                <w:szCs w:val="15"/>
              </w:rPr>
              <w:t xml:space="preserve">Constraint</w:t>
            </w:r>
          </w:p>
        </w:tc>
        <w:tc>
          <w:tcPr>
            <w:tcW w:type="pct" w:w="2200"/>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966"/>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سعر المعاملة</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asset the customer controls, or if the asset has no other use and the company has a right to payment for work done so far.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benefit   ·   control   ·   delivered   ·   over-time   ·   Progress   ·   receives   ·   improves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9–13</w:t>
      </w:r>
    </w:p>
    <w:p>
      <w:pPr>
        <w:spacing w:before="20" w:after="20" w:line="360" w:lineRule="auto"/>
        <w:ind w:left="200"/>
      </w:pPr>
      <w:r>
        <w:rPr>
          <w:sz w:val="19"/>
          <w:szCs w:val="19"/>
        </w:rPr>
        <w:t xml:space="preserve">Olive oil is recognized at each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Total 2026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$515,250. </w:t>
      </w:r>
      <w:r>
        <w:rPr>
          <w:sz w:val="19"/>
          <w:szCs w:val="19"/>
        </w:rPr>
        <w:t xml:space="preserve">The remaining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performs   ·   delivery   ·   delivered   ·   revenue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breakage   ·   Maintenance</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Payments rarely match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depends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obligation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Total 2026 revenue is $515,250.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liability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9–18</w:t>
      </w:r>
    </w:p>
    <w:p>
      <w:pPr>
        <w:spacing w:before="20" w:after="20" w:line="360" w:lineRule="auto"/>
        <w:ind w:left="200"/>
      </w:pPr>
      <w:r>
        <w:rPr>
          <w:sz w:val="19"/>
          <w:szCs w:val="19"/>
        </w:rPr>
        <w:t xml:space="preserve">Complete the four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also the test in other cases. </w:t>
      </w:r>
      <w:r>
        <w:rPr>
          <w:sz w:val="19"/>
          <w:szCs w:val="19"/>
        </w:rPr>
        <w:t xml:space="preserve">Goods sent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part customers are not expected to use, in proportion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bill-and-hold   ·   consignee   ·   consignment   ·   blanks   ·   obligation   ·   records   ·   Control   ·   material   ·   breakage   ·   promise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An agent's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promise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bill-and-hold arrangement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الأصيل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blanks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bill-and-hold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Complete the four blanks. 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r>
        <w:rPr>
          <w:sz w:val="19"/>
          <w:szCs w:val="19"/>
        </w:rPr>
        <w:t xml:space="preserve">They matter for comparisons, but the five steps are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expense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Onerous contracts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transfers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Performance obligation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when the renewal period begins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standalone selling price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مبدأ مقابلة الإيرادات بالمصروفات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 They matter for comparisons, but the five steps are the same.</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3–7</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time is short, they are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present value. </w:t>
      </w:r>
      <w:r>
        <w:rPr>
          <w:sz w:val="19"/>
          <w:szCs w:val="19"/>
        </w:rPr>
        <w:t xml:space="preserve">Accounts payable and accruals arise from operations; dividends payable and the current portion of long-term debt arise from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measured   ·   delivers   ·   discounted   ·   Because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warranty liability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Customer deposits are contract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accruals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4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3244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Current portion of long-term debt   ·   warranty liability   ·   Dividends payable</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Current portion of long-term debt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 Accounts payable and accruals arise from operations; dividends payable and the current portion of long-term debt arise from financing.</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revenue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p>
      <w:pPr>
        <w:spacing w:before="20" w:after="20" w:line="360" w:lineRule="auto"/>
        <w:ind w:left="200"/>
      </w:pPr>
      <w:r>
        <w:rPr>
          <w:sz w:val="19"/>
          <w:szCs w:val="19"/>
        </w:rPr>
        <w:t xml:space="preserve">The first four rows are done. Complete the four blanks.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tcMar>
              <w:top w:type="dxa" w:w="50"/>
              <w:left w:type="dxa" w:w="110"/>
              <w:bottom w:type="dxa" w:w="50"/>
              <w:right w:type="dxa" w:w="110"/>
            </w:tcMar>
          </w:tcPr>
          <w:p>
            <w:pPr>
              <w:spacing w:before="28" w:after="28"/>
            </w:pPr>
            <w:r>
              <w:rPr>
                <w:sz w:val="15"/>
                <w:szCs w:val="15"/>
              </w:rPr>
              <w:t xml:space="preserve">Employees' social security withheld (7%)</w:t>
            </w:r>
          </w:p>
        </w:tc>
        <w:tc>
          <w:tcPr>
            <w:tcW w:type="pct" w:w="2400"/>
            <w:tcMar>
              <w:top w:type="dxa" w:w="50"/>
              <w:left w:type="dxa" w:w="110"/>
              <w:bottom w:type="dxa" w:w="50"/>
              <w:right w:type="dxa" w:w="110"/>
            </w:tcMar>
          </w:tcPr>
          <w:p>
            <w:pPr>
              <w:spacing w:before="28" w:after="28"/>
            </w:pPr>
            <w:r>
              <w:rPr>
                <w:sz w:val="15"/>
                <w:szCs w:val="15"/>
              </w:rPr>
              <w:t xml:space="preserve">2,800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00"/>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Cash register total, including 5% sales tax: 21,000. Sales revenue</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wages for the month   ·   Sales tax payable   ·   qualifying financing agreement   ·   Net pay to employees   ·   Income tax withheld from employees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Net pay to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proceeds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refinance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00"/>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400"/>
            <w:tcMar>
              <w:top w:type="dxa" w:w="50"/>
              <w:left w:type="dxa" w:w="110"/>
              <w:bottom w:type="dxa" w:w="50"/>
              <w:right w:type="dxa" w:w="110"/>
            </w:tcMar>
          </w:tcPr>
          <w:p>
            <w:pPr>
              <w:spacing w:before="28" w:after="28"/>
            </w:pPr>
            <w:r>
              <w:rPr>
                <w:sz w:val="15"/>
                <w:szCs w:val="15"/>
              </w:rPr>
              <w:t xml:space="preserve">3,000,000</w:t>
            </w:r>
          </w:p>
        </w:tc>
        <w:tc>
          <w:tcPr>
            <w:tcW w:type="pct" w:w="1400"/>
            <w:tcMar>
              <w:top w:type="dxa" w:w="50"/>
              <w:left w:type="dxa" w:w="110"/>
              <w:bottom w:type="dxa" w:w="50"/>
              <w:right w:type="dxa" w:w="110"/>
            </w:tcMar>
          </w:tcPr>
          <w:p>
            <w:pPr>
              <w:spacing w:before="28" w:after="28"/>
            </w:pPr>
            <w:r>
              <w:rPr>
                <w:sz w:val="15"/>
                <w:szCs w:val="15"/>
              </w:rPr>
              <w:t xml:space="preserve">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400"/>
            <w:shd w:fill="FBFAF6" w:val="clear"/>
            <w:tcMar>
              <w:top w:type="dxa" w:w="50"/>
              <w:left w:type="dxa" w:w="110"/>
              <w:bottom w:type="dxa" w:w="50"/>
              <w:right w:type="dxa" w:w="110"/>
            </w:tcMar>
          </w:tcPr>
          <w:p>
            <w:pPr>
              <w:spacing w:before="28" w:after="28"/>
            </w:pPr>
            <w:r>
              <w:rPr>
                <w:sz w:val="15"/>
                <w:szCs w:val="15"/>
              </w:rPr>
              <w:t xml:space="preserve">0</w:t>
            </w:r>
          </w:p>
        </w:tc>
        <w:tc>
          <w:tcPr>
            <w:tcW w:type="pct" w:w="1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00"/>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400"/>
            <w:tcMar>
              <w:top w:type="dxa" w:w="50"/>
              <w:left w:type="dxa" w:w="110"/>
              <w:bottom w:type="dxa" w:w="50"/>
              <w:right w:type="dxa" w:w="110"/>
            </w:tcMar>
          </w:tcPr>
          <w:p>
            <w:pPr>
              <w:spacing w:before="28" w:after="28"/>
            </w:pPr>
            <w:r>
              <w:rPr>
                <w:sz w:val="15"/>
                <w:szCs w:val="15"/>
              </w:rPr>
              <w:t xml:space="preserve">2,400,000</w:t>
            </w:r>
          </w:p>
        </w:tc>
        <w:tc>
          <w:tcPr>
            <w:tcW w:type="pct" w:w="1400"/>
            <w:tcMar>
              <w:top w:type="dxa" w:w="50"/>
              <w:left w:type="dxa" w:w="110"/>
              <w:bottom w:type="dxa" w:w="50"/>
              <w:right w:type="dxa" w:w="110"/>
            </w:tcMar>
          </w:tcPr>
          <w:p>
            <w:pPr>
              <w:spacing w:before="28" w:after="28"/>
            </w:pPr>
            <w:r>
              <w:rPr>
                <w:sz w:val="15"/>
                <w:szCs w:val="15"/>
              </w:rPr>
              <w:t xml:space="preserve">600,000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400"/>
            <w:shd w:fill="FBFAF6" w:val="clear"/>
            <w:tcMar>
              <w:top w:type="dxa" w:w="50"/>
              <w:left w:type="dxa" w:w="110"/>
              <w:bottom w:type="dxa" w:w="50"/>
              <w:right w:type="dxa" w:w="110"/>
            </w:tcMar>
          </w:tcPr>
          <w:p>
            <w:pPr>
              <w:spacing w:before="28" w:after="28"/>
            </w:pPr>
            <w:r>
              <w:rPr>
                <w:sz w:val="15"/>
                <w:szCs w:val="15"/>
              </w:rPr>
              <w:t xml:space="preserve">2,500,000</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00"/>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400"/>
            <w:tcMar>
              <w:top w:type="dxa" w:w="50"/>
              <w:left w:type="dxa" w:w="110"/>
              <w:bottom w:type="dxa" w:w="50"/>
              <w:right w:type="dxa" w:w="110"/>
            </w:tcMar>
          </w:tcPr>
          <w:p>
            <w:pPr>
              <w:spacing w:before="28" w:after="28"/>
            </w:pPr>
            <w:r>
              <w:rPr>
                <w:sz w:val="15"/>
                <w:szCs w:val="15"/>
              </w:rPr>
              <w:t xml:space="preserve">0</w:t>
            </w:r>
          </w:p>
        </w:tc>
        <w:tc>
          <w:tcPr>
            <w:tcW w:type="pct" w:w="1400"/>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financing agreement   ·   اتفاقية تمويل مؤهلة   ·   short-term obligation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short-term 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qualifying financing agreement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classification   ·   management's</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beverage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at each sale   ·   Repairs made in 2026</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liability is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$60,000 minus repairs of $22,000: $38,000. </w:t>
      </w:r>
      <w:r>
        <w:rPr>
          <w:sz w:val="19"/>
          <w:szCs w:val="19"/>
        </w:rPr>
        <w:t xml:space="preserve">The service plans are a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liability of $32,000, of which the part to be earned in 2027 is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warranty   ·   contract   ·   service   ·   accrual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3</w:t>
      </w:r>
      <w:r>
        <w:rPr>
          <w:color w:val="6B7280"/>
          <w:sz w:val="16"/>
          <w:szCs w:val="16"/>
        </w:rPr>
        <w:t xml:space="preserve">      gaps 16–18</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warranty costs in the year of the sale, not when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are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Expense   ·   Suppose   ·   repairs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BFAF6" w:val="clear"/>
            <w:tcMar>
              <w:top w:type="dxa" w:w="50"/>
              <w:left w:type="dxa" w:w="110"/>
              <w:bottom w:type="dxa" w:w="50"/>
              <w:right w:type="dxa" w:w="110"/>
            </w:tcMar>
          </w:tcPr>
          <w:p>
            <w:pPr>
              <w:spacing w:before="28" w:after="28"/>
            </w:pPr>
            <w:r>
              <w:rPr>
                <w:sz w:val="15"/>
                <w:szCs w:val="15"/>
              </w:rPr>
              <w:t xml:space="preserve">25 / 5 / 3</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non-cancelable   ·   equipment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Employer's social security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400"/>
            <w:shd w:fill="FBFAF6" w:val="clear"/>
            <w:tcMar>
              <w:top w:type="dxa" w:w="50"/>
              <w:left w:type="dxa" w:w="110"/>
              <w:bottom w:type="dxa" w:w="50"/>
              <w:right w:type="dxa" w:w="110"/>
            </w:tcMar>
          </w:tcPr>
          <w:p>
            <w:pPr>
              <w:spacing w:before="28" w:after="28"/>
            </w:pPr>
            <w:r>
              <w:rPr>
                <w:sz w:val="15"/>
                <w:szCs w:val="15"/>
              </w:rPr>
              <w:t xml:space="preserve">4,000 + 2,800 + 2,800 = 9,600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 × 40,000 = 2,800 (payroll tax expense)   ·   Split between current and noncurrent   ·   21,000 ÷ 1.05 = 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liability   ·   Current liability   ·   Split between current and noncurrent   ·   25 / 5 / 3</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warranty liability   ·   assurance-type warranty   ·   service-type warranty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repairs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non-cancelable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7% × 40,000 = 2,800 (payroll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warranty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assurance-type warranty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warranty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The warranty liability is the accrual of $60,000 minus repairs of $22,000: $38,000. The service plans are a contract liability of $32,000, of which the part to be earned in 2027 is current.</w:t>
      </w:r>
    </w:p>
    <w:p>
      <w:pPr>
        <w:spacing w:before="20" w:after="20"/>
        <w:ind w:left="240" w:hanging="240"/>
      </w:pPr>
      <w:r>
        <w:rPr>
          <w:b/>
          <w:bCs/>
          <w:color w:val="353A7C"/>
          <w:sz w:val="15"/>
          <w:szCs w:val="15"/>
        </w:rPr>
        <w:t xml:space="preserve">Summary 3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IFRS differences and disclosures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when the rules timed items differently.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tax allocation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this. </w:t>
      </w:r>
      <w:r>
        <w:rPr>
          <w:sz w:val="19"/>
          <w:szCs w:val="19"/>
        </w:rPr>
        <w:t xml:space="preserve">The company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tax effects of transactions in the same periods as the transactions themselves, using deferred taxes. </w:t>
      </w:r>
      <w:r>
        <w:rPr>
          <w:sz w:val="19"/>
          <w:szCs w:val="19"/>
        </w:rPr>
        <w:t xml:space="preserve">Income tax expense of $989,700 has two parts: current tax expense of $889,700, the tax on 2025 taxable income, and deferred tax expense of $100,000. </w:t>
      </w:r>
      <w:r>
        <w:rPr>
          <w:sz w:val="19"/>
          <w:szCs w:val="19"/>
        </w:rPr>
        <w:t xml:space="preserve">Net taxable temporary differences grew by $400,000, mainly because tax depreciation was faster than book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around   ·   recognizes   ·   returns   ·   reported   ·   usually   ·   statements   ·   effects   ·   investors   ·   solves   ·   Interperiod   ·   government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889,700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liability, January 1, 2025</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400"/>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in cash (Chapter 5)   ·   Income before income taxes   ·   Current tax expense (taxes on 2025 taxable income)   ·   Deferred tax liability, January 1, 2025</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around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solves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Income taxes paid in cash (Chapter 5)</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 Income tax expense of $989,700 has two parts: current tax expense of $889,700, the tax on 2025 taxable income, and deferred tax expense of $100,000. Net taxable temporary differences grew by $400,000, mainly because tax depreciation was faster than book depreciation.</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temporary difference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the tax basis of an asset or liability differs from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amount on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w:t>
      </w:r>
      <w:r>
        <w:rPr>
          <w:sz w:val="19"/>
          <w:szCs w:val="19"/>
        </w:rPr>
        <w:t xml:space="preserve">It reverses in later years. </w:t>
      </w:r>
      <w:r>
        <w:rPr>
          <w:sz w:val="19"/>
          <w:szCs w:val="19"/>
        </w:rPr>
        <w:t xml:space="preserve">A taxable temporary difference will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future taxable income; a deductible temporary difference will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municipal bond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fines are common examples. </w:t>
      </w:r>
      <w:r>
        <w:rPr>
          <w:sz w:val="19"/>
          <w:szCs w:val="19"/>
        </w:rPr>
        <w:t xml:space="preserve">Permanent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create no deferred tax; they only change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tax rate. </w:t>
      </w:r>
      <w:r>
        <w:rPr>
          <w:sz w:val="19"/>
          <w:szCs w:val="19"/>
        </w:rPr>
        <w:t xml:space="preserve">A taxable temporary difference creates a deferred tax liability: tax that will be paid later. </w:t>
      </w:r>
      <w:r>
        <w:rPr>
          <w:sz w:val="19"/>
          <w:szCs w:val="19"/>
        </w:rPr>
        <w:t xml:space="preserve">A deductible temporary difference creates a deferred tax asset: tax that will be saved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differences   ·   increase   ·   effective   ·   Tax-exempt   ·   accrued   ·   balance   ·   carrying   ·   reverse   ·   reduce   ·   interest   ·   arises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55"/>
        <w:gridCol w:w="26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35"/>
            <w:shd w:fill="353A7C" w:val="clear"/>
            <w:tcMar>
              <w:top w:type="dxa" w:w="50"/>
              <w:left w:type="dxa" w:w="110"/>
              <w:bottom w:type="dxa" w:w="50"/>
              <w:right w:type="dxa" w:w="110"/>
            </w:tcMar>
          </w:tcPr>
          <w:p>
            <w:pPr>
              <w:spacing w:before="30" w:after="30"/>
            </w:pPr>
            <w:r>
              <w:rPr>
                <w:b/>
                <w:bCs/>
                <w:color w:val="FFFFFF"/>
                <w:sz w:val="15"/>
                <w:szCs w:val="15"/>
              </w:rPr>
              <w:t xml:space="preserve">Type of difference</w:t>
            </w:r>
          </w:p>
        </w:tc>
        <w:tc>
          <w:tcPr>
            <w:tcW w:type="pct" w:w="1365"/>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 depreciation faster than book (bonus, MACRS)</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365"/>
            <w:tcMar>
              <w:top w:type="dxa" w:w="50"/>
              <w:left w:type="dxa" w:w="110"/>
              <w:bottom w:type="dxa" w:w="50"/>
              <w:right w:type="dxa" w:w="110"/>
            </w:tcMar>
          </w:tcPr>
          <w:p>
            <w:pPr>
              <w:spacing w:before="28" w:after="28"/>
            </w:pPr>
            <w:r>
              <w:rPr>
                <w:sz w:val="15"/>
                <w:szCs w:val="15"/>
              </w:rPr>
              <w:t xml:space="preserve">Deferred tax liability</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Installment sale: revenue now, taxed when cash is collected</w:t>
            </w:r>
          </w:p>
        </w:tc>
        <w:tc>
          <w:tcPr>
            <w:tcW w:type="pct" w:w="1435"/>
            <w:shd w:fill="FBFAF6" w:val="clear"/>
            <w:tcMar>
              <w:top w:type="dxa" w:w="50"/>
              <w:left w:type="dxa" w:w="110"/>
              <w:bottom w:type="dxa" w:w="50"/>
              <w:right w:type="dxa" w:w="110"/>
            </w:tcMar>
          </w:tcPr>
          <w:p>
            <w:pPr>
              <w:spacing w:before="28" w:after="28"/>
            </w:pPr>
            <w:r>
              <w:rPr>
                <w:sz w:val="15"/>
                <w:szCs w:val="15"/>
              </w:rPr>
              <w:t xml:space="preserve">Temporary, taxable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200"/>
            <w:tcMar>
              <w:top w:type="dxa" w:w="50"/>
              <w:left w:type="dxa" w:w="110"/>
              <w:bottom w:type="dxa" w:w="50"/>
              <w:right w:type="dxa" w:w="110"/>
            </w:tcMar>
          </w:tcPr>
          <w:p>
            <w:pPr>
              <w:spacing w:before="28" w:after="28"/>
            </w:pPr>
            <w:r>
              <w:rPr>
                <w:sz w:val="15"/>
                <w:szCs w:val="15"/>
              </w:rPr>
              <w:t xml:space="preserve">Warranty or litigation accrual, deductible when paid</w:t>
            </w:r>
          </w:p>
        </w:tc>
        <w:tc>
          <w:tcPr>
            <w:tcW w:type="pct" w:w="1435"/>
            <w:tcMar>
              <w:top w:type="dxa" w:w="50"/>
              <w:left w:type="dxa" w:w="110"/>
              <w:bottom w:type="dxa" w:w="50"/>
              <w:right w:type="dxa" w:w="110"/>
            </w:tcMar>
          </w:tcPr>
          <w:p>
            <w:pPr>
              <w:spacing w:before="28" w:after="28"/>
            </w:pPr>
            <w:r>
              <w:rPr>
                <w:sz w:val="15"/>
                <w:szCs w:val="15"/>
              </w:rPr>
              <w:t xml:space="preserve">Temporary, deductible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65"/>
            <w:shd w:fill="FBFAF6" w:val="clear"/>
            <w:tcMar>
              <w:top w:type="dxa" w:w="50"/>
              <w:left w:type="dxa" w:w="110"/>
              <w:bottom w:type="dxa" w:w="50"/>
              <w:right w:type="dxa" w:w="110"/>
            </w:tcMar>
          </w:tcPr>
          <w:p>
            <w:pPr>
              <w:spacing w:before="28" w:after="28"/>
            </w:pPr>
            <w:r>
              <w:rPr>
                <w:sz w:val="15"/>
                <w:szCs w:val="15"/>
              </w:rPr>
              <w:t xml:space="preserve">Deferred tax asset</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Fines and penalties</w:t>
            </w:r>
          </w:p>
        </w:tc>
        <w:tc>
          <w:tcPr>
            <w:tcW w:type="pct" w:w="1435"/>
            <w:shd w:fill="FBFAF6" w:val="clear"/>
            <w:tcMar>
              <w:top w:type="dxa" w:w="50"/>
              <w:left w:type="dxa" w:w="110"/>
              <w:bottom w:type="dxa" w:w="50"/>
              <w:right w:type="dxa" w:w="110"/>
            </w:tcMar>
          </w:tcPr>
          <w:p>
            <w:pPr>
              <w:spacing w:before="28" w:after="28"/>
            </w:pPr>
            <w:r>
              <w:rPr>
                <w:sz w:val="15"/>
                <w:szCs w:val="15"/>
              </w:rPr>
              <w:t xml:space="preserve">Permanent</w:t>
            </w:r>
          </w:p>
        </w:tc>
        <w:tc>
          <w:tcPr>
            <w:tcW w:type="pct" w:w="1365"/>
            <w:shd w:fill="FBFAF6" w:val="clear"/>
            <w:tcMar>
              <w:top w:type="dxa" w:w="50"/>
              <w:left w:type="dxa" w:w="110"/>
              <w:bottom w:type="dxa" w:w="50"/>
              <w:right w:type="dxa" w:w="110"/>
            </w:tcMar>
          </w:tcPr>
          <w:p>
            <w:pPr>
              <w:spacing w:before="28" w:after="28"/>
            </w:pPr>
            <w:r>
              <w:rPr>
                <w:sz w:val="15"/>
                <w:szCs w:val="15"/>
              </w:rPr>
              <w:t xml:space="preserve">None</w:t>
            </w:r>
          </w:p>
        </w:tc>
      </w:tr>
      <w:tr>
        <w:tc>
          <w:tcPr>
            <w:tcW w:type="pct" w:w="2200"/>
            <w:tcMar>
              <w:top w:type="dxa" w:w="50"/>
              <w:left w:type="dxa" w:w="110"/>
              <w:bottom w:type="dxa" w:w="50"/>
              <w:right w:type="dxa" w:w="110"/>
            </w:tcMar>
          </w:tcPr>
          <w:p>
            <w:pPr>
              <w:spacing w:before="28" w:after="28"/>
            </w:pPr>
            <w:r>
              <w:rPr>
                <w:sz w:val="15"/>
                <w:szCs w:val="15"/>
              </w:rPr>
              <w:t xml:space="preserve">Life insurance premiums when the company is the beneficiary</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Deferred tax liability   ·   enacted tax rate   ·   Deferred tax asset   ·   Temporary, deductible   ·   Temporary,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Tax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   depreciation   ·   deductible   ·   municipal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arises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Deferred tax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Deferred tax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Temporary, 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municipal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basis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 A taxable temporary difference creates a deferred tax liability: tax that will be paid later. A deductible temporary difference creates a deferred tax asset: tax that will be saved later.</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liability   ·   approach   ·   interest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$900,000. </w:t>
      </w:r>
      <w:r>
        <w:rPr>
          <w:sz w:val="19"/>
          <w:szCs w:val="19"/>
        </w:rPr>
        <w:t xml:space="preserve">Tax law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increases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dispenser   ·   balance   ·   temporary   ·   equipment   ·   differences   ·   deductible   ·   allows   ·   Orontes</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(book)   ·   Current tax expense at 25%</w:t>
            </w:r>
          </w:p>
        </w:tc>
      </w:tr>
    </w:tbl>
    <w:p/>
    <w:p>
      <w:pPr>
        <w:spacing w:before="44" w:after="14"/>
      </w:pPr>
      <w:r>
        <w:rPr>
          <w:b/>
          <w:bCs/>
          <w:color w:val="353A7C"/>
          <w:sz w:val="18"/>
          <w:szCs w:val="18"/>
        </w:rPr>
        <w:t xml:space="preserve">Summary 3</w:t>
      </w:r>
      <w:r>
        <w:rPr>
          <w:color w:val="6B7280"/>
          <w:sz w:val="16"/>
          <w:szCs w:val="16"/>
        </w:rPr>
        <w:t xml:space="preserve">      gaps 13–17</w:t>
      </w:r>
    </w:p>
    <w:p>
      <w:pPr>
        <w:spacing w:before="20" w:after="20" w:line="360" w:lineRule="auto"/>
        <w:ind w:left="200"/>
      </w:pPr>
      <w:r>
        <w:rPr>
          <w:sz w:val="19"/>
          <w:szCs w:val="19"/>
        </w:rPr>
        <w:t xml:space="preserve">Deferred taxes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creates a deferred tax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$150,000, and the warranty a deferred tax asset of $9,500. </w:t>
      </w:r>
      <w:r>
        <w:rPr>
          <w:sz w:val="19"/>
          <w:szCs w:val="19"/>
        </w:rPr>
        <w:t xml:space="preserve">Deferred tax expense is $140,500, so total income tax expense is $497,500.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rate is total tax expense divided by pretax income: 24.875%. </w:t>
      </w:r>
      <w:r>
        <w:rPr>
          <w:sz w:val="19"/>
          <w:szCs w:val="19"/>
        </w:rPr>
        <w:t xml:space="preserve">It differs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25% only because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depreciation   ·   effective   ·   equipment   ·   statutory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00"/>
            <w:tcMar>
              <w:top w:type="dxa" w:w="50"/>
              <w:left w:type="dxa" w:w="110"/>
              <w:bottom w:type="dxa" w:w="50"/>
              <w:right w:type="dxa" w:w="110"/>
            </w:tcMar>
          </w:tcPr>
          <w:p>
            <w:pPr>
              <w:spacing w:before="28" w:after="28"/>
            </w:pPr>
            <w:r>
              <w:rPr>
                <w:sz w:val="15"/>
                <w:szCs w:val="15"/>
              </w:rPr>
              <w:t xml:space="preserve">Current tax expense</w:t>
            </w:r>
          </w:p>
        </w:tc>
        <w:tc>
          <w:tcPr>
            <w:tcW w:type="pct" w:w="1400"/>
            <w:tcMar>
              <w:top w:type="dxa" w:w="50"/>
              <w:left w:type="dxa" w:w="110"/>
              <w:bottom w:type="dxa" w:w="50"/>
              <w:right w:type="dxa" w:w="110"/>
            </w:tcMar>
          </w:tcPr>
          <w:p>
            <w:pPr>
              <w:spacing w:before="28" w:after="28"/>
            </w:pPr>
            <w:r>
              <w:rPr>
                <w:sz w:val="15"/>
                <w:szCs w:val="15"/>
              </w:rPr>
              <w:t xml:space="preserve">357,000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25% × 600,000</w:t>
            </w:r>
          </w:p>
        </w:tc>
        <w:tc>
          <w:tcPr>
            <w:tcW w:type="pct" w:w="1400"/>
            <w:shd w:fill="FBFAF6" w:val="clear"/>
            <w:tcMar>
              <w:top w:type="dxa" w:w="50"/>
              <w:left w:type="dxa" w:w="110"/>
              <w:bottom w:type="dxa" w:w="50"/>
              <w:right w:type="dxa" w:w="110"/>
            </w:tcMar>
          </w:tcPr>
          <w:p>
            <w:pPr>
              <w:spacing w:before="28" w:after="28"/>
            </w:pPr>
            <w:r>
              <w:rPr>
                <w:sz w:val="15"/>
                <w:szCs w:val="15"/>
              </w:rPr>
              <w:t xml:space="preserve">150,000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25% × 38,000</w:t>
            </w:r>
          </w:p>
        </w:tc>
        <w:tc>
          <w:tcPr>
            <w:tcW w:type="pct" w:w="1400"/>
            <w:tcMar>
              <w:top w:type="dxa" w:w="50"/>
              <w:left w:type="dxa" w:w="110"/>
              <w:bottom w:type="dxa" w:w="50"/>
              <w:right w:type="dxa" w:w="110"/>
            </w:tcMar>
          </w:tcPr>
          <w:p>
            <w:pPr>
              <w:spacing w:before="28" w:after="28"/>
            </w:pPr>
            <w:r>
              <w:rPr>
                <w:sz w:val="15"/>
                <w:szCs w:val="15"/>
              </w:rPr>
              <w:t xml:space="preserve">(9,500)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shd w:fill="FBFAF6" w:val="clear"/>
            <w:tcMar>
              <w:top w:type="dxa" w:w="50"/>
              <w:left w:type="dxa" w:w="110"/>
              <w:bottom w:type="dxa" w:w="50"/>
              <w:right w:type="dxa" w:w="110"/>
            </w:tcMar>
          </w:tcPr>
          <w:p>
            <w:pPr>
              <w:spacing w:before="28" w:after="28"/>
            </w:pPr>
            <w:r>
              <w:rPr>
                <w:sz w:val="15"/>
                <w:szCs w:val="15"/>
              </w:rPr>
              <w:t xml:space="preserve">140,500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0"/>
            <w:tcMar>
              <w:top w:type="dxa" w:w="50"/>
              <w:left w:type="dxa" w:w="110"/>
              <w:bottom w:type="dxa" w:w="50"/>
              <w:right w:type="dxa" w:w="110"/>
            </w:tcMar>
          </w:tcPr>
          <w:p>
            <w:pPr>
              <w:spacing w:before="28" w:after="28"/>
            </w:pPr>
            <w:r>
              <w:rPr>
                <w:sz w:val="15"/>
                <w:szCs w:val="15"/>
              </w:rPr>
              <w:t xml:space="preserve">497,500</w:t>
            </w:r>
          </w:p>
        </w:tc>
        <w:tc>
          <w:tcPr>
            <w:tcW w:type="pct" w:w="1400"/>
            <w:tcMar>
              <w:top w:type="dxa" w:w="50"/>
              <w:left w:type="dxa" w:w="110"/>
              <w:bottom w:type="dxa" w:w="50"/>
              <w:right w:type="dxa" w:w="110"/>
            </w:tcMar>
          </w:tcPr>
          <w:p>
            <w:pPr>
              <w:spacing w:before="28" w:after="28"/>
            </w:pPr>
            <w:r>
              <w:rPr>
                <w:sz w:val="15"/>
                <w:szCs w:val="15"/>
              </w:rPr>
              <w:t xml:space="preserve">24.875%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Tax at the statutory rate: 25% × 2,000,000</w:t>
            </w:r>
          </w:p>
        </w:tc>
        <w:tc>
          <w:tcPr>
            <w:tcW w:type="pct" w:w="1400"/>
            <w:tcMar>
              <w:top w:type="dxa" w:w="50"/>
              <w:left w:type="dxa" w:w="110"/>
              <w:bottom w:type="dxa" w:w="50"/>
              <w:right w:type="dxa" w:w="110"/>
            </w:tcMar>
          </w:tcPr>
          <w:p>
            <w:pPr>
              <w:spacing w:before="28" w:after="28"/>
            </w:pPr>
            <w:r>
              <w:rPr>
                <w:sz w:val="15"/>
                <w:szCs w:val="15"/>
              </w:rPr>
              <w:t xml:space="preserve">500,000</w:t>
            </w:r>
          </w:p>
        </w:tc>
        <w:tc>
          <w:tcPr>
            <w:tcW w:type="pct" w:w="1400"/>
            <w:tcMar>
              <w:top w:type="dxa" w:w="50"/>
              <w:left w:type="dxa" w:w="110"/>
              <w:bottom w:type="dxa" w:w="50"/>
              <w:right w:type="dxa" w:w="110"/>
            </w:tcMar>
          </w:tcPr>
          <w:p>
            <w:pPr>
              <w:spacing w:before="28" w:after="28"/>
            </w:pPr>
            <w:r>
              <w:rPr>
                <w:sz w:val="15"/>
                <w:szCs w:val="15"/>
              </w:rPr>
              <w:t xml:space="preserve">25.000%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400"/>
            <w:shd w:fill="FBFAF6" w:val="clear"/>
            <w:tcMar>
              <w:top w:type="dxa" w:w="50"/>
              <w:left w:type="dxa" w:w="110"/>
              <w:bottom w:type="dxa" w:w="50"/>
              <w:right w:type="dxa" w:w="110"/>
            </w:tcMar>
          </w:tcPr>
          <w:p>
            <w:pPr>
              <w:spacing w:before="28" w:after="28"/>
            </w:pPr>
            <w:r>
              <w:rPr>
                <w:sz w:val="15"/>
                <w:szCs w:val="15"/>
              </w:rPr>
              <w:t xml:space="preserve">(5,000)</w:t>
            </w:r>
          </w:p>
        </w:tc>
        <w:tc>
          <w:tcPr>
            <w:tcW w:type="pct" w:w="1400"/>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00"/>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400"/>
            <w:tcMar>
              <w:top w:type="dxa" w:w="50"/>
              <w:left w:type="dxa" w:w="110"/>
              <w:bottom w:type="dxa" w:w="50"/>
              <w:right w:type="dxa" w:w="110"/>
            </w:tcMar>
          </w:tcPr>
          <w:p>
            <w:pPr>
              <w:spacing w:before="28" w:after="28"/>
            </w:pPr>
            <w:r>
              <w:rPr>
                <w:sz w:val="15"/>
                <w:szCs w:val="15"/>
              </w:rPr>
              <w:t xml:space="preserve">2,500</w:t>
            </w:r>
          </w:p>
        </w:tc>
        <w:tc>
          <w:tcPr>
            <w:tcW w:type="pct" w:w="1400"/>
            <w:tcMar>
              <w:top w:type="dxa" w:w="50"/>
              <w:left w:type="dxa" w:w="110"/>
              <w:bottom w:type="dxa" w:w="50"/>
              <w:right w:type="dxa" w:w="110"/>
            </w:tcMar>
          </w:tcPr>
          <w:p>
            <w:pPr>
              <w:spacing w:before="28" w:after="28"/>
            </w:pPr>
            <w:r>
              <w:rPr>
                <w:sz w:val="15"/>
                <w:szCs w:val="15"/>
              </w:rPr>
              <w:t xml:space="preserve">0.125%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Income tax expense and effective tax rate</w:t>
            </w:r>
          </w:p>
        </w:tc>
        <w:tc>
          <w:tcPr>
            <w:tcW w:type="pct" w:w="1400"/>
            <w:shd w:fill="FBFAF6" w:val="clear"/>
            <w:tcMar>
              <w:top w:type="dxa" w:w="50"/>
              <w:left w:type="dxa" w:w="110"/>
              <w:bottom w:type="dxa" w:w="50"/>
              <w:right w:type="dxa" w:w="110"/>
            </w:tcMar>
          </w:tcPr>
          <w:p>
            <w:pPr>
              <w:spacing w:before="28" w:after="28"/>
            </w:pPr>
            <w:r>
              <w:rPr>
                <w:sz w:val="15"/>
                <w:szCs w:val="15"/>
              </w:rPr>
              <w:t xml:space="preserve">497,500</w:t>
            </w:r>
          </w:p>
        </w:tc>
        <w:tc>
          <w:tcPr>
            <w:tcW w:type="pct" w:w="1400"/>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expense   ·   Nontaxable or nondeductible items   ·   Deferred tax liability created   ·   Deferred tax asset created   ·   Total income tax expense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p>
      <w:pPr>
        <w:spacing w:before="20" w:after="20" w:line="360" w:lineRule="auto"/>
        <w:ind w:left="200"/>
      </w:pPr>
      <w:r>
        <w:rPr>
          <w:sz w:val="19"/>
          <w:szCs w:val="19"/>
        </w:rPr>
        <w:t xml:space="preserve">The first two are done. Classify the other four and say what each creates.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00"/>
            <w:tcMar>
              <w:top w:type="dxa" w:w="50"/>
              <w:left w:type="dxa" w:w="110"/>
              <w:bottom w:type="dxa" w:w="50"/>
              <w:right w:type="dxa" w:w="110"/>
            </w:tcMar>
          </w:tcPr>
          <w:p>
            <w:pPr>
              <w:spacing w:before="28" w:after="28"/>
            </w:pPr>
            <w:r>
              <w:rPr>
                <w:sz w:val="15"/>
                <w:szCs w:val="15"/>
              </w:rPr>
              <w:t xml:space="preserve">Permanent</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00"/>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00"/>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Temporary, taxable   ·   valuation allowance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أصل ضريبي مؤجل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statutory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liability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Deferred tax asset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 at 25%</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effective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follow</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law enacted in 2027 cuts the rate to 21% from 2028. </w:t>
      </w:r>
      <w:r>
        <w:rPr>
          <w:sz w:val="19"/>
          <w:szCs w:val="19"/>
        </w:rPr>
        <w:t xml:space="preserve">At the end of 2027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falls from $75,000 to $63,000. </w:t>
      </w:r>
      <w:r>
        <w:rPr>
          <w:sz w:val="19"/>
          <w:szCs w:val="19"/>
        </w:rPr>
        <w:t xml:space="preserve">The $12,000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 benefit in 2027. </w:t>
      </w:r>
      <w:r>
        <w:rPr>
          <w:sz w:val="19"/>
          <w:szCs w:val="19"/>
        </w:rPr>
        <w:t xml:space="preserve">A deferred tax asset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only if the company will have enough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income to use it. </w:t>
      </w:r>
      <w:r>
        <w:rPr>
          <w:sz w:val="19"/>
          <w:szCs w:val="19"/>
        </w:rPr>
        <w:t xml:space="preserve">If it is more likely than not that some of the asset will not be realized, the company records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useful   ·   deduction   ·   operating   ·   remeasures   ·   recorded   ·   valuation   ·   taxable   ·   changes   ·   liability   ·   continuing   ·   Suppose   ·   enactment   ·   decrease</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A tax loss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U.S. federal law, most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cannot be carried back. </w:t>
      </w:r>
      <w:r>
        <w:rPr>
          <w:sz w:val="19"/>
          <w:szCs w:val="19"/>
        </w:rPr>
        <w:t xml:space="preserve">They can be carried forward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 time limit, but they can reduce only 80% of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in any year. </w:t>
      </w:r>
      <w:r>
        <w:rPr>
          <w:sz w:val="19"/>
          <w:szCs w:val="19"/>
        </w:rPr>
        <w:t xml:space="preserve">All deferred tax assets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discontinued operations carry their own tax. </w:t>
      </w:r>
      <w:r>
        <w:rPr>
          <w:sz w:val="19"/>
          <w:szCs w:val="19"/>
        </w:rPr>
        <w:t xml:space="preserve">This is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creates   ·   jurisdiction   ·   without   ·   current   ·   quarter   ·   liabilities   ·   carryforward   ·   losses   ·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Use enacted rates only;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recognized   ·   ignored   ·   effect   ·   valuation   ·   current   ·   continuing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decrease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taxable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current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Suppose a law enacted in 2027 cuts the rate to 21% from 2028. At the end of 2027 the liability falls from $75,000 to $63,000. The $12,000 decrease is a benefit in 2027. A deferred tax asset is useful only if the company will have enough taxable income to use it. If it is more likely than not that some of the asset will not be realized, the company records a valuation allowance.</w:t>
      </w:r>
    </w:p>
    <w:p>
      <w:pPr>
        <w:spacing w:before="20" w:after="20"/>
        <w:ind w:left="240" w:hanging="240"/>
      </w:pPr>
      <w:r>
        <w:rPr>
          <w:b/>
          <w:bCs/>
          <w:color w:val="353A7C"/>
          <w:sz w:val="15"/>
          <w:szCs w:val="15"/>
        </w:rPr>
        <w:t xml:space="preserve">Summary 2   </w:t>
      </w:r>
      <w:r>
        <w:rPr>
          <w:color w:val="6B7280"/>
          <w:sz w:val="15"/>
          <w:szCs w:val="15"/>
        </w:rPr>
        <w:t xml:space="preserve">A tax loss creates a net operating loss carryforward, which is a deferred tax asset. Under current U.S. federal law, most losses cannot be carried back. They can be carried forward without a time limit, but they can reduce only 80% of taxable income in any year. 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biggest one for the exam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separate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deferred   ·   recognizes   ·   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4032"/>
        <w:gridCol w:w="34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07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1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821"/>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079"/>
            <w:tcMar>
              <w:top w:type="dxa" w:w="50"/>
              <w:left w:type="dxa" w:w="110"/>
              <w:bottom w:type="dxa" w:w="50"/>
              <w:right w:type="dxa" w:w="110"/>
            </w:tcMar>
          </w:tcPr>
          <w:p>
            <w:pPr>
              <w:spacing w:before="28" w:after="28"/>
            </w:pPr>
            <w:r>
              <w:rPr>
                <w:sz w:val="15"/>
                <w:szCs w:val="15"/>
              </w:rPr>
              <w:t xml:space="preserve">Recognizing deferred tax assets</w:t>
            </w:r>
          </w:p>
        </w:tc>
        <w:tc>
          <w:tcPr>
            <w:tcW w:type="pct" w:w="2100"/>
            <w:tcMar>
              <w:top w:type="dxa" w:w="50"/>
              <w:left w:type="dxa" w:w="110"/>
              <w:bottom w:type="dxa" w:w="50"/>
              <w:right w:type="dxa" w:w="110"/>
            </w:tcMar>
          </w:tcPr>
          <w:p>
            <w:pPr>
              <w:spacing w:before="28" w:after="28"/>
            </w:pPr>
            <w:r>
              <w:rPr>
                <w:sz w:val="15"/>
                <w:szCs w:val="15"/>
              </w:rPr>
              <w:t xml:space="preserve">Record the full DTA, then a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if realization is not more likely than not</w:t>
            </w:r>
          </w:p>
        </w:tc>
        <w:tc>
          <w:tcPr>
            <w:tcW w:type="pct" w:w="1821"/>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Tax rate</w:t>
            </w:r>
          </w:p>
        </w:tc>
        <w:tc>
          <w:tcPr>
            <w:tcW w:type="pct" w:w="2100"/>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79"/>
            <w:tcMar>
              <w:top w:type="dxa" w:w="50"/>
              <w:left w:type="dxa" w:w="110"/>
              <w:bottom w:type="dxa" w:w="50"/>
              <w:right w:type="dxa" w:w="110"/>
            </w:tcMar>
          </w:tcPr>
          <w:p>
            <w:pPr>
              <w:spacing w:before="28" w:after="28"/>
            </w:pPr>
            <w:r>
              <w:rPr>
                <w:sz w:val="15"/>
                <w:szCs w:val="15"/>
              </w:rPr>
              <w:t xml:space="preserve">Initial recognition exemption</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821"/>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1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79"/>
            <w:tcMar>
              <w:top w:type="dxa" w:w="50"/>
              <w:left w:type="dxa" w:w="110"/>
              <w:bottom w:type="dxa" w:w="50"/>
              <w:right w:type="dxa" w:w="110"/>
            </w:tcMar>
          </w:tcPr>
          <w:p>
            <w:pPr>
              <w:spacing w:before="28" w:after="28"/>
            </w:pPr>
            <w:r>
              <w:rPr>
                <w:sz w:val="15"/>
                <w:szCs w:val="15"/>
              </w:rPr>
              <w:t xml:space="preserve">Balance sheet classification</w:t>
            </w:r>
          </w:p>
        </w:tc>
        <w:tc>
          <w:tcPr>
            <w:tcW w:type="pct" w:w="2100"/>
            <w:tcMar>
              <w:top w:type="dxa" w:w="50"/>
              <w:left w:type="dxa" w:w="110"/>
              <w:bottom w:type="dxa" w:w="50"/>
              <w:right w:type="dxa" w:w="110"/>
            </w:tcMar>
          </w:tcPr>
          <w:p>
            <w:pPr>
              <w:spacing w:before="28" w:after="28"/>
            </w:pPr>
            <w:r>
              <w:rPr>
                <w:sz w:val="15"/>
                <w:szCs w:val="15"/>
              </w:rPr>
              <w:t xml:space="preserve">Noncurrent</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821"/>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in general   ·   Period cost; no deferred tax   ·   Mandatory exception; no deferred tax   ·   IFRIC 23: most likely amount or expected value   ·   valuation allowance   ·   Non-current   ·   Enacted or substantively enacted rates</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federal   ·   version   ·   reconciliation   ·   business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20" w:after="20" w:line="360" w:lineRule="auto"/>
        <w:ind w:left="200"/>
      </w:pPr>
      <w:r>
        <w:rPr>
          <w:sz w:val="19"/>
          <w:szCs w:val="19"/>
        </w:rPr>
        <w:t xml:space="preserve">U.S. companies often call income tax expense the provision for income taxes. It is an expense, not an IAS 37 provision and not a reserve.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6"/>
        <w:gridCol w:w="47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514"/>
            <w:shd w:fill="353A7C" w:val="clear"/>
            <w:tcMar>
              <w:top w:type="dxa" w:w="50"/>
              <w:left w:type="dxa" w:w="110"/>
              <w:bottom w:type="dxa" w:w="50"/>
              <w:right w:type="dxa" w:w="110"/>
            </w:tcMar>
          </w:tcPr>
          <w:p>
            <w:pPr>
              <w:spacing w:before="30" w:after="30"/>
            </w:pPr>
            <w:r>
              <w:rPr>
                <w:b/>
                <w:bCs/>
                <w:color w:val="FFFFFF"/>
                <w:sz w:val="15"/>
                <w:szCs w:val="15"/>
              </w:rPr>
              <w:t xml:space="preserve">Barada Wholesale, 2027 (whole USD)</w:t>
            </w:r>
          </w:p>
        </w:tc>
        <w:tc>
          <w:tcPr>
            <w:tcW w:type="pct" w:w="2486"/>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514"/>
            <w:tcMar>
              <w:top w:type="dxa" w:w="50"/>
              <w:left w:type="dxa" w:w="110"/>
              <w:bottom w:type="dxa" w:w="50"/>
              <w:right w:type="dxa" w:w="110"/>
            </w:tcMar>
          </w:tcPr>
          <w:p>
            <w:pPr>
              <w:spacing w:before="28" w:after="28"/>
            </w:pPr>
            <w:r>
              <w:rPr>
                <w:sz w:val="15"/>
                <w:szCs w:val="15"/>
              </w:rPr>
              <w:t xml:space="preserve">Income before income taxes, 2027</w:t>
            </w:r>
          </w:p>
        </w:tc>
        <w:tc>
          <w:tcPr>
            <w:tcW w:type="pct" w:w="2486"/>
            <w:tcMar>
              <w:top w:type="dxa" w:w="50"/>
              <w:left w:type="dxa" w:w="110"/>
              <w:bottom w:type="dxa" w:w="50"/>
              <w:right w:type="dxa" w:w="110"/>
            </w:tcMar>
          </w:tcPr>
          <w:p>
            <w:pPr>
              <w:spacing w:before="28" w:after="28"/>
            </w:pPr>
            <w:r>
              <w:rPr>
                <w:sz w:val="15"/>
                <w:szCs w:val="15"/>
              </w:rPr>
              <w:t xml:space="preserve">400,000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Tax-exempt municipal bond interest included in income</w:t>
            </w:r>
          </w:p>
        </w:tc>
        <w:tc>
          <w:tcPr>
            <w:tcW w:type="pct" w:w="2486"/>
            <w:shd w:fill="FBFAF6" w:val="clear"/>
            <w:tcMar>
              <w:top w:type="dxa" w:w="50"/>
              <w:left w:type="dxa" w:w="110"/>
              <w:bottom w:type="dxa" w:w="50"/>
              <w:right w:type="dxa" w:w="110"/>
            </w:tcMar>
          </w:tcPr>
          <w:p>
            <w:pPr>
              <w:spacing w:before="28" w:after="28"/>
            </w:pPr>
            <w:r>
              <w:rPr>
                <w:sz w:val="15"/>
                <w:szCs w:val="15"/>
              </w:rPr>
              <w:t xml:space="preserve">12,000</w:t>
            </w:r>
          </w:p>
        </w:tc>
      </w:tr>
      <w:tr>
        <w:tc>
          <w:tcPr>
            <w:tcW w:type="pct" w:w="2514"/>
            <w:tcMar>
              <w:top w:type="dxa" w:w="50"/>
              <w:left w:type="dxa" w:w="110"/>
              <w:bottom w:type="dxa" w:w="50"/>
              <w:right w:type="dxa" w:w="110"/>
            </w:tcMar>
          </w:tcPr>
          <w:p>
            <w:pPr>
              <w:spacing w:before="28" w:after="28"/>
            </w:pPr>
            <w:r>
              <w:rPr>
                <w:sz w:val="15"/>
                <w:szCs w:val="15"/>
              </w:rPr>
              <w:t xml:space="preserve">Fine for a late customs filing (not deductible)</w:t>
            </w:r>
          </w:p>
        </w:tc>
        <w:tc>
          <w:tcPr>
            <w:tcW w:type="pct" w:w="2486"/>
            <w:tcMar>
              <w:top w:type="dxa" w:w="50"/>
              <w:left w:type="dxa" w:w="110"/>
              <w:bottom w:type="dxa" w:w="50"/>
              <w:right w:type="dxa" w:w="110"/>
            </w:tcMar>
          </w:tcPr>
          <w:p>
            <w:pPr>
              <w:spacing w:before="28" w:after="28"/>
            </w:pPr>
            <w:r>
              <w:rPr>
                <w:sz w:val="15"/>
                <w:szCs w:val="15"/>
              </w:rPr>
              <w:t xml:space="preserve">6,000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 depreciation above book depreciation in 2027</w:t>
            </w:r>
          </w:p>
        </w:tc>
        <w:tc>
          <w:tcPr>
            <w:tcW w:type="pct" w:w="2486"/>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514"/>
            <w:tcMar>
              <w:top w:type="dxa" w:w="50"/>
              <w:left w:type="dxa" w:w="110"/>
              <w:bottom w:type="dxa" w:w="50"/>
              <w:right w:type="dxa" w:w="110"/>
            </w:tcMar>
          </w:tcPr>
          <w:p>
            <w:pPr>
              <w:spacing w:before="28" w:after="28"/>
            </w:pPr>
            <w:r>
              <w:rPr>
                <w:sz w:val="15"/>
                <w:szCs w:val="15"/>
              </w:rPr>
              <w:t xml:space="preserve">Warranty liability at December 31, 2027 (Chapter 12 case); repairs are deductible when paid</w:t>
            </w:r>
          </w:p>
        </w:tc>
        <w:tc>
          <w:tcPr>
            <w:tcW w:type="pct" w:w="2486"/>
            <w:tcMar>
              <w:top w:type="dxa" w:w="50"/>
              <w:left w:type="dxa" w:w="110"/>
              <w:bottom w:type="dxa" w:w="50"/>
              <w:right w:type="dxa" w:w="110"/>
            </w:tcMar>
          </w:tcPr>
          <w:p>
            <w:pPr>
              <w:spacing w:before="28" w:after="28"/>
            </w:pPr>
            <w:r>
              <w:rPr>
                <w:sz w:val="15"/>
                <w:szCs w:val="15"/>
              </w:rPr>
              <w:t xml:space="preserve">18,000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M1</w:t>
            </w:r>
          </w:p>
        </w:tc>
        <w:tc>
          <w:tcPr>
            <w:tcW w:type="pct" w:w="2486"/>
            <w:shd w:fill="FBFAF6" w:val="clear"/>
            <w:tcMar>
              <w:top w:type="dxa" w:w="50"/>
              <w:left w:type="dxa" w:w="110"/>
              <w:bottom w:type="dxa" w:w="50"/>
              <w:right w:type="dxa" w:w="110"/>
            </w:tcMar>
          </w:tcPr>
          <w:p>
            <w:pPr>
              <w:spacing w:before="28" w:after="28"/>
            </w:pPr>
            <w:r>
              <w:rPr>
                <w:sz w:val="15"/>
                <w:szCs w:val="15"/>
              </w:rPr>
              <w:t xml:space="preserve">The enacted combined tax rate is 25% for 2027 and all later years.</w:t>
            </w:r>
          </w:p>
        </w:tc>
      </w:tr>
      <w:tr>
        <w:tc>
          <w:tcPr>
            <w:tcW w:type="pct" w:w="2514"/>
            <w:tcMar>
              <w:top w:type="dxa" w:w="50"/>
              <w:left w:type="dxa" w:w="110"/>
              <w:bottom w:type="dxa" w:w="50"/>
              <w:right w:type="dxa" w:w="110"/>
            </w:tcMar>
          </w:tcPr>
          <w:p>
            <w:pPr>
              <w:spacing w:before="28" w:after="28"/>
            </w:pPr>
            <w:r>
              <w:rPr>
                <w:sz w:val="15"/>
                <w:szCs w:val="15"/>
              </w:rPr>
              <w:t xml:space="preserve">M2</w:t>
            </w:r>
          </w:p>
        </w:tc>
        <w:tc>
          <w:tcPr>
            <w:tcW w:type="pct" w:w="2486"/>
            <w:tcMar>
              <w:top w:type="dxa" w:w="50"/>
              <w:left w:type="dxa" w:w="110"/>
              <w:bottom w:type="dxa" w:w="50"/>
              <w:right w:type="dxa" w:w="110"/>
            </w:tcMar>
          </w:tcPr>
          <w:p>
            <w:pPr>
              <w:spacing w:before="28" w:after="28"/>
            </w:pPr>
            <w:r>
              <w:rPr>
                <w:sz w:val="15"/>
                <w:szCs w:val="15"/>
              </w:rPr>
              <w:t xml:space="preserve">Barada had no temporary differences at January 1, 2027. All deferred taxes are in one tax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M3</w:t>
            </w:r>
          </w:p>
        </w:tc>
        <w:tc>
          <w:tcPr>
            <w:tcW w:type="pct" w:w="2486"/>
            <w:shd w:fill="FBFAF6" w:val="clear"/>
            <w:tcMar>
              <w:top w:type="dxa" w:w="50"/>
              <w:left w:type="dxa" w:w="110"/>
              <w:bottom w:type="dxa" w:w="50"/>
              <w:right w:type="dxa" w:w="110"/>
            </w:tcMar>
          </w:tcPr>
          <w:p>
            <w:pPr>
              <w:spacing w:before="28" w:after="28"/>
            </w:pPr>
            <w:r>
              <w:rPr>
                <w:sz w:val="15"/>
                <w:szCs w:val="15"/>
              </w:rPr>
              <w:t xml:space="preserve">Barada has been profitable for many years and expects to stay profitable.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jurisdiction   ·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Barada Wholesale, 2027 (whole USD)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95"/>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5"/>
            <w:tcMar>
              <w:top w:type="dxa" w:w="50"/>
              <w:left w:type="dxa" w:w="110"/>
              <w:bottom w:type="dxa" w:w="50"/>
              <w:right w:type="dxa" w:w="110"/>
            </w:tcMar>
          </w:tcPr>
          <w:p>
            <w:pPr>
              <w:spacing w:before="28" w:after="28"/>
            </w:pPr>
            <w:r>
              <w:rPr>
                <w:sz w:val="15"/>
                <w:szCs w:val="15"/>
              </w:rPr>
              <w:t xml:space="preserve">Municipal bond interest</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Late-filing fine</w:t>
            </w:r>
          </w:p>
        </w:tc>
        <w:tc>
          <w:tcPr>
            <w:tcW w:type="pct" w:w="2595"/>
            <w:shd w:fill="FBFAF6" w:val="clear"/>
            <w:tcMar>
              <w:top w:type="dxa" w:w="50"/>
              <w:left w:type="dxa" w:w="110"/>
              <w:bottom w:type="dxa" w:w="50"/>
              <w:right w:type="dxa" w:w="110"/>
            </w:tcMar>
          </w:tcPr>
          <w:p>
            <w:pPr>
              <w:spacing w:before="28" w:after="28"/>
            </w:pPr>
            <w:r>
              <w:rPr>
                <w:sz w:val="15"/>
                <w:szCs w:val="15"/>
              </w:rPr>
              <w:t xml:space="preserve">Permanent difference</w:t>
            </w:r>
          </w:p>
        </w:tc>
      </w:tr>
      <w:tr>
        <w:tc>
          <w:tcPr>
            <w:tcW w:type="pct" w:w="2405"/>
            <w:tcMar>
              <w:top w:type="dxa" w:w="50"/>
              <w:left w:type="dxa" w:w="110"/>
              <w:bottom w:type="dxa" w:w="50"/>
              <w:right w:type="dxa" w:w="110"/>
            </w:tcMar>
          </w:tcPr>
          <w:p>
            <w:pPr>
              <w:spacing w:before="28" w:after="28"/>
            </w:pPr>
            <w:r>
              <w:rPr>
                <w:sz w:val="15"/>
                <w:szCs w:val="15"/>
              </w:rPr>
              <w:t xml:space="preserve">Tax depreciation above book</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5"/>
            <w:tcMar>
              <w:top w:type="dxa" w:w="50"/>
              <w:left w:type="dxa" w:w="110"/>
              <w:bottom w:type="dxa" w:w="50"/>
              <w:right w:type="dxa" w:w="110"/>
            </w:tcMar>
          </w:tcPr>
          <w:p>
            <w:pPr>
              <w:spacing w:before="28" w:after="28"/>
            </w:pPr>
            <w:r>
              <w:rPr>
                <w:sz w:val="15"/>
                <w:szCs w:val="15"/>
              </w:rPr>
              <w:t xml:space="preserve">Rent received in advance</w:t>
            </w:r>
          </w:p>
        </w:tc>
        <w:tc>
          <w:tcPr>
            <w:tcW w:type="pct" w:w="2595"/>
            <w:tcMar>
              <w:top w:type="dxa" w:w="50"/>
              <w:left w:type="dxa" w:w="110"/>
              <w:bottom w:type="dxa" w:w="50"/>
              <w:right w:type="dxa" w:w="110"/>
            </w:tcMar>
          </w:tcPr>
          <w:p>
            <w:pPr>
              <w:spacing w:before="28" w:after="28"/>
            </w:pPr>
            <w:r>
              <w:rPr>
                <w:sz w:val="15"/>
                <w:szCs w:val="15"/>
              </w:rPr>
              <w:t xml:space="preserve">Deductible temporary difference (DTA)</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temporary difference (DTL)   ·   Deductible temporary difference (DTA)   ·   Amount / details   ·   Permanent difference</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jurisdictions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valuation allowance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Permanent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Taxable temporary difference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Deductible temporary difference (DTA)</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operating lease</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periods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finance lease if it meets any one of five criteria;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lease runs 5 years in a building that will last 30 years, and its payments are worth only 28% of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an operating lease.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line was built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the lease covers most of its life: a finance lease.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substantially   ·   classifies   ·   building's   ·   lessee   ·   economic   ·   otherwise   ·   olive-press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957"/>
        <w:gridCol w:w="24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260"/>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260"/>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260"/>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60"/>
            <w:tcMar>
              <w:top w:type="dxa" w:w="50"/>
              <w:left w:type="dxa" w:w="110"/>
              <w:bottom w:type="dxa" w:w="50"/>
              <w:right w:type="dxa" w:w="110"/>
            </w:tcMar>
          </w:tcPr>
          <w:p>
            <w:pPr>
              <w:spacing w:before="28" w:after="28"/>
            </w:pPr>
            <w:r>
              <w:rPr>
                <w:sz w:val="15"/>
                <w:szCs w:val="15"/>
              </w:rPr>
              <w:t xml:space="preserve">Yes: 4 of 5 years (80%)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60"/>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BFAF6" w:val="clear"/>
            <w:tcMar>
              <w:top w:type="dxa" w:w="50"/>
              <w:left w:type="dxa" w:w="110"/>
              <w:bottom w:type="dxa" w:w="50"/>
              <w:right w:type="dxa" w:w="110"/>
            </w:tcMar>
          </w:tcPr>
          <w:p>
            <w:pPr>
              <w:spacing w:before="28" w:after="28"/>
            </w:pPr>
            <w:r>
              <w:rPr>
                <w:sz w:val="15"/>
                <w:szCs w:val="15"/>
              </w:rPr>
              <w:t xml:space="preserve">Operating lease</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No: any company could use it   ·   Finance lease   ·   residual value guarantee   ·   No: 5 of 30 years (17%)</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 5 of 30 years (17%)</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any company could use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warehouse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building's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olive-press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 The warehouse lease runs 5 years in a building that will last 30 years, and its payments are worth only 28% of the building's value: an operating lease. The olive-press line was built for Orontes and the lease covers most of its life: a finance lease.</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purchase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400"/>
            <w:tcMar>
              <w:top w:type="dxa" w:w="50"/>
              <w:left w:type="dxa" w:w="110"/>
              <w:bottom w:type="dxa" w:w="50"/>
              <w:right w:type="dxa" w:w="110"/>
            </w:tcMar>
          </w:tcPr>
          <w:p>
            <w:pPr>
              <w:spacing w:before="28" w:after="28"/>
            </w:pPr>
            <w:r>
              <w:rPr>
                <w:sz w:val="15"/>
                <w:szCs w:val="15"/>
              </w:rPr>
              <w:t xml:space="preserve">100,000</w:t>
            </w:r>
          </w:p>
        </w:tc>
        <w:tc>
          <w:tcPr>
            <w:tcW w:type="pct" w:w="1400"/>
            <w:tcMar>
              <w:top w:type="dxa" w:w="50"/>
              <w:left w:type="dxa" w:w="110"/>
              <w:bottom w:type="dxa" w:w="50"/>
              <w:right w:type="dxa" w:w="110"/>
            </w:tcMar>
          </w:tcPr>
          <w:p>
            <w:pPr>
              <w:spacing w:before="28" w:after="28"/>
            </w:pPr>
            <w:r>
              <w:rPr>
                <w:sz w:val="15"/>
                <w:szCs w:val="15"/>
              </w:rPr>
              <w:t xml:space="preserve">250,000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400"/>
            <w:shd w:fill="FBFAF6" w:val="clear"/>
            <w:tcMar>
              <w:top w:type="dxa" w:w="50"/>
              <w:left w:type="dxa" w:w="110"/>
              <w:bottom w:type="dxa" w:w="50"/>
              <w:right w:type="dxa" w:w="110"/>
            </w:tcMar>
          </w:tcPr>
          <w:p>
            <w:pPr>
              <w:spacing w:before="28" w:after="28"/>
            </w:pPr>
            <w:r>
              <w:rPr>
                <w:sz w:val="15"/>
                <w:szCs w:val="15"/>
              </w:rPr>
              <w:t xml:space="preserve">5</w:t>
            </w:r>
          </w:p>
        </w:tc>
        <w:tc>
          <w:tcPr>
            <w:tcW w:type="pct" w:w="1400"/>
            <w:shd w:fill="FBFAF6" w:val="clear"/>
            <w:tcMar>
              <w:top w:type="dxa" w:w="50"/>
              <w:left w:type="dxa" w:w="110"/>
              <w:bottom w:type="dxa" w:w="50"/>
              <w:right w:type="dxa" w:w="110"/>
            </w:tcMar>
          </w:tcPr>
          <w:p>
            <w:pPr>
              <w:spacing w:before="28" w:after="28"/>
            </w:pPr>
            <w:r>
              <w:rPr>
                <w:sz w:val="15"/>
                <w:szCs w:val="15"/>
              </w:rPr>
              <w:t xml:space="preserve">4</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0"/>
            <w:tcMar>
              <w:top w:type="dxa" w:w="50"/>
              <w:left w:type="dxa" w:w="110"/>
              <w:bottom w:type="dxa" w:w="50"/>
              <w:right w:type="dxa" w:w="110"/>
            </w:tcMar>
          </w:tcPr>
          <w:p>
            <w:pPr>
              <w:spacing w:before="28" w:after="28"/>
            </w:pPr>
            <w:r>
              <w:rPr>
                <w:sz w:val="15"/>
                <w:szCs w:val="15"/>
              </w:rPr>
              <w:t xml:space="preserve">6%</w:t>
            </w:r>
          </w:p>
        </w:tc>
        <w:tc>
          <w:tcPr>
            <w:tcW w:type="pct" w:w="1400"/>
            <w:tcMar>
              <w:top w:type="dxa" w:w="50"/>
              <w:left w:type="dxa" w:w="110"/>
              <w:bottom w:type="dxa" w:w="50"/>
              <w:right w:type="dxa" w:w="110"/>
            </w:tcMar>
          </w:tcPr>
          <w:p>
            <w:pPr>
              <w:spacing w:before="28" w:after="28"/>
            </w:pPr>
            <w:r>
              <w:rPr>
                <w:sz w:val="15"/>
                <w:szCs w:val="15"/>
              </w:rPr>
              <w:t xml:space="preserve">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0"/>
            <w:shd w:fill="FBFAF6" w:val="clear"/>
            <w:tcMar>
              <w:top w:type="dxa" w:w="50"/>
              <w:left w:type="dxa" w:w="110"/>
              <w:bottom w:type="dxa" w:w="50"/>
              <w:right w:type="dxa" w:w="110"/>
            </w:tcMar>
          </w:tcPr>
          <w:p>
            <w:pPr>
              <w:spacing w:before="28" w:after="28"/>
            </w:pPr>
            <w:r>
              <w:rPr>
                <w:sz w:val="15"/>
                <w:szCs w:val="15"/>
              </w:rPr>
              <w:t xml:space="preserve">500,000</w:t>
            </w:r>
          </w:p>
        </w:tc>
        <w:tc>
          <w:tcPr>
            <w:tcW w:type="pct" w:w="1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00"/>
            <w:tcMar>
              <w:top w:type="dxa" w:w="50"/>
              <w:left w:type="dxa" w:w="110"/>
              <w:bottom w:type="dxa" w:w="50"/>
              <w:right w:type="dxa" w:w="110"/>
            </w:tcMar>
          </w:tcPr>
          <w:p>
            <w:pPr>
              <w:spacing w:before="28" w:after="28"/>
            </w:pPr>
            <w:r>
              <w:rPr>
                <w:sz w:val="15"/>
                <w:szCs w:val="15"/>
              </w:rPr>
              <w:t xml:space="preserve">Lease liability = present value of payments</w:t>
            </w:r>
          </w:p>
        </w:tc>
        <w:tc>
          <w:tcPr>
            <w:tcW w:type="pct" w:w="1400"/>
            <w:tcMar>
              <w:top w:type="dxa" w:w="50"/>
              <w:left w:type="dxa" w:w="110"/>
              <w:bottom w:type="dxa" w:w="50"/>
              <w:right w:type="dxa" w:w="110"/>
            </w:tcMar>
          </w:tcPr>
          <w:p>
            <w:pPr>
              <w:spacing w:before="28" w:after="28"/>
            </w:pPr>
            <w:r>
              <w:rPr>
                <w:sz w:val="15"/>
                <w:szCs w:val="15"/>
              </w:rPr>
              <w:t xml:space="preserve">421,236</w:t>
            </w:r>
          </w:p>
        </w:tc>
        <w:tc>
          <w:tcPr>
            <w:tcW w:type="pct" w:w="1400"/>
            <w:tcMar>
              <w:top w:type="dxa" w:w="50"/>
              <w:left w:type="dxa" w:w="110"/>
              <w:bottom w:type="dxa" w:w="50"/>
              <w:right w:type="dxa" w:w="110"/>
            </w:tcMar>
          </w:tcPr>
          <w:p>
            <w:pPr>
              <w:spacing w:before="28" w:after="28"/>
            </w:pPr>
            <w:r>
              <w:rPr>
                <w:sz w:val="15"/>
                <w:szCs w:val="15"/>
              </w:rPr>
              <w:t xml:space="preserve">866,276</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400"/>
            <w:shd w:fill="FBFAF6" w:val="clear"/>
            <w:tcMar>
              <w:top w:type="dxa" w:w="50"/>
              <w:left w:type="dxa" w:w="110"/>
              <w:bottom w:type="dxa" w:w="50"/>
              <w:right w:type="dxa" w:w="110"/>
            </w:tcMar>
          </w:tcPr>
          <w:p>
            <w:pPr>
              <w:spacing w:before="28" w:after="28"/>
            </w:pPr>
            <w:r>
              <w:rPr>
                <w:sz w:val="15"/>
                <w:szCs w:val="15"/>
              </w:rPr>
              <w:t xml:space="preserve">421,236</w:t>
            </w:r>
          </w:p>
        </w:tc>
        <w:tc>
          <w:tcPr>
            <w:tcW w:type="pct" w:w="1400"/>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Undiscounted payments   ·   short-term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Undiscounted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668,253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largest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spacing w:before="20" w:after="20" w:line="360" w:lineRule="auto"/>
        <w:ind w:left="200"/>
      </w:pPr>
      <w:r>
        <w:rPr>
          <w:sz w:val="19"/>
          <w:szCs w:val="19"/>
        </w:rPr>
        <w:t xml:space="preserve">Complete years 2028 to 2030. The lease cost is $100,000 every year.</w:t>
      </w:r>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2030   ·   lessee   ·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lease   ·   opening   ·   separately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liability is split into a current part, the principal due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disclosed separately. </w:t>
      </w:r>
      <w:r>
        <w:rPr>
          <w:sz w:val="19"/>
          <w:szCs w:val="19"/>
        </w:rPr>
        <w:t xml:space="preserve">The olive-press liability of $668,253 includes a current part of $209,905, the principal that will be paid in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expenses   ·   investing   ·   liabilities   ·   principal   ·   operating-lease   ·   activity   ·   finance-lease   ·   within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One lease cost in operating expenses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expense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عقد الإيجار   ·   finance lease   ·   operating lease</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 The olive-press liability of $668,253 includes a current part of $209,905, the principal that will be paid in 2027.</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purchase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finance lease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reasonably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400"/>
            <w:tcMar>
              <w:top w:type="dxa" w:w="50"/>
              <w:left w:type="dxa" w:w="110"/>
              <w:bottom w:type="dxa" w:w="50"/>
              <w:right w:type="dxa" w:w="110"/>
            </w:tcMar>
          </w:tcPr>
          <w:p>
            <w:pPr>
              <w:spacing w:before="28" w:after="28"/>
            </w:pPr>
            <w:r>
              <w:rPr>
                <w:sz w:val="15"/>
                <w:szCs w:val="15"/>
              </w:rPr>
              <w:t xml:space="preserve">L1 Delivery trucks</w:t>
            </w:r>
          </w:p>
        </w:tc>
        <w:tc>
          <w:tcPr>
            <w:tcW w:type="pct" w:w="2600"/>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00"/>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400"/>
            <w:tcMar>
              <w:top w:type="dxa" w:w="50"/>
              <w:left w:type="dxa" w:w="110"/>
              <w:bottom w:type="dxa" w:w="50"/>
              <w:right w:type="dxa" w:w="110"/>
            </w:tcMar>
          </w:tcPr>
          <w:p>
            <w:pPr>
              <w:spacing w:before="28" w:after="28"/>
            </w:pPr>
            <w:r>
              <w:rPr>
                <w:sz w:val="15"/>
                <w:szCs w:val="15"/>
              </w:rPr>
              <w:t xml:space="preserve">L3 Storage room</w:t>
            </w:r>
          </w:p>
        </w:tc>
        <w:tc>
          <w:tcPr>
            <w:tcW w:type="pct" w:w="2600"/>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00"/>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Remeasure the liability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6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36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lessee</w:t>
            </w:r>
          </w:p>
        </w:tc>
      </w:tr>
    </w:tbl>
    <w:p/>
    <w:p>
      <w:pPr>
        <w:pageBreakBefore w:val="true"/>
        <w:spacing w:after="0"/>
      </w:pPr>
      <w:r>
        <w:rPr>
          <w:sz w:val="2"/>
        </w:rPr>
        <w:t xml:space="preserve"> </w:t>
      </w:r>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incremental borrowing rate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المؤجر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holding gain or loss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operating   ·   investment   ·   impairments   ·   peripheral</w:t>
            </w:r>
          </w:p>
        </w:tc>
      </w:tr>
    </w:tbl>
    <w:p/>
    <w:p>
      <w:pPr>
        <w:pageBreakBefore w:val="true"/>
        <w:spacing w:after="0"/>
      </w:pPr>
      <w:r>
        <w:rPr>
          <w:sz w:val="2"/>
        </w:rPr>
        <w:t xml:space="preserve"> </w:t>
      </w:r>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holding gain or loss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gain   ·   خسارة</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Depreciation   ·   recognized   ·   fair value less cost to sell   ·   period cost   ·   principle   ·   systematic   ·   When a cost has no clear link to future revenue</w:t>
            </w:r>
          </w:p>
        </w:tc>
      </w:tr>
    </w:tbl>
    <w:p/>
    <w:p>
      <w:pPr>
        <w:spacing w:before="44" w:after="14"/>
      </w:pPr>
      <w:r>
        <w:rPr>
          <w:b/>
          <w:bCs/>
          <w:color w:val="353A7C"/>
          <w:sz w:val="18"/>
          <w:szCs w:val="18"/>
        </w:rPr>
        <w:t xml:space="preserve">Summary 1</w:t>
      </w:r>
      <w:r>
        <w:rPr>
          <w:color w:val="6B7280"/>
          <w:sz w:val="16"/>
          <w:szCs w:val="16"/>
        </w:rPr>
        <w:t xml:space="preserve">      gaps 8–9</w:t>
      </w:r>
    </w:p>
    <w:p>
      <w:pPr>
        <w:spacing w:before="20" w:after="20" w:line="360" w:lineRule="auto"/>
        <w:ind w:left="200"/>
      </w:pPr>
      <w:r>
        <w:rPr>
          <w:sz w:val="19"/>
          <w:szCs w:val="19"/>
        </w:rPr>
        <w:t xml:space="preserve">Advertising and research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recognition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Cost spread over the periods that benefit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recognition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development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Comprehensive income is net income plus other comprehensive income. </w:t>
      </w:r>
      <w:r>
        <w:rPr>
          <w:sz w:val="19"/>
          <w:szCs w:val="19"/>
        </w:rPr>
        <w:t xml:space="preserve">U.S. OCI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holding gains and losses 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adjustments,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of cash-flow hedges, and some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gains and losses.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this adjustment, the same gain would be counted twice in comprehensive income: once in OCI when it arose, and again in net income on the sale. </w:t>
      </w:r>
      <w:r>
        <w:rPr>
          <w:sz w:val="19"/>
          <w:szCs w:val="19"/>
        </w:rPr>
        <w:t xml:space="preserve">Its value rises to $108,000 at the end of 2026,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it for $110,000 in 2027. </w:t>
      </w:r>
      <w:r>
        <w:rPr>
          <w:sz w:val="19"/>
          <w:szCs w:val="19"/>
        </w:rPr>
        <w:t xml:space="preserve">Over the two years, comprehensive income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tax is $10,000: the total gain, counted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before   ·   Orontes   ·   pension   ·   effective   ·   Unrealized   ·   includes   ·   adjustments   ·   Without   ·   removes   ·   reclassification   ·   translation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After tax at 25%, OCI is $6,000, and AOCI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amount   ·   returns   ·   gain   ·   loss   ·   builds</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   gain   ·   effective   ·   Comprehensive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comprehensive income   ·   disposal group</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builds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pension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before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 Its value rises to $108,000 at the end of 2026, and Orontes sells it for $110,000 in 2027. Over the two years, comprehensive income before tax is $10,000: the total gain, counted once.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criteria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p>
      <w:pPr>
        <w:spacing w:before="20" w:after="20" w:line="360" w:lineRule="auto"/>
        <w:ind w:left="200"/>
      </w:pPr>
      <w:r>
        <w:rPr>
          <w:sz w:val="19"/>
          <w:szCs w:val="19"/>
        </w:rPr>
        <w:t xml:space="preserve">The first two are done. Decide whether each of the others is a discontinued operation.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00"/>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400"/>
            <w:shd w:fill="FBFAF6" w:val="clear"/>
            <w:tcMar>
              <w:top w:type="dxa" w:w="50"/>
              <w:left w:type="dxa" w:w="110"/>
              <w:bottom w:type="dxa" w:w="50"/>
              <w:right w:type="dxa" w:w="110"/>
            </w:tcMar>
          </w:tcPr>
          <w:p>
            <w:pPr>
              <w:spacing w:before="28" w:after="28"/>
            </w:pPr>
            <w:r>
              <w:rPr>
                <w:sz w:val="15"/>
                <w:szCs w:val="15"/>
              </w:rPr>
              <w:t xml:space="preserve">No: not a strategic shift</w:t>
            </w:r>
          </w:p>
        </w:tc>
      </w:tr>
      <w:tr>
        <w:tc>
          <w:tcPr>
            <w:tcW w:type="pct" w:w="2600"/>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Yes: a major line of business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equity-method   ·   the disposal is a strategic shift that has   ·   it is a component of an entity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تحول استراتيجي   ·   component of an entity   ·   discontinued operation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Yes: a major line of business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 loss.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r>
        <w:rPr>
          <w:sz w:val="19"/>
          <w:szCs w:val="19"/>
        </w:rPr>
        <w:t xml:space="preserve">It includes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goodwill left after the 2025 impairment. </w:t>
      </w:r>
      <w:r>
        <w:rPr>
          <w:sz w:val="19"/>
          <w:szCs w:val="19"/>
        </w:rPr>
        <w:t xml:space="preserve">The carrying amount of $3,180,000 is above fair value less cost to sell of $3,000,000, so Orontes records a loss of $180,000. </w:t>
      </w:r>
      <w:r>
        <w:rPr>
          <w:sz w:val="19"/>
          <w:szCs w:val="19"/>
        </w:rPr>
        <w:t xml:space="preserve">This is the disposal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discontinued   ·   held-for-sale   ·   component   ·   reasonable   ·   approved   ·   recognized   ·   write-down   ·   became   ·   impairment   ·   measured   ·   management   ·   frozen-foods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Board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impairment</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component of an entity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holding gain or loss   ·   fair value less cost to sell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frozen-foods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 It includes the frozen-foods goodwill left after the 2025 impairment. The carrying amount of $3,180,000 is above fair value less cost to sell of $3,000,000, so Orontes records a loss of $180,000. This is the disposal loss.</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r>
        <w:rPr>
          <w:sz w:val="19"/>
          <w:szCs w:val="19"/>
        </w:rPr>
        <w:t xml:space="preserve">Under IFRS 5, a discontinued operation must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major line of business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area, and earlier balance sheets are not re-presented. </w:t>
      </w:r>
      <w:r>
        <w:rPr>
          <w:sz w:val="19"/>
          <w:szCs w:val="19"/>
        </w:rPr>
        <w:t xml:space="preserve">Some IFRS OCI items, such as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never return to profit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Held-for-sale   ·   gain   ·   geographical   ·   per-share   ·   Public   ·   remeasurement   ·   liabilities   ·   presented   ·   reclassified   ·   separate   ·   revaluation</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period cost   ·   Highly probable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U.S. GAAP has no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discontinued   ·   extraordinary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items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Definition of discontinued operation   ·   continuing</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held for sale   ·   Lawsuit settlement loss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مكسب (مكاسب)   ·   discontinued operation</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Re-presented: assets and liabilities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Not allowed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geographical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discontinued operation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 Under IFRS 5, a discontinued operation must be a separate major line of business or geographical area, and earlier balance sheets are not re-presented. Some IFRS OCI items, such as a revaluation surplus, never return to profit or loss.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69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2693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 exam uses noncontrolling interest. It is equity, never a liability.</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primary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a logistics entrepreneur owns all the shares of 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Cold-Chain   ·   activities   ·   entrepreneur's   ·   beneficiary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Test the VIE model 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Cold-Chain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bottles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7"/>
        <w:gridCol w:w="2874"/>
        <w:gridCol w:w="2740"/>
        <w:gridCol w:w="1397"/>
        <w:gridCol w:w="111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6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497"/>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427"/>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728"/>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579"/>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69"/>
            <w:tcMar>
              <w:top w:type="dxa" w:w="50"/>
              <w:left w:type="dxa" w:w="110"/>
              <w:bottom w:type="dxa" w:w="50"/>
              <w:right w:type="dxa" w:w="110"/>
            </w:tcMar>
          </w:tcPr>
          <w:p>
            <w:pPr>
              <w:spacing w:before="28" w:after="28"/>
            </w:pPr>
            <w:r>
              <w:rPr>
                <w:sz w:val="15"/>
                <w:szCs w:val="15"/>
              </w:rPr>
              <w:t xml:space="preserve">Full consolidation</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27"/>
            <w:tcMar>
              <w:top w:type="dxa" w:w="50"/>
              <w:left w:type="dxa" w:w="110"/>
              <w:bottom w:type="dxa" w:w="50"/>
              <w:right w:type="dxa" w:w="110"/>
            </w:tcMar>
          </w:tcPr>
          <w:p>
            <w:pPr>
              <w:spacing w:before="28" w:after="28"/>
            </w:pPr>
            <w:r>
              <w:rPr>
                <w:sz w:val="15"/>
                <w:szCs w:val="15"/>
              </w:rPr>
              <w:t xml:space="preserve">100% of each asset,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revenue and expense; NCI shown</w:t>
            </w:r>
          </w:p>
        </w:tc>
        <w:tc>
          <w:tcPr>
            <w:tcW w:type="pct" w:w="728"/>
            <w:tcMar>
              <w:top w:type="dxa" w:w="50"/>
              <w:left w:type="dxa" w:w="110"/>
              <w:bottom w:type="dxa" w:w="50"/>
              <w:right w:type="dxa" w:w="110"/>
            </w:tcMar>
          </w:tcPr>
          <w:p>
            <w:pPr>
              <w:spacing w:before="28" w:after="28"/>
            </w:pPr>
            <w:r>
              <w:rPr>
                <w:sz w:val="15"/>
                <w:szCs w:val="15"/>
              </w:rPr>
              <w:t xml:space="preserve">100% of intercompany items</w:t>
            </w:r>
          </w:p>
        </w:tc>
        <w:tc>
          <w:tcPr>
            <w:tcW w:type="pct" w:w="579"/>
            <w:tcMar>
              <w:top w:type="dxa" w:w="50"/>
              <w:left w:type="dxa" w:w="110"/>
              <w:bottom w:type="dxa" w:w="50"/>
              <w:right w:type="dxa" w:w="110"/>
            </w:tcMar>
          </w:tcPr>
          <w:p>
            <w:pPr>
              <w:spacing w:before="28" w:after="28"/>
            </w:pPr>
            <w:r>
              <w:rPr>
                <w:sz w:val="15"/>
                <w:szCs w:val="15"/>
              </w:rPr>
              <w:t xml:space="preserve">Levant (80%)</w:t>
            </w:r>
          </w:p>
        </w:tc>
      </w:tr>
      <w:tr>
        <w:tc>
          <w:tcPr>
            <w:tcW w:type="pct" w:w="76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27"/>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72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79"/>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69"/>
            <w:tcMar>
              <w:top w:type="dxa" w:w="50"/>
              <w:left w:type="dxa" w:w="110"/>
              <w:bottom w:type="dxa" w:w="50"/>
              <w:right w:type="dxa" w:w="110"/>
            </w:tcMar>
          </w:tcPr>
          <w:p>
            <w:pPr>
              <w:spacing w:before="28" w:after="28"/>
            </w:pPr>
            <w:r>
              <w:rPr>
                <w:sz w:val="15"/>
                <w:szCs w:val="15"/>
              </w:rPr>
              <w:t xml:space="preserve">Proportionate consolidation</w:t>
            </w:r>
          </w:p>
        </w:tc>
        <w:tc>
          <w:tcPr>
            <w:tcW w:type="pct" w:w="1497"/>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42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728"/>
            <w:tcMar>
              <w:top w:type="dxa" w:w="50"/>
              <w:left w:type="dxa" w:w="110"/>
              <w:bottom w:type="dxa" w:w="50"/>
              <w:right w:type="dxa" w:w="110"/>
            </w:tcMar>
          </w:tcPr>
          <w:p>
            <w:pPr>
              <w:spacing w:before="28" w:after="28"/>
            </w:pPr>
            <w:r>
              <w:rPr>
                <w:sz w:val="15"/>
                <w:szCs w:val="15"/>
              </w:rPr>
              <w:t xml:space="preserve">Investor's share</w:t>
            </w:r>
          </w:p>
        </w:tc>
        <w:tc>
          <w:tcPr>
            <w:tcW w:type="pct" w:w="579"/>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controlling financial interest   ·   Investor's share of each line   ·   liability   ·   Significant influence (20%–50%); joint ventures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investment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consolidation   ·   equity method   ·   joint venture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 influence (20%–50%); joint ventures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joint venture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Levant, and the other 20% is worth $1,900,000.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Levant's   ·   business   ·   equipment   ·   transaction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business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طريقة الاستحواذ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sale the parent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downstream   ·   reduces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Downstream unrealized profit (30% unsold)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spacing w:before="20" w:after="20" w:line="360" w:lineRule="auto"/>
        <w:ind w:left="200"/>
      </w:pPr>
      <w:r>
        <w:rPr>
          <w:sz w:val="19"/>
          <w:szCs w:val="19"/>
        </w:rPr>
        <w:t xml:space="preserve">Complete the five blanks.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1,900,000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Less: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on the PP&amp;E step-up (1,200,000 ÷ 10 years)</w:t>
            </w:r>
          </w:p>
        </w:tc>
        <w:tc>
          <w:tcPr>
            <w:tcW w:type="pct" w:w="2400"/>
            <w:tcMar>
              <w:top w:type="dxa" w:w="50"/>
              <w:left w:type="dxa" w:w="110"/>
              <w:bottom w:type="dxa" w:w="50"/>
              <w:right w:type="dxa" w:w="110"/>
            </w:tcMar>
          </w:tcPr>
          <w:p>
            <w:pPr>
              <w:spacing w:before="28" w:after="28"/>
            </w:pPr>
            <w:r>
              <w:rPr>
                <w:sz w:val="15"/>
                <w:szCs w:val="15"/>
              </w:rPr>
              <w:t xml:space="preserve">(120,000)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Adjusted net income of Levant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share (20%)</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Less: dividends paid to NCI</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NCI at January 1, 2027 (fair value)   ·   Less: upstream unrealized profit   ·   depreciation   ·   Levant's 2027 net income   ·   Truck sold for 90,000 (carrying 60,000)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equity-method   ·   intercompany   ·   eliminated   ·   Downstream</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NCI at January 1, 2027 (fair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Levant's 2027 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upstream 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recognize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Supplier (30%, significant influence)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Listed food company (8%)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Fair value of the 25% noncontrolling interest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primary beneficiary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upstream sale   ·   goodwill</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(vi) Impairment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1"/>
        <w:gridCol w:w="3872"/>
        <w:gridCol w:w="2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3"/>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16"/>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81"/>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3"/>
            <w:tcMar>
              <w:top w:type="dxa" w:w="50"/>
              <w:left w:type="dxa" w:w="110"/>
              <w:bottom w:type="dxa" w:w="50"/>
              <w:right w:type="dxa" w:w="110"/>
            </w:tcMar>
          </w:tcPr>
          <w:p>
            <w:pPr>
              <w:spacing w:before="28" w:after="28"/>
            </w:pPr>
            <w:r>
              <w:rPr>
                <w:sz w:val="15"/>
                <w:szCs w:val="15"/>
              </w:rPr>
              <w:t xml:space="preserve">Graded vesting (service condition)</w:t>
            </w:r>
          </w:p>
        </w:tc>
        <w:tc>
          <w:tcPr>
            <w:tcW w:type="pct" w:w="2016"/>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81"/>
            <w:tcMar>
              <w:top w:type="dxa" w:w="50"/>
              <w:left w:type="dxa" w:w="110"/>
              <w:bottom w:type="dxa" w:w="50"/>
              <w:right w:type="dxa" w:w="110"/>
            </w:tcMar>
          </w:tcPr>
          <w:p>
            <w:pPr>
              <w:spacing w:before="28" w:after="28"/>
            </w:pPr>
            <w:r>
              <w:rPr>
                <w:sz w:val="15"/>
                <w:szCs w:val="15"/>
              </w:rPr>
              <w:t xml:space="preserve">Tranche by tranche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1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estimate or record as they occur</w:t>
            </w:r>
          </w:p>
        </w:tc>
        <w:tc>
          <w:tcPr>
            <w:tcW w:type="pct" w:w="1181"/>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3"/>
            <w:tcMar>
              <w:top w:type="dxa" w:w="50"/>
              <w:left w:type="dxa" w:w="110"/>
              <w:bottom w:type="dxa" w:w="50"/>
              <w:right w:type="dxa" w:w="110"/>
            </w:tcMar>
          </w:tcPr>
          <w:p>
            <w:pPr>
              <w:spacing w:before="28" w:after="28"/>
            </w:pPr>
            <w:r>
              <w:rPr>
                <w:sz w:val="15"/>
                <w:szCs w:val="15"/>
              </w:rPr>
              <w:t xml:space="preserve">Employer payroll taxes on awards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81"/>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81"/>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3"/>
            <w:tcMar>
              <w:top w:type="dxa" w:w="50"/>
              <w:left w:type="dxa" w:w="110"/>
              <w:bottom w:type="dxa" w:w="50"/>
              <w:right w:type="dxa" w:w="110"/>
            </w:tcMar>
          </w:tcPr>
          <w:p>
            <w:pPr>
              <w:spacing w:before="28" w:after="28"/>
            </w:pPr>
            <w:r>
              <w:rPr>
                <w:sz w:val="15"/>
                <w:szCs w:val="15"/>
              </w:rPr>
              <w:t xml:space="preserve">Return on plan assets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81"/>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16"/>
            <w:shd w:fill="FBFAF6" w:val="clear"/>
            <w:tcMar>
              <w:top w:type="dxa" w:w="50"/>
              <w:left w:type="dxa" w:w="110"/>
              <w:bottom w:type="dxa" w:w="50"/>
              <w:right w:type="dxa" w:w="110"/>
            </w:tcMar>
          </w:tcPr>
          <w:p>
            <w:pPr>
              <w:spacing w:before="28" w:after="28"/>
            </w:pPr>
            <w:r>
              <w:rPr>
                <w:sz w:val="15"/>
                <w:szCs w:val="15"/>
              </w:rPr>
              <w:t xml:space="preserve">OCI, amortized over 10 years: 5,000 a year</w:t>
            </w:r>
          </w:p>
        </w:tc>
        <w:tc>
          <w:tcPr>
            <w:tcW w:type="pct" w:w="1181"/>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Policy choice   ·   component depreciation   ·   Expected return   ·   When the tax obligation arises (exercise or vesting)   ·   OCI, then amortized into net income (corridor)   ·   Expensed at once: 50,000</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Policy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When the tax obligation arises (exercise or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OCI, then amortized into net income (corridor)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Expensed at once: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recognize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Not allowed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technical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write inventory down when its value falls below cost. </w:t>
      </w:r>
      <w:r>
        <w:rPr>
          <w:sz w:val="19"/>
          <w:szCs w:val="19"/>
        </w:rPr>
        <w:t xml:space="preserve">The key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comes when value recovers.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frameworks   ·   difference   ·   provision</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remeasurements   ·   average   ·   write-down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In U.S. terms,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reduces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write-down   ·   provision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Both frameworks write inventory down when its value falls below cost. The key difference comes when value recovers.</w:t>
      </w:r>
    </w:p>
    <w:p>
      <w:pPr>
        <w:spacing w:before="20" w:after="20"/>
        <w:ind w:left="240" w:hanging="240"/>
      </w:pPr>
      <w:r>
        <w:rPr>
          <w:b/>
          <w:bCs/>
          <w:color w:val="353A7C"/>
          <w:sz w:val="15"/>
          <w:szCs w:val="15"/>
        </w:rPr>
        <w:t xml:space="preserve">Summary 2   </w:t>
      </w:r>
      <w:r>
        <w:rPr>
          <w:color w:val="6B7280"/>
          <w:sz w:val="15"/>
          <w:szCs w:val="15"/>
        </w:rPr>
        <w:t xml:space="preserve">In U.S. terms, a write-down reduces the inventory itself; do not call it a provision or a reserve.</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remeasurements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treated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Low-value assets   ·   Full gain if a sale   ·   One: all leases like finance leases   ·   Liability remeasured   ·   Operating   ·   One straight-line lease cost: 100,000</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5–9</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significant   ·   increases   ·   Orontes's   ·   different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frameworks   ·   surplus   ·   construction   ·   revaluation model   ·   recoverable amount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recoverability test   ·   component depreciation   ·   revaluation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surplus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component depreciation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value in use,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there is no undiscounted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IFRS losses often come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without   ·   frameworks   ·   screen   ·   Because   ·   earlier   ·   cash-generating   ·   exposure   ·   future   ·   discounted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compares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The first two are done. </w:t>
      </w:r>
      <w:r>
        <w:rPr>
          <w:sz w:val="19"/>
          <w:szCs w:val="19"/>
        </w:rPr>
        <w:t xml:space="preserve">Decide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each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true under U.S. GAAP only, IFRS only, or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exposure   ·   whether   ·   others</w:t>
            </w:r>
          </w:p>
        </w:tc>
      </w:tr>
    </w:tbl>
    <w:p/>
    <w:p>
      <w:pPr>
        <w:pageBreakBefore w:val="true"/>
        <w:spacing w:after="0"/>
      </w:pPr>
      <w:r>
        <w:rPr>
          <w:sz w:val="2"/>
        </w:rPr>
        <w:t xml:space="preserve"> </w:t>
      </w:r>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5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734050" cy="2557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short-term lease exemption exists   ·   Prior service cost is expensed immediately   ·   fair value less costs of disposal</w:t>
            </w:r>
          </w:p>
        </w:tc>
      </w:tr>
    </w:tbl>
    <w:p/>
    <w:p>
      <w:pPr>
        <w:spacing w:before="44" w:after="14"/>
      </w:pPr>
      <w:r>
        <w:rPr>
          <w:b/>
          <w:bCs/>
          <w:color w:val="353A7C"/>
          <w:sz w:val="18"/>
          <w:szCs w:val="18"/>
        </w:rPr>
        <w:t xml:space="preserve">Summary 4</w:t>
      </w:r>
      <w:r>
        <w:rPr>
          <w:color w:val="6B7280"/>
          <w:sz w:val="16"/>
          <w:szCs w:val="16"/>
        </w:rPr>
        <w:t xml:space="preserve">      gaps 16–17</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   disclosures   ·   impairment-only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Development costs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consolidation   ·   write-down   ·   Warehouse   ·   Delivery fleet</w:t>
            </w:r>
          </w:p>
        </w:tc>
      </w:tr>
    </w:tbl>
    <w:p/>
    <w:p>
      <w:pPr>
        <w:pageBreakBefore w:val="true"/>
        <w:spacing w:after="0"/>
      </w:pPr>
      <w:r>
        <w:rPr>
          <w:sz w:val="2"/>
        </w:rPr>
        <w:t xml:space="preserve"> </w:t>
      </w:r>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short-term lease exemption exists   ·   Prior service cost expensed immediately</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L2 Write-down reversal   ·   value in use   ·   L4 Fleet impairment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research and development (R&amp;D)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short-term lease exemption 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Prior service cost is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screen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Prior service cost expensed 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L4 Fleet 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others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first two are done. Decide whether each of the others is true under U.S. GAAP only, IFRS only, or both.</w:t>
      </w:r>
    </w:p>
    <w:p>
      <w:pPr>
        <w:spacing w:before="20" w:after="20"/>
        <w:ind w:left="240" w:hanging="240"/>
      </w:pPr>
      <w:r>
        <w:rPr>
          <w:b/>
          <w:bCs/>
          <w:color w:val="353A7C"/>
          <w:sz w:val="15"/>
          <w:szCs w:val="15"/>
        </w:rPr>
        <w:t xml:space="preserve">Summary 4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التقرير المتكامل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Yes: required for an SEC registrant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shareholders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integrated thinking</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products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manufactured capital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explains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spacing w:before="20" w:after="20" w:line="360" w:lineRule="auto"/>
        <w:ind w:left="200"/>
      </w:pPr>
      <w:r>
        <w:rPr>
          <w:sz w:val="19"/>
          <w:szCs w:val="19"/>
        </w:rPr>
        <w:t xml:space="preserve">The first two are done. Name the capital for each of the others.</w:t>
      </w:r>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Water drawn from local wells   ·   Long-term contracts with grower cooperatives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Long-term contracts with grower cooperatives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Grow, press, bottle, sell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statement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Show how capitals, strategy and performance link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outlook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distinguishable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focus and future orientation   ·   Materiality   ·   content elements   ·   Stakeholder relationships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Strategic focus and future orientation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Stakeholder 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Materiality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assurance   ·   information   ·   capitals   ·   non-financial   ·   Framework   ·   integrated reporting   ·   comparability   ·   relationships   ·   investors   ·   guiding principles</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comparability</w:t>
            </w:r>
          </w:p>
        </w:tc>
      </w:tr>
    </w:tbl>
    <w:p/>
    <w:p>
      <w:pPr>
        <w:spacing w:before="50" w:after="14"/>
      </w:pPr>
      <w:r>
        <w:rPr>
          <w:b/>
          <w:bCs/>
          <w:color w:val="353A7C"/>
          <w:sz w:val="18"/>
          <w:szCs w:val="18"/>
        </w:rPr>
        <w:t xml:space="preserve">the summaries in full</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400"/>
            <w:tcMar>
              <w:top w:type="dxa" w:w="50"/>
              <w:left w:type="dxa" w:w="110"/>
              <w:bottom w:type="dxa" w:w="50"/>
              <w:right w:type="dxa" w:w="110"/>
            </w:tcMar>
          </w:tcPr>
          <w:p>
            <w:pPr>
              <w:spacing w:before="28" w:after="28"/>
            </w:pPr>
            <w:r>
              <w:rPr>
                <w:sz w:val="15"/>
                <w:szCs w:val="15"/>
              </w:rPr>
              <w:t xml:space="preserve">D1</w:t>
            </w:r>
          </w:p>
        </w:tc>
        <w:tc>
          <w:tcPr>
            <w:tcW w:type="pct" w:w="2600"/>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400"/>
            <w:tcMar>
              <w:top w:type="dxa" w:w="50"/>
              <w:left w:type="dxa" w:w="110"/>
              <w:bottom w:type="dxa" w:w="50"/>
              <w:right w:type="dxa" w:w="110"/>
            </w:tcMar>
          </w:tcPr>
          <w:p>
            <w:pPr>
              <w:spacing w:before="28" w:after="28"/>
            </w:pPr>
            <w:r>
              <w:rPr>
                <w:sz w:val="15"/>
                <w:szCs w:val="15"/>
              </w:rPr>
              <w:t xml:space="preserve">D3</w:t>
            </w:r>
          </w:p>
        </w:tc>
        <w:tc>
          <w:tcPr>
            <w:tcW w:type="pct" w:w="2600"/>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400"/>
            <w:tcMar>
              <w:top w:type="dxa" w:w="50"/>
              <w:left w:type="dxa" w:w="110"/>
              <w:bottom w:type="dxa" w:w="50"/>
              <w:right w:type="dxa" w:w="110"/>
            </w:tcMar>
          </w:tcPr>
          <w:p>
            <w:pPr>
              <w:spacing w:before="28" w:after="28"/>
            </w:pPr>
            <w:r>
              <w:rPr>
                <w:sz w:val="15"/>
                <w:szCs w:val="15"/>
              </w:rPr>
              <w:t xml:space="preserve">D5</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D6</w:t>
            </w:r>
          </w:p>
        </w:tc>
        <w:tc>
          <w:tcPr>
            <w:tcW w:type="pct" w:w="2600"/>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manufactured capital   ·   Social and relationship capital   ·   Natural capital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رؤوس الأموال   ·   integrated report</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integrated 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88"/>
          <w:pgSz w:w="11906" w:h="16838" w:orient="portrait"/>
          <w:pgMar w:top="1180" w:right="1000" w:bottom="900" w:left="1000" w:header="708" w:footer="708" w:gutter="0"/>
          <w:docGrid w:linePitch="360"/>
          <w:pgNumType w:start="1"/>
        </w:sectPr>
      </w:pPr>
    </w:p>
    <w:sectPr>
      <w:headerReference w:type="default" r:id="rIdHdr18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fb3409c59d5ba967155659445d60da5da01136b.png" Type="http://schemas.openxmlformats.org/officeDocument/2006/relationships/image"/><Relationship Id="rId102" Target="media/e6cd6c3f15face523ac58431cbe41acddf35ae08.png" Type="http://schemas.openxmlformats.org/officeDocument/2006/relationships/image"/><Relationship Id="rId103" Target="media/21f6a451e2701825b997f01d8e7ac7d40d3a3ac5.png" Type="http://schemas.openxmlformats.org/officeDocument/2006/relationships/image"/><Relationship Id="rId104" Target="media/e394543c29ca0c7e7e02f4ee2e2ffca62c555660.png" Type="http://schemas.openxmlformats.org/officeDocument/2006/relationships/image"/><Relationship Id="rId105" Target="media/a5ba304055d8dc8bf74baa59f834ffa0d8b6b2b1.png" Type="http://schemas.openxmlformats.org/officeDocument/2006/relationships/image"/><Relationship Id="rId106" Target="media/9274e320d00cc1f15fc5d976bc9a92aad3a8d9a9.png" Type="http://schemas.openxmlformats.org/officeDocument/2006/relationships/image"/><Relationship Id="rId107" Target="media/a21839203d8366da0bdb003e8f133c171c18bfcf.png" Type="http://schemas.openxmlformats.org/officeDocument/2006/relationships/image"/><Relationship Id="rId108" Target="media/606b29f8e606b81a649bb3ab3cb2a9fdad59a237.png" Type="http://schemas.openxmlformats.org/officeDocument/2006/relationships/image"/><Relationship Id="rId109" Target="media/efef428e16f6bcd528bc2d7543a0c9f34eefe1aa.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0dece7206b1150af26055271d0da2e81b778f13e.png" Type="http://schemas.openxmlformats.org/officeDocument/2006/relationships/image"/><Relationship Id="rId113" Target="media/bc498578c61b76cbb87adfe3bbe9e1d2d1297a70.png" Type="http://schemas.openxmlformats.org/officeDocument/2006/relationships/image"/><Relationship Id="rId114" Target="media/b787336fc654f523ad74989a47cc8d612fe08f0b.png" Type="http://schemas.openxmlformats.org/officeDocument/2006/relationships/image"/><Relationship Id="rId115" Target="media/78dcd6ce27314b3f0e7c5df1f8068fbef49a14dc.png" Type="http://schemas.openxmlformats.org/officeDocument/2006/relationships/image"/><Relationship Id="rId116" Target="media/bf13b71f98c2bca22e4508d5f201092365d56134.png" Type="http://schemas.openxmlformats.org/officeDocument/2006/relationships/image"/><Relationship Id="rId117" Target="media/b3c13ee14d573e9c11a446fa760a79c792d27b12.png" Type="http://schemas.openxmlformats.org/officeDocument/2006/relationships/image"/><Relationship Id="rId118" Target="media/62696186d75f7aba50e3a5457b5ee77057337ef6.png" Type="http://schemas.openxmlformats.org/officeDocument/2006/relationships/image"/><Relationship Id="rId119" Target="media/e532e14566190bb0ca65a7bc990028384b543be3.png" Type="http://schemas.openxmlformats.org/officeDocument/2006/relationships/image"/><Relationship Id="rId120" Target="media/2ec8f26fe1363498b17b14836aa057388e3b2797.png" Type="http://schemas.openxmlformats.org/officeDocument/2006/relationships/image"/><Relationship Id="rId121" Target="media/a8d893ed39d62d80f594cff6c158c76e2880c991.png" Type="http://schemas.openxmlformats.org/officeDocument/2006/relationships/image"/><Relationship Id="rId122" Target="media/8a9a066b6ba2c25ffb0078ca394599696be7ea7c.png" Type="http://schemas.openxmlformats.org/officeDocument/2006/relationships/image"/><Relationship Id="rId123" Target="media/446ca8459f293474586bbb97d37c5b938a90f156.png" Type="http://schemas.openxmlformats.org/officeDocument/2006/relationships/image"/><Relationship Id="rId124" Target="media/c3d5b35f9ef794f37aff0bc428d9b6fa04f6b4aa.png" Type="http://schemas.openxmlformats.org/officeDocument/2006/relationships/image"/><Relationship Id="rId125" Target="media/74c3341ead4c1174cdd6be8e2f7f4166ec0e3a72.png" Type="http://schemas.openxmlformats.org/officeDocument/2006/relationships/image"/><Relationship Id="rId126" Target="media/82030786494837d1e00a382193d3fee737a62007.png" Type="http://schemas.openxmlformats.org/officeDocument/2006/relationships/image"/><Relationship Id="rId127" Target="media/d2c11b7280b5766959a8bd1c339735fa5c38bf87.png" Type="http://schemas.openxmlformats.org/officeDocument/2006/relationships/image"/><Relationship Id="rId128" Target="media/24d9e605f47edce61e68b7ae3f2a818a9e5e93cb.png" Type="http://schemas.openxmlformats.org/officeDocument/2006/relationships/image"/><Relationship Id="rId129" Target="media/fbeb962de72923677f65877b561ea2ba3d95db7f.png" Type="http://schemas.openxmlformats.org/officeDocument/2006/relationships/image"/><Relationship Id="rId130" Target="media/7d3a995f97353689360da589359d324052e3199e.png" Type="http://schemas.openxmlformats.org/officeDocument/2006/relationships/image"/><Relationship Id="rId131" Target="media/d6a737557e5217da5d375874c7c4f118048b2981.png" Type="http://schemas.openxmlformats.org/officeDocument/2006/relationships/image"/><Relationship Id="rId132" Target="media/570f8c1e8c48d24363ff024860b438fb79c72bde.png" Type="http://schemas.openxmlformats.org/officeDocument/2006/relationships/image"/><Relationship Id="rId133" Target="media/98671c5b9b80adaf867b9e3dcdcfee344ee2759f.png" Type="http://schemas.openxmlformats.org/officeDocument/2006/relationships/image"/><Relationship Id="rId134" Target="media/77055da939cdb53606c98c401f79ca172ea9eb7c.png" Type="http://schemas.openxmlformats.org/officeDocument/2006/relationships/image"/><Relationship Id="rId135" Target="media/8e8240a756d8365560b2c35e38dad7ae05558565.png" Type="http://schemas.openxmlformats.org/officeDocument/2006/relationships/image"/><Relationship Id="rId136" Target="media/dcd76e46d8370de81b2a1336b42fbeef64ee8507.png" Type="http://schemas.openxmlformats.org/officeDocument/2006/relationships/image"/><Relationship Id="rId137" Target="media/c2ccdcef03ee4613a15991a3f896b6b54d951f4d.png" Type="http://schemas.openxmlformats.org/officeDocument/2006/relationships/image"/><Relationship Id="rId138" Target="media/f82deda45a82a14e264ea539b199d017d2b38e40.png" Type="http://schemas.openxmlformats.org/officeDocument/2006/relationships/image"/><Relationship Id="rId139" Target="media/cc9a644d92103316c913de4bde48f6c0a6ffc573.png" Type="http://schemas.openxmlformats.org/officeDocument/2006/relationships/image"/><Relationship Id="rId140" Target="media/609f0d9f0eb62dac0dfa2f268f8ad76b23f5b497.png" Type="http://schemas.openxmlformats.org/officeDocument/2006/relationships/image"/><Relationship Id="rId141" Target="media/cd050a3751879b5e2321c2fea9ec57d212e7bf58.png" Type="http://schemas.openxmlformats.org/officeDocument/2006/relationships/image"/><Relationship Id="rId142" Target="media/0e3dcc198ce4b402c04a40ded42335ed43da313a.png" Type="http://schemas.openxmlformats.org/officeDocument/2006/relationships/image"/><Relationship Id="rId143" Target="media/ac28cb4267294a1fdf891ef640e6c77a94e2cbd5.png" Type="http://schemas.openxmlformats.org/officeDocument/2006/relationships/image"/><Relationship Id="rId144" Target="media/8c672e97454a36d9691b12d235563ef1da1d15b6.png" Type="http://schemas.openxmlformats.org/officeDocument/2006/relationships/image"/><Relationship Id="rId145" Target="media/239c0173c4126a60d5ee1db365241eb70cf802c6.png" Type="http://schemas.openxmlformats.org/officeDocument/2006/relationships/image"/><Relationship Id="rId146" Target="media/cab6766e86a80cde24420a7e2dc600bcafcb956d.png" Type="http://schemas.openxmlformats.org/officeDocument/2006/relationships/image"/><Relationship Id="rId147" Target="media/4035911c48e5a5b36cd9edc4c9178e32832d9d51.png" Type="http://schemas.openxmlformats.org/officeDocument/2006/relationships/image"/><Relationship Id="rId148" Target="media/039cfb7799b0037741ef0ec7b9f6a3becc800c16.png" Type="http://schemas.openxmlformats.org/officeDocument/2006/relationships/image"/><Relationship Id="rId149" Target="media/90990591fe9056e34070906d86f9fe9c1ec3c455.png" Type="http://schemas.openxmlformats.org/officeDocument/2006/relationships/image"/><Relationship Id="rId150" Target="media/94391c13d155da102c3d4694cffbe6152d6ef6f4.png" Type="http://schemas.openxmlformats.org/officeDocument/2006/relationships/image"/><Relationship Id="rId151" Target="media/e862b26eb3a02c8b9a55058185528e92d6cb76ca.png" Type="http://schemas.openxmlformats.org/officeDocument/2006/relationships/image"/><Relationship Id="rId152" Target="media/e9beb181497f995c7f4f820f51958262b18d4a9c.png" Type="http://schemas.openxmlformats.org/officeDocument/2006/relationships/image"/><Relationship Id="rId153" Target="media/39d4e7e2f131b818d16c68ce0fd9a43e71954d73.png" Type="http://schemas.openxmlformats.org/officeDocument/2006/relationships/image"/><Relationship Id="rId154" Target="media/022434368ebb1365fd5d35821d520109ec46f350.png" Type="http://schemas.openxmlformats.org/officeDocument/2006/relationships/image"/><Relationship Id="rId155" Target="media/c11fad706af8b49bea55501ac7f9b904678041c7.png" Type="http://schemas.openxmlformats.org/officeDocument/2006/relationships/image"/><Relationship Id="rId156" Target="media/855fba116821b807c9ab51a62accc1d61365b658.png" Type="http://schemas.openxmlformats.org/officeDocument/2006/relationships/image"/><Relationship Id="rId157" Target="media/93c22d2aa635928e900fda5a752097b5582b156c.png" Type="http://schemas.openxmlformats.org/officeDocument/2006/relationships/image"/><Relationship Id="rId158" Target="media/f7d1965f677c9fbe95666bdd7ac6e8576fe75753.png" Type="http://schemas.openxmlformats.org/officeDocument/2006/relationships/image"/><Relationship Id="rId159" Target="media/2b54fdcf833fe11ce0b4dc25f34d99d7e563dd72.png" Type="http://schemas.openxmlformats.org/officeDocument/2006/relationships/image"/><Relationship Id="rId160" Target="media/e2b35aaa50a5251826b899af27c7c527083e7ff0.png" Type="http://schemas.openxmlformats.org/officeDocument/2006/relationships/image"/><Relationship Id="rId161" Target="media/fba2b5ada76d7f9688f2668941cb6c8603ea7ef5.png" Type="http://schemas.openxmlformats.org/officeDocument/2006/relationships/image"/><Relationship Id="rId162" Target="media/f525dab043aa0b268e5e7845c36cd24090dfa1f2.png" Type="http://schemas.openxmlformats.org/officeDocument/2006/relationships/image"/><Relationship Id="rId163" Target="media/647e6f9a0a2afefce9e8e3680bfb8cad475ad403.png" Type="http://schemas.openxmlformats.org/officeDocument/2006/relationships/image"/><Relationship Id="rId164" Target="media/af5ffcd955e38022daf54f0605d5c4dbd20eff4f.png" Type="http://schemas.openxmlformats.org/officeDocument/2006/relationships/image"/><Relationship Id="rId165" Target="media/3fe02b7012fd91aa8585bf5cfaca134ad150a61d.png" Type="http://schemas.openxmlformats.org/officeDocument/2006/relationships/image"/><Relationship Id="rId166" Target="media/61c6844b061ba32ec442be33f888d4f5cda188ad.png" Type="http://schemas.openxmlformats.org/officeDocument/2006/relationships/image"/><Relationship Id="rId167" Target="media/cedb5ab9d7c91d775501d61b6ee2e8f96dc509cd.png" Type="http://schemas.openxmlformats.org/officeDocument/2006/relationships/image"/><Relationship Id="rId168" Target="media/1e08ac3cb744318270531de87752c4c4d74589e3.png" Type="http://schemas.openxmlformats.org/officeDocument/2006/relationships/image"/><Relationship Id="rId169" Target="media/67b035e8a54802842b2b2062c45b9e17080ec6d4.png" Type="http://schemas.openxmlformats.org/officeDocument/2006/relationships/image"/><Relationship Id="rId170" Target="media/465390ead1112a179f95aac641fc911ce0d1b18d.png" Type="http://schemas.openxmlformats.org/officeDocument/2006/relationships/image"/><Relationship Id="rId171" Target="media/1235e892a8f777b9628458365848e39d7acdec27.png" Type="http://schemas.openxmlformats.org/officeDocument/2006/relationships/image"/><Relationship Id="rId172" Target="media/ce5485de9a2a57634b2f77957276f20369ca7f19.png" Type="http://schemas.openxmlformats.org/officeDocument/2006/relationships/image"/><Relationship Id="rId173" Target="media/2f2b395c51d2599f16674019ad8bb92abbf954e5.png" Type="http://schemas.openxmlformats.org/officeDocument/2006/relationships/image"/><Relationship Id="rId174" Target="media/fb14663fd5ba47eb16d9776a523adf7d4b7c683e.png" Type="http://schemas.openxmlformats.org/officeDocument/2006/relationships/image"/><Relationship Id="rId175" Target="media/b00ea7490dd164b3af8b631a42d8342e53a455f1.png" Type="http://schemas.openxmlformats.org/officeDocument/2006/relationships/image"/><Relationship Id="rId176" Target="media/883d6d583445e81aedf1f7b8b157a9d6569acfa7.png" Type="http://schemas.openxmlformats.org/officeDocument/2006/relationships/image"/><Relationship Id="rId177" Target="media/f98f39982d77ff660524514fc8f79d724a92aa5d.png" Type="http://schemas.openxmlformats.org/officeDocument/2006/relationships/image"/><Relationship Id="rId178" Target="media/6c0e0531fae1cce08b86321aaca8ff05a691d530.png" Type="http://schemas.openxmlformats.org/officeDocument/2006/relationships/image"/><Relationship Id="rId179" Target="media/b977408f89ded03da98f4a38f2088c6f2ec9d2a6.png" Type="http://schemas.openxmlformats.org/officeDocument/2006/relationships/image"/><Relationship Id="rId180" Target="media/9054b5e0335361351a96d7ad19e9fc96b4747643.png" Type="http://schemas.openxmlformats.org/officeDocument/2006/relationships/image"/><Relationship Id="rId181" Target="media/9c7ebebd30ece72b513e046773092a806c681bff.png" Type="http://schemas.openxmlformats.org/officeDocument/2006/relationships/image"/><Relationship Id="rId182" Target="media/683bc8aad0b67e817be65e6f6237919d39e2416a.png" Type="http://schemas.openxmlformats.org/officeDocument/2006/relationships/image"/><Relationship Id="rId183" Target="media/d111153324099ec7b943f10c4bc83f601e6f0d84.png" Type="http://schemas.openxmlformats.org/officeDocument/2006/relationships/image"/><Relationship Id="rId184" Target="media/9a78e68ea5c28c7993f9406368a6ecf213c4deb2.png" Type="http://schemas.openxmlformats.org/officeDocument/2006/relationships/image"/><Relationship Id="rId185" Target="media/12766161e94680159a2a21ae2ee0a457f938cdf7.png" Type="http://schemas.openxmlformats.org/officeDocument/2006/relationships/image"/><Relationship Id="rId186" Target="media/19a8f0638aa75a07518ee3e0a832d7a465424ec1.png" Type="http://schemas.openxmlformats.org/officeDocument/2006/relationships/image"/><Relationship Id="rId187" Target="media/e1b630ad262b1fe8c2900059e66f27b8c0ccccca.png" Type="http://schemas.openxmlformats.org/officeDocument/2006/relationships/image"/><Relationship Id="rId188" Target="media/95239b04230276ae52a00ec91eabbdc4c70fb25b.png" Type="http://schemas.openxmlformats.org/officeDocument/2006/relationships/image"/><Relationship Id="rId189" Target="media/ed46f9f1b2f5c2affe6908cc38b9197f1f9c1ac1.png" Type="http://schemas.openxmlformats.org/officeDocument/2006/relationships/image"/><Relationship Id="rId190" Target="media/d6466bce8f3cbfbee9aa4c85c55b95d20c73caac.png" Type="http://schemas.openxmlformats.org/officeDocument/2006/relationships/image"/><Relationship Id="rId191" Target="media/74c988504ab235d3e1218af4eb36c305eb3b82ee.png" Type="http://schemas.openxmlformats.org/officeDocument/2006/relationships/image"/><Relationship Id="rId192" Target="media/9dd87b9b12328c77c7e0e2a46945795ac59aa9ed.png" Type="http://schemas.openxmlformats.org/officeDocument/2006/relationships/image"/><Relationship Id="rId193" Target="media/f7e15f3041979c0f0800750646009153b0b2c194.png" Type="http://schemas.openxmlformats.org/officeDocument/2006/relationships/image"/><Relationship Id="rId194" Target="media/4f677b32f8d4af79e4848ac7bf3bd9641206d216.png" Type="http://schemas.openxmlformats.org/officeDocument/2006/relationships/image"/><Relationship Id="rId195" Target="media/b3b5045f6a64492f21b9b2f98b268b1174a57933.png" Type="http://schemas.openxmlformats.org/officeDocument/2006/relationships/image"/><Relationship Id="rId196" Target="media/abbdf57c8cd0304776854e99905965adc41728e6.png" Type="http://schemas.openxmlformats.org/officeDocument/2006/relationships/image"/><Relationship Id="rId197" Target="media/276faacc22f69db430f811d8773968f6be17fc17.png" Type="http://schemas.openxmlformats.org/officeDocument/2006/relationships/image"/><Relationship Id="rId198" Target="media/5d2c2fb9e7f4d56feaf8b756e92cc32e091daa9f.png" Type="http://schemas.openxmlformats.org/officeDocument/2006/relationships/image"/><Relationship Id="rId199" Target="media/5f34ad085fdfd10f0cb38ac3a807f5fc13bd99a3.png" Type="http://schemas.openxmlformats.org/officeDocument/2006/relationships/image"/><Relationship Id="rId200" Target="media/3dea6b800a1a010f5a4ec6aca101fb562a920ad8.png" Type="http://schemas.openxmlformats.org/officeDocument/2006/relationships/image"/><Relationship Id="rId201" Target="media/e2ee2edff8aee42ed572b64927c2951fa26f92ec.png" Type="http://schemas.openxmlformats.org/officeDocument/2006/relationships/image"/><Relationship Id="rId202" Target="media/fcfb45eca7d811eb81d64b64dc59db8a3cfa597a.png" Type="http://schemas.openxmlformats.org/officeDocument/2006/relationships/image"/><Relationship Id="rId203" Target="media/5dcfd62c280437311370e2954585046c9358c7f0.png" Type="http://schemas.openxmlformats.org/officeDocument/2006/relationships/image"/><Relationship Id="rId204" Target="media/d5dff68cef7f5d77fc6cacfad65fbf605a9d073a.png" Type="http://schemas.openxmlformats.org/officeDocument/2006/relationships/image"/><Relationship Id="rId205" Target="media/f874be114b7abe27b8ffab80b8d515e1efcbb34a.png" Type="http://schemas.openxmlformats.org/officeDocument/2006/relationships/image"/><Relationship Id="rId206" Target="media/2c4e4ce9527cf8369fc7bdab43e1c1f19fc914b5.png" Type="http://schemas.openxmlformats.org/officeDocument/2006/relationships/image"/><Relationship Id="rId207" Target="media/3d106c9921b4ccc4768ac0395e63027ed200684e.png" Type="http://schemas.openxmlformats.org/officeDocument/2006/relationships/image"/><Relationship Id="rId208" Target="media/75edccbd1dabdd9f05f102278ee118cad7ee9faf.png" Type="http://schemas.openxmlformats.org/officeDocument/2006/relationships/image"/><Relationship Id="rId209" Target="media/4c3abcd3ab336731d91aaadf10ff7a928617f243.png" Type="http://schemas.openxmlformats.org/officeDocument/2006/relationships/image"/><Relationship Id="rId210" Target="media/0843ae7be6a4b21e06daf93d3b1c1c81ecb2caad.png" Type="http://schemas.openxmlformats.org/officeDocument/2006/relationships/image"/><Relationship Id="rId211" Target="media/a52102a1b5ba718b85dde308a42dc413702209da.png" Type="http://schemas.openxmlformats.org/officeDocument/2006/relationships/image"/><Relationship Id="rId212" Target="media/0387ddb538a75faf3a5d9222e11b6ee053fe2094.png" Type="http://schemas.openxmlformats.org/officeDocument/2006/relationships/image"/><Relationship Id="rId213" Target="media/6b59b15d557096d8f3831b41d334bcf544ca9294.png" Type="http://schemas.openxmlformats.org/officeDocument/2006/relationships/image"/><Relationship Id="rId214" Target="media/3f21923d0500c9882b696bf4c4cf6d35482aaf16.png" Type="http://schemas.openxmlformats.org/officeDocument/2006/relationships/image"/><Relationship Id="rId215" Target="media/6732c05ebbea2d870c0860a576442729e170e6b3.png" Type="http://schemas.openxmlformats.org/officeDocument/2006/relationships/image"/><Relationship Id="rId216" Target="media/14941d47b3b983da72302d2a29742b57dc9ce68f.png" Type="http://schemas.openxmlformats.org/officeDocument/2006/relationships/image"/><Relationship Id="rId217" Target="media/f700317ec38426027e3b8f10f2b3c138ab56527f.png" Type="http://schemas.openxmlformats.org/officeDocument/2006/relationships/image"/><Relationship Id="rId218" Target="media/72039dc6389f2d0fee3b25c0e45322dd6c7d8aab.png" Type="http://schemas.openxmlformats.org/officeDocument/2006/relationships/image"/><Relationship Id="rId219" Target="media/015b07e6086d8804d43f18e485e4d2375c757808.png" Type="http://schemas.openxmlformats.org/officeDocument/2006/relationships/image"/><Relationship Id="rId220" Target="media/88d2713b7e058f7992f2b3626227bef5553f3cc6.png" Type="http://schemas.openxmlformats.org/officeDocument/2006/relationships/image"/><Relationship Id="rId221" Target="media/8ca6d23550b824cb4b79c9cff2f0aca0ead6accf.png" Type="http://schemas.openxmlformats.org/officeDocument/2006/relationships/image"/><Relationship Id="rId222" Target="media/08468bed85b1684d504e931032c8e440a72b4a78.png" Type="http://schemas.openxmlformats.org/officeDocument/2006/relationships/image"/><Relationship Id="rId223" Target="media/a292a42ae8ffa10da3021466078307dc919edec2.png" Type="http://schemas.openxmlformats.org/officeDocument/2006/relationships/image"/><Relationship Id="rId224" Target="media/cef42b92b2fe3edd58c1662453c3d3306c50568a.png" Type="http://schemas.openxmlformats.org/officeDocument/2006/relationships/image"/><Relationship Id="rId225" Target="media/62b947c4af12c356fb51de508c91963f0a2797ca.png" Type="http://schemas.openxmlformats.org/officeDocument/2006/relationships/image"/><Relationship Id="rId226" Target="media/ceda61ddb7dc70f609f54601d4aa4ba105cf9c52.png" Type="http://schemas.openxmlformats.org/officeDocument/2006/relationships/image"/><Relationship Id="rId227" Target="media/3386c2b7c3e248f9fab263b627882d1dfa9ddfef.png" Type="http://schemas.openxmlformats.org/officeDocument/2006/relationships/image"/><Relationship Id="rId228" Target="media/da99c5f5420c67ffba6f5d058f678640bda9a31b.png" Type="http://schemas.openxmlformats.org/officeDocument/2006/relationships/image"/><Relationship Id="rId229" Target="media/33009da2db2f0ea1f2fc7614f45f271f2d23c11c.png" Type="http://schemas.openxmlformats.org/officeDocument/2006/relationships/image"/><Relationship Id="rId230" Target="media/5320e7d0b92d11012c9ccd17926961d4a4bee897.png" Type="http://schemas.openxmlformats.org/officeDocument/2006/relationships/image"/><Relationship Id="rId231" Target="media/a2316d5b11ab5b31a5a9966d7ba884fac38c1265.png" Type="http://schemas.openxmlformats.org/officeDocument/2006/relationships/image"/><Relationship Id="rId232" Target="media/6079310665d3ec6b15530441b6fd27cf6232cd22.png" Type="http://schemas.openxmlformats.org/officeDocument/2006/relationships/image"/><Relationship Id="rId233" Target="media/a34c5c335e1eea830c4aba924780d8451d823039.png" Type="http://schemas.openxmlformats.org/officeDocument/2006/relationships/image"/><Relationship Id="rId234" Target="media/e561da45ab32e9c87b22cd6886f342742441c0ae.png" Type="http://schemas.openxmlformats.org/officeDocument/2006/relationships/image"/><Relationship Id="rId235" Target="media/1b660a4227facfb2837c9d3c96cc96d377049ac8.png" Type="http://schemas.openxmlformats.org/officeDocument/2006/relationships/image"/><Relationship Id="rId236" Target="media/c69ec0cc02be2b096d814ceb126f53881cebef7f.png" Type="http://schemas.openxmlformats.org/officeDocument/2006/relationships/image"/><Relationship Id="rId237" Target="media/b35c9359080247d48bbb7bc6a813eb581bc1996b.png" Type="http://schemas.openxmlformats.org/officeDocument/2006/relationships/image"/><Relationship Id="rId238" Target="media/cf8da8baf689a174df57c4d380656786e7efe350.png" Type="http://schemas.openxmlformats.org/officeDocument/2006/relationships/image"/><Relationship Id="rId239" Target="media/50d5f7e827be402988e67ee439e88e4dea4bce3a.png" Type="http://schemas.openxmlformats.org/officeDocument/2006/relationships/image"/><Relationship Id="rId240" Target="media/9c355cdd3f46465d071e1e733b4c8b971ae669aa.png" Type="http://schemas.openxmlformats.org/officeDocument/2006/relationships/image"/><Relationship Id="rId241" Target="media/b9e5e6217cb3aaa76e1c93107d88fa33e942f56c.png" Type="http://schemas.openxmlformats.org/officeDocument/2006/relationships/image"/><Relationship Id="rId242" Target="media/877c10b6da609cbaf2770a1b493aa09de30203f9.png" Type="http://schemas.openxmlformats.org/officeDocument/2006/relationships/image"/><Relationship Id="rId243" Target="media/8dbd7f53dd4a81ac7a1766493303d101282caf55.png" Type="http://schemas.openxmlformats.org/officeDocument/2006/relationships/image"/><Relationship Id="rId244" Target="media/7c8d5a4e739763d43ff4204220546ccca0206539.png" Type="http://schemas.openxmlformats.org/officeDocument/2006/relationships/image"/><Relationship Id="rId245" Target="media/4c7a846fa8aa7fca3e04c9f34bc7999a8ff338de.png" Type="http://schemas.openxmlformats.org/officeDocument/2006/relationships/image"/><Relationship Id="rId246" Target="media/5ab5dce138e136ad1f50b9018c266d193d440dc5.png" Type="http://schemas.openxmlformats.org/officeDocument/2006/relationships/image"/><Relationship Id="rId247" Target="media/53fe57f55846d83123cdc7cf041eea71b0a9a99c.png" Type="http://schemas.openxmlformats.org/officeDocument/2006/relationships/image"/><Relationship Id="rId248" Target="media/7fa5922cae2d4a0a3e530ecf3e9762ed89aa8a33.png" Type="http://schemas.openxmlformats.org/officeDocument/2006/relationships/image"/><Relationship Id="rId249" Target="media/3049647d6c1e0fc22a08f7b7ff5ec90e142c3937.png" Type="http://schemas.openxmlformats.org/officeDocument/2006/relationships/image"/><Relationship Id="rId250" Target="media/bbdfdd997fbc407477f3cde0be304b64fe1261ee.png" Type="http://schemas.openxmlformats.org/officeDocument/2006/relationships/image"/><Relationship Id="rId251" Target="media/818fa4282922ea543584a790d1f4091b5f457621.png" Type="http://schemas.openxmlformats.org/officeDocument/2006/relationships/image"/><Relationship Id="rId252" Target="media/e7bd9cb9efaa8c86c34594fb3a0349dc54bd38fa.png" Type="http://schemas.openxmlformats.org/officeDocument/2006/relationships/image"/><Relationship Id="rId253" Target="media/78905924507a058b631ca8df57244ede084fe1de.png" Type="http://schemas.openxmlformats.org/officeDocument/2006/relationships/image"/><Relationship Id="rId254" Target="media/f44b45c7f54b9dcf93165727472834e5db074db8.png" Type="http://schemas.openxmlformats.org/officeDocument/2006/relationships/image"/><Relationship Id="rId255" Target="media/83dc32318da747d75f83d3db2042d22203aef718.png" Type="http://schemas.openxmlformats.org/officeDocument/2006/relationships/image"/><Relationship Id="rId256" Target="media/3ed5d59b43a3e22f82603bac8c25e69a83a88a35.png" Type="http://schemas.openxmlformats.org/officeDocument/2006/relationships/image"/><Relationship Id="rId257" Target="media/5edd283dfab5863e204d839239197a35ff9b2de9.png" Type="http://schemas.openxmlformats.org/officeDocument/2006/relationships/image"/><Relationship Id="rId258" Target="media/b752323eb06ec2f731295efcb3d30e782a26ff12.png" Type="http://schemas.openxmlformats.org/officeDocument/2006/relationships/image"/><Relationship Id="rId259" Target="media/70472a846834fb7d38c62ec9bfc7ad3ab2a09dc4.png" Type="http://schemas.openxmlformats.org/officeDocument/2006/relationships/image"/><Relationship Id="rId260" Target="media/7b07a48bd02a14e7926ecfe7c8e861804da7a46b.png" Type="http://schemas.openxmlformats.org/officeDocument/2006/relationships/image"/><Relationship Id="rId261" Target="media/95648366b55e2da07d5006835a61239a39ec6b7d.png" Type="http://schemas.openxmlformats.org/officeDocument/2006/relationships/image"/><Relationship Id="rId262" Target="media/90b9d32f8dbb7b9a030c323ff706e859a2409664.png" Type="http://schemas.openxmlformats.org/officeDocument/2006/relationships/image"/><Relationship Id="rId263" Target="media/25f69c675698263daba1a33e9946b9b9741eca20.png" Type="http://schemas.openxmlformats.org/officeDocument/2006/relationships/image"/><Relationship Id="rId264" Target="media/bee48fd26688127c1053efd9ebea86554a39f351.png" Type="http://schemas.openxmlformats.org/officeDocument/2006/relationships/image"/><Relationship Id="rId265" Target="media/09683a216ab8176477e64a0d2a62873e032de727.png" Type="http://schemas.openxmlformats.org/officeDocument/2006/relationships/image"/><Relationship Id="rId266" Target="media/dcb36629addba6705fb486d5bd05443a434e774c.png" Type="http://schemas.openxmlformats.org/officeDocument/2006/relationships/image"/><Relationship Id="rId267" Target="media/f7064d2a48f405e9230781aad1091d977ed0c4f2.png" Type="http://schemas.openxmlformats.org/officeDocument/2006/relationships/image"/><Relationship Id="rId268" Target="media/e7b8e1271a560f1929569440bec2b2911ecee981.png" Type="http://schemas.openxmlformats.org/officeDocument/2006/relationships/image"/><Relationship Id="rId269" Target="media/2d71cf5af4272bb87a2f65280bdaff4df77a6a1a.png" Type="http://schemas.openxmlformats.org/officeDocument/2006/relationships/image"/><Relationship Id="rId270" Target="media/5d7006f7cc6eae245066251c4b30485b3b958205.png" Type="http://schemas.openxmlformats.org/officeDocument/2006/relationships/image"/><Relationship Id="rId271" Target="media/e56ede6e62403fd1e49c433e603f14cdca348acd.png" Type="http://schemas.openxmlformats.org/officeDocument/2006/relationships/image"/><Relationship Id="rId272" Target="media/10307c680d16037bc8373e343357661284ee5f9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dc:title>
  <dc:subject>Summary handouts</dc:subject>
  <cp:category>Student Book</cp:category>
</cp:coreProperties>
</file>