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14</w:t>
      </w:r>
    </w:p>
    <w:p>
      <w:pPr>
        <w:spacing w:after="8"/>
      </w:pPr>
      <w:r>
        <w:rPr>
          <w:color w:val="23265A"/>
          <w:sz w:val="22"/>
          <w:szCs w:val="22"/>
        </w:rPr>
        <w:t xml:space="preserve">Long-Term Debt and Contingent Liabilities</w:t>
      </w:r>
    </w:p>
    <w:p>
      <w:pPr>
        <w:spacing w:after="130"/>
      </w:pPr>
      <w:r>
        <w:rPr>
          <w:color w:val="6B7280"/>
          <w:sz w:val="20"/>
          <w:szCs w:val="20"/>
        </w:rPr>
        <w:t xml:space="preserve">Six handouts, one answer key. The CMA wants a bond valued; intermediate accounting wants it accounted for. This volume does both, and says which is which.</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six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What a Bond Promises: Par, Coupon, Indenture, Covenants</w:t>
            </w:r>
          </w:p>
        </w:tc>
        <w:tc>
          <w:tcPr>
            <w:tcMar>
              <w:top w:type="dxa" w:w="60"/>
              <w:left w:type="dxa" w:w="120"/>
              <w:bottom w:type="dxa" w:w="60"/>
              <w:right w:type="dxa" w:w="120"/>
            </w:tcMar>
          </w:tcPr>
          <w:p>
            <w:r>
              <w:rPr>
                <w:sz w:val="19"/>
                <w:szCs w:val="19"/>
              </w:rPr>
              <w:t xml:space="preserve">Northwind has had a $1,500,000 bond on its balance sheet since Volume 1. This handout reads the contract behind it.</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Issued at a Discount, at a Premium, at Par</w:t>
            </w:r>
          </w:p>
        </w:tc>
        <w:tc>
          <w:tcPr>
            <w:tcMar>
              <w:top w:type="dxa" w:w="60"/>
              <w:left w:type="dxa" w:w="120"/>
              <w:bottom w:type="dxa" w:w="60"/>
              <w:right w:type="dxa" w:w="120"/>
            </w:tcMar>
          </w:tcPr>
          <w:p>
            <w:r>
              <w:rPr>
                <w:sz w:val="19"/>
                <w:szCs w:val="19"/>
              </w:rPr>
              <w:t xml:space="preserve">The same $1,000,000 bond raises $920,146 with one coupon and $1,079,854 with another. Nothing about the company changed.</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The Effective Interest Method, Period by Period</w:t>
            </w:r>
          </w:p>
        </w:tc>
        <w:tc>
          <w:tcPr>
            <w:tcMar>
              <w:top w:type="dxa" w:w="60"/>
              <w:left w:type="dxa" w:w="120"/>
              <w:bottom w:type="dxa" w:w="60"/>
              <w:right w:type="dxa" w:w="120"/>
            </w:tcMar>
          </w:tcPr>
          <w:p>
            <w:r>
              <w:rPr>
                <w:sz w:val="19"/>
                <w:szCs w:val="19"/>
              </w:rPr>
              <w:t xml:space="preserve">The 6% bond pays $60,000 in cash and costs $73,612 in its first year. The gap is the discount, arriving one year at a time.</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Valuing a Bond, and What Moves Its Price</w:t>
            </w:r>
          </w:p>
        </w:tc>
        <w:tc>
          <w:tcPr>
            <w:tcMar>
              <w:top w:type="dxa" w:w="60"/>
              <w:left w:type="dxa" w:w="120"/>
              <w:bottom w:type="dxa" w:w="60"/>
              <w:right w:type="dxa" w:w="120"/>
            </w:tcMar>
          </w:tcPr>
          <w:p>
            <w:r>
              <w:rPr>
                <w:sz w:val="19"/>
                <w:szCs w:val="19"/>
              </w:rPr>
              <w:t xml:space="preserve">The CMA asks for this half of the topic and not for Handout 3. One bond, five market rates, and five different prices.</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Retirement, Refinancing, Convertibles and Warrants</w:t>
            </w:r>
          </w:p>
        </w:tc>
        <w:tc>
          <w:tcPr>
            <w:tcMar>
              <w:top w:type="dxa" w:w="60"/>
              <w:left w:type="dxa" w:w="120"/>
              <w:bottom w:type="dxa" w:w="60"/>
              <w:right w:type="dxa" w:w="120"/>
            </w:tcMar>
          </w:tcPr>
          <w:p>
            <w:r>
              <w:rPr>
                <w:sz w:val="19"/>
                <w:szCs w:val="19"/>
              </w:rPr>
              <w:t xml:space="preserve">Northwind buys its bond back three years in, at 102 of face, and records a $55,664 loss on a deal it chose to do.</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Contingencies: Probable, Reasonably Possible, Remote</w:t>
            </w:r>
          </w:p>
        </w:tc>
        <w:tc>
          <w:tcPr>
            <w:tcMar>
              <w:top w:type="dxa" w:w="60"/>
              <w:left w:type="dxa" w:w="120"/>
              <w:bottom w:type="dxa" w:w="60"/>
              <w:right w:type="dxa" w:w="120"/>
            </w:tcMar>
          </w:tcPr>
          <w:p>
            <w:r>
              <w:rPr>
                <w:sz w:val="19"/>
                <w:szCs w:val="19"/>
              </w:rPr>
              <w:t xml:space="preserve">A lawsuit that might cost between $200,000 and $600,000. One framework accrues $200,000 and the other accrues $400,000.</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What a Bond Promises: Par, Coupon, Indenture, Covenants</w:t>
      </w:r>
    </w:p>
    <w:p>
      <w:pPr>
        <w:spacing w:after="8"/>
      </w:pPr>
      <w:r>
        <w:rPr>
          <w:color w:val="23265A"/>
          <w:sz w:val="22"/>
          <w:szCs w:val="22"/>
        </w:rPr>
        <w:t xml:space="preserve">Northwind has had a $1,500,000 bond on its balance sheet since Volume 1. This handout reads the contract behind it.</w:t>
      </w:r>
    </w:p>
    <w:p>
      <w:pPr>
        <w:spacing w:after="130"/>
      </w:pPr>
      <w:r>
        <w:rPr>
          <w:color w:val="6B7280"/>
          <w:sz w:val="20"/>
          <w:szCs w:val="20"/>
        </w:rPr>
        <w:t xml:space="preserve">Volume 14 · Long-Term Debt and Contingent Liabilities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features are being named, R2 once the contract is being read.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issue a bond to the public · pay a coupon semi-annually · redeem a bond at maturity · breach a covenant · call a bond before maturity · retire an instalment of a serial bond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face value / market price · coupon rate / market rate · secured / unsecured · term bond / serial bond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coupon rate is not a yield. It is a rate on the face value and it never changes; the yield moves every day.  A covenant is not a guarantee of repayment. It is a promise about conduct, and breaching it usually makes the debt fall due at once.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features of a bond that the indenture fixes.</w:t>
      </w:r>
    </w:p>
    <w:p>
      <w:pPr>
        <w:pStyle w:val="ListParagraph"/>
        <w:numPr>
          <w:ilvl w:val="0"/>
          <w:numId w:val="1"/>
        </w:numPr>
        <w:spacing w:after="24"/>
      </w:pPr>
      <w:r>
        <w:rPr>
          <w:sz w:val="20"/>
          <w:szCs w:val="20"/>
        </w:rPr>
        <w:t xml:space="preserve">Distinguish the coupon rate from the market rate.</w:t>
      </w:r>
    </w:p>
    <w:p>
      <w:pPr>
        <w:pStyle w:val="ListParagraph"/>
        <w:numPr>
          <w:ilvl w:val="0"/>
          <w:numId w:val="1"/>
        </w:numPr>
        <w:spacing w:after="24"/>
      </w:pPr>
      <w:r>
        <w:rPr>
          <w:sz w:val="20"/>
          <w:szCs w:val="20"/>
        </w:rPr>
        <w:t xml:space="preserve">Say what a covenant does and what breaching one costs.</w:t>
      </w:r>
    </w:p>
    <w:p>
      <w:pPr>
        <w:pStyle w:val="ListParagraph"/>
        <w:numPr>
          <w:ilvl w:val="0"/>
          <w:numId w:val="1"/>
        </w:numPr>
        <w:spacing w:after="24"/>
      </w:pPr>
      <w:r>
        <w:rPr>
          <w:sz w:val="20"/>
          <w:szCs w:val="20"/>
        </w:rPr>
        <w:t xml:space="preserve">Distinguish a term bond from a serial bond.</w:t>
      </w:r>
    </w:p>
    <w:p>
      <w:pPr>
        <w:pStyle w:val="ListParagraph"/>
        <w:numPr>
          <w:ilvl w:val="0"/>
          <w:numId w:val="1"/>
        </w:numPr>
        <w:spacing w:after="24"/>
      </w:pPr>
      <w:r>
        <w:rPr>
          <w:sz w:val="20"/>
          <w:szCs w:val="20"/>
        </w:rPr>
        <w:t xml:space="preserve">Read Northwind’s own debt as the bond it is.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debt you have been looking at all along</w:t>
            </w:r>
          </w:p>
          <w:p>
            <w:pPr>
              <w:spacing w:after="80" w:line="290" w:lineRule="auto"/>
            </w:pPr>
            <w:r>
              <w:rPr>
                <w:sz w:val="21"/>
                <w:szCs w:val="21"/>
              </w:rPr>
              <w:t xml:space="preserve">Volume 1’s balance sheet carries $1,200,000 of long-term debt and $150,000 due within twelve months, and its income statement charges $90,000 of interest.</w:t>
            </w:r>
          </w:p>
          <w:p>
            <w:pPr>
              <w:spacing w:after="80" w:line="290" w:lineRule="auto"/>
            </w:pPr>
            <w:r>
              <w:rPr>
                <w:sz w:val="21"/>
                <w:szCs w:val="21"/>
              </w:rPr>
              <w:t xml:space="preserve">Those three figures describe one instrument completely. $90,000 of interest on $1,500,000 outstanding at the start of the year is a coupon of 6%.</w:t>
            </w:r>
          </w:p>
          <w:p>
            <w:pPr>
              <w:spacing w:after="80" w:line="290" w:lineRule="auto"/>
            </w:pPr>
            <w:r>
              <w:rPr>
                <w:sz w:val="21"/>
                <w:szCs w:val="21"/>
              </w:rPr>
              <w:t xml:space="preserve">And $150,000 was repaid during the year, which is why the total fell from $1,500,000 to $1,350,000.</w:t>
            </w:r>
          </w:p>
          <w:p>
            <w:pPr>
              <w:spacing w:after="80" w:line="290" w:lineRule="auto"/>
            </w:pPr>
            <w:r>
              <w:rPr>
                <w:sz w:val="21"/>
                <w:szCs w:val="21"/>
              </w:rPr>
              <w:t xml:space="preserve">It is a serial bond at par. This handout reads its contract; Handouts 2 and 3 take two bonds that were not issued at par.</w:t>
            </w:r>
          </w:p>
        </w:tc>
      </w:tr>
    </w:tbl>
    <w:p/>
    <w:p>
      <w:pPr>
        <w:spacing w:after="40" w:before="90"/>
        <w:jc w:val="center"/>
      </w:pPr>
      <w:r>
        <w:drawing>
          <wp:inline distT="0" distB="0" distL="0" distR="0">
            <wp:extent cx="5734050" cy="293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930725"/>
                    </a:xfrm>
                    <a:prstGeom prst="rect">
                      <a:avLst/>
                    </a:prstGeom>
                  </pic:spPr>
                </pic:pic>
              </a:graphicData>
            </a:graphic>
          </wp:inline>
        </w:drawing>
      </w:r>
    </w:p>
    <w:p>
      <w:pPr>
        <w:shd w:fill="353A7C" w:val="clear"/>
        <w:spacing w:after="80" w:before="230"/>
      </w:pPr>
      <w:r>
        <w:rPr>
          <w:b/>
          <w:bCs/>
          <w:color w:val="FFFFFF"/>
          <w:sz w:val="26"/>
          <w:szCs w:val="26"/>
        </w:rPr>
        <w:t xml:space="preserve">  Part 1 · What the indenture fixes</w:t>
      </w:r>
      <w:r>
        <w:rPr>
          <w:b/>
          <w:bCs/>
          <w:color w:val="FFFFFF"/>
          <w:sz w:val="16"/>
          <w:szCs w:val="16"/>
        </w:rPr>
        <w:t xml:space="preserve">    six features, all of them in the contract</w:t>
      </w:r>
    </w:p>
    <w:p>
      <w:pPr>
        <w:spacing w:before="230" w:after="80"/>
        <w:pBdr>
          <w:top w:val="single" w:sz="12" w:space="7" w:color="353A7C"/>
        </w:pBdr>
      </w:pPr>
      <w:r>
        <w:rPr>
          <w:b/>
          <w:bCs/>
          <w:color w:val="353A7C"/>
          <w:sz w:val="22"/>
          <w:szCs w:val="22"/>
        </w:rPr>
        <w:t xml:space="preserve">Exercise 1A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each feature of a bond and say what it fixes.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 Handout 4, for the debt on the balance sheet.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 six are amounts, two are dates or schedules, and two are promises about conduct.</w:t>
            </w:r>
          </w:p>
          <w:p>
            <w:pPr>
              <w:spacing w:after="30"/>
            </w:pPr>
            <w:r>
              <w:rPr>
                <w:color w:val="353A7C"/>
                <w:sz w:val="18"/>
                <w:szCs w:val="18"/>
              </w:rPr>
              <w:t xml:space="preserve">•  </w:t>
            </w:r>
            <w:r>
              <w:rPr>
                <w:sz w:val="18"/>
                <w:szCs w:val="18"/>
              </w:rPr>
              <w:t xml:space="preserve">Northwind’s coupon is $90,000 of interest on $1,500,000 outstanding.</w:t>
            </w:r>
          </w:p>
          <w:p>
            <w:pPr>
              <w:spacing w:after="30"/>
            </w:pPr>
            <w:r>
              <w:rPr>
                <w:color w:val="353A7C"/>
                <w:sz w:val="18"/>
                <w:szCs w:val="18"/>
              </w:rPr>
              <w:t xml:space="preserve">•  </w:t>
            </w:r>
            <w:r>
              <w:rPr>
                <w:sz w:val="18"/>
                <w:szCs w:val="18"/>
              </w:rPr>
              <w:t xml:space="preserve">The last row is a right the issuer may or may not have reserved, and Northwind did not.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4"/>
        <w:gridCol w:w="40"/>
        <w:gridCol w:w="36"/>
      </w:tblGrid>
      <w:tr>
        <w:tc>
          <w:tcPr>
            <w:shd w:fill="6D3F7E" w:val="clear"/>
            <w:tcMar>
              <w:top w:type="dxa" w:w="60"/>
              <w:left w:type="dxa" w:w="120"/>
              <w:bottom w:type="dxa" w:w="60"/>
              <w:right w:type="dxa" w:w="120"/>
            </w:tcMar>
          </w:tcPr>
          <w:p>
            <w:r>
              <w:rPr>
                <w:b/>
                <w:bCs/>
                <w:color w:val="FFFFFF"/>
                <w:sz w:val="19"/>
                <w:szCs w:val="19"/>
              </w:rPr>
              <w:t xml:space="preserve">Feature</w:t>
            </w:r>
          </w:p>
        </w:tc>
        <w:tc>
          <w:tcPr>
            <w:shd w:fill="6D3F7E" w:val="clear"/>
            <w:tcMar>
              <w:top w:type="dxa" w:w="60"/>
              <w:left w:type="dxa" w:w="120"/>
              <w:bottom w:type="dxa" w:w="60"/>
              <w:right w:type="dxa" w:w="120"/>
            </w:tcMar>
          </w:tcPr>
          <w:p>
            <w:r>
              <w:rPr>
                <w:b/>
                <w:bCs/>
                <w:color w:val="FFFFFF"/>
                <w:sz w:val="19"/>
                <w:szCs w:val="19"/>
              </w:rPr>
              <w:t xml:space="preserve">What it fixes</w:t>
            </w:r>
          </w:p>
        </w:tc>
        <w:tc>
          <w:tcPr>
            <w:shd w:fill="6D3F7E" w:val="clear"/>
            <w:tcMar>
              <w:top w:type="dxa" w:w="60"/>
              <w:left w:type="dxa" w:w="120"/>
              <w:bottom w:type="dxa" w:w="60"/>
              <w:right w:type="dxa" w:w="120"/>
            </w:tcMar>
          </w:tcPr>
          <w:p>
            <w:r>
              <w:rPr>
                <w:b/>
                <w:bCs/>
                <w:color w:val="FFFFFF"/>
                <w:sz w:val="19"/>
                <w:szCs w:val="19"/>
              </w:rPr>
              <w:t xml:space="preserve">Northwind’s serial bond</w:t>
            </w:r>
          </w:p>
        </w:tc>
      </w:tr>
      <w:tr>
        <w:tc>
          <w:tcPr>
            <w:tcMar>
              <w:top w:type="dxa" w:w="60"/>
              <w:left w:type="dxa" w:w="120"/>
              <w:bottom w:type="dxa" w:w="60"/>
              <w:right w:type="dxa" w:w="120"/>
            </w:tcMar>
          </w:tcPr>
          <w:p>
            <w:r>
              <w:rPr>
                <w:sz w:val="19"/>
                <w:szCs w:val="19"/>
              </w:rPr>
              <w:t xml:space="preserve">Face value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$1,500,000</w:t>
            </w:r>
          </w:p>
        </w:tc>
      </w:tr>
      <w:tr>
        <w:tc>
          <w:tcPr>
            <w:tcMar>
              <w:top w:type="dxa" w:w="60"/>
              <w:left w:type="dxa" w:w="120"/>
              <w:bottom w:type="dxa" w:w="60"/>
              <w:right w:type="dxa" w:w="120"/>
            </w:tcMar>
          </w:tcPr>
          <w:p>
            <w:r>
              <w:rPr>
                <w:sz w:val="19"/>
                <w:szCs w:val="19"/>
              </w:rPr>
              <w:t xml:space="preserve">Coupon rate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Maturity</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Indenture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Covenants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Call provision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624925"/>
                    </a:xfrm>
                    <a:prstGeom prst="rect">
                      <a:avLst/>
                    </a:prstGeom>
                  </pic:spPr>
                </pic:pic>
              </a:graphicData>
            </a:graphic>
          </wp:inline>
        </w:drawing>
      </w:r>
    </w:p>
    <w:p>
      <w:pPr>
        <w:shd w:fill="353A7C" w:val="clear"/>
        <w:spacing w:after="80" w:before="230"/>
      </w:pPr>
      <w:r>
        <w:rPr>
          <w:b/>
          <w:bCs/>
          <w:color w:val="FFFFFF"/>
          <w:sz w:val="26"/>
          <w:szCs w:val="26"/>
        </w:rPr>
        <w:t xml:space="preserve">  Part 2 · The coupon and the market</w:t>
      </w:r>
      <w:r>
        <w:rPr>
          <w:b/>
          <w:bCs/>
          <w:color w:val="FFFFFF"/>
          <w:sz w:val="16"/>
          <w:szCs w:val="16"/>
        </w:rPr>
        <w:t xml:space="preserve">    one is fixed, the other is not</w:t>
      </w:r>
    </w:p>
    <w:p>
      <w:pPr>
        <w:spacing w:before="230" w:after="80"/>
        <w:pBdr>
          <w:top w:val="single" w:sz="12" w:space="7" w:color="353A7C"/>
        </w:pBdr>
      </w:pPr>
      <w:r>
        <w:rPr>
          <w:b/>
          <w:bCs/>
          <w:color w:val="353A7C"/>
          <w:sz w:val="22"/>
          <w:szCs w:val="22"/>
        </w:rPr>
        <w:t xml:space="preserve">Exercise 1B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the coupon rate from the market rate.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 and Volume 13 Handout 1 on discount rates.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coupon is printed on the contract. Ask whether anything printed on a contract can respond to tomorrow’s news.</w:t>
            </w:r>
          </w:p>
          <w:p>
            <w:pPr>
              <w:spacing w:after="30"/>
            </w:pPr>
            <w:r>
              <w:rPr>
                <w:color w:val="353A7C"/>
                <w:sz w:val="18"/>
                <w:szCs w:val="18"/>
              </w:rPr>
              <w:t xml:space="preserve">•  </w:t>
            </w:r>
            <w:r>
              <w:rPr>
                <w:sz w:val="18"/>
                <w:szCs w:val="18"/>
              </w:rPr>
              <w:t xml:space="preserve">If a bond pays 6% and investors can get 8% elsewhere, ask what has to happen to the price for anyone to buy it.</w:t>
            </w:r>
          </w:p>
          <w:p>
            <w:pPr>
              <w:spacing w:after="30"/>
            </w:pPr>
            <w:r>
              <w:rPr>
                <w:color w:val="353A7C"/>
                <w:sz w:val="18"/>
                <w:szCs w:val="18"/>
              </w:rPr>
              <w:t xml:space="preserve">•  </w:t>
            </w:r>
            <w:r>
              <w:rPr>
                <w:sz w:val="18"/>
                <w:szCs w:val="18"/>
              </w:rPr>
              <w:t xml:space="preserve">The last blank is the only one of the two rates that changes after the bond is issued.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coincidence</w:t>
            </w:r>
            <w:r>
              <w:rPr>
                <w:b/>
                <w:bCs/>
                <w:color w:val="8186EF"/>
                <w:sz w:val="20"/>
                <w:szCs w:val="20"/>
              </w:rPr>
              <w:t xml:space="preserve">   ·   </w:t>
            </w:r>
            <w:r>
              <w:rPr>
                <w:b/>
                <w:bCs/>
                <w:sz w:val="20"/>
                <w:szCs w:val="20"/>
              </w:rPr>
              <w:t xml:space="preserve">design</w:t>
            </w:r>
            <w:r>
              <w:rPr>
                <w:b/>
                <w:bCs/>
                <w:color w:val="8186EF"/>
                <w:sz w:val="20"/>
                <w:szCs w:val="20"/>
              </w:rPr>
              <w:t xml:space="preserve">   ·   </w:t>
            </w:r>
            <w:r>
              <w:rPr>
                <w:b/>
                <w:bCs/>
                <w:sz w:val="20"/>
                <w:szCs w:val="20"/>
              </w:rPr>
              <w:t xml:space="preserve">face</w:t>
            </w:r>
            <w:r>
              <w:rPr>
                <w:b/>
                <w:bCs/>
                <w:color w:val="8186EF"/>
                <w:sz w:val="20"/>
                <w:szCs w:val="20"/>
              </w:rPr>
              <w:t xml:space="preserve">   ·   </w:t>
            </w:r>
            <w:r>
              <w:rPr>
                <w:b/>
                <w:bCs/>
                <w:sz w:val="20"/>
                <w:szCs w:val="20"/>
              </w:rPr>
              <w:t xml:space="preserve">price</w:t>
            </w:r>
            <w:r>
              <w:rPr>
                <w:b/>
                <w:bCs/>
                <w:color w:val="8186EF"/>
                <w:sz w:val="20"/>
                <w:szCs w:val="20"/>
              </w:rPr>
              <w:t xml:space="preserve">   ·   </w:t>
            </w:r>
            <w:r>
              <w:rPr>
                <w:b/>
                <w:bCs/>
                <w:sz w:val="20"/>
                <w:szCs w:val="20"/>
              </w:rPr>
              <w:t xml:space="preserve">received</w:t>
            </w:r>
            <w:r>
              <w:rPr>
                <w:b/>
                <w:bCs/>
                <w:color w:val="8186EF"/>
                <w:sz w:val="20"/>
                <w:szCs w:val="20"/>
              </w:rPr>
              <w:t xml:space="preserve">   ·   </w:t>
            </w:r>
            <w:r>
              <w:rPr>
                <w:b/>
                <w:bCs/>
                <w:sz w:val="20"/>
                <w:szCs w:val="20"/>
              </w:rPr>
              <w:t xml:space="preserve">yield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coupon rate is written into the indenture and never changes. A 6% coupon on $1,000,000 of face pays $60,000 in cash every year of the bond’s life, whatever happens to interest rates or to the company.</w:t>
      </w:r>
    </w:p>
    <w:p>
      <w:pPr>
        <w:spacing w:before="40" w:after="110" w:line="300" w:lineRule="auto"/>
      </w:pPr>
      <w:r>
        <w:rPr>
          <w:sz w:val="21"/>
          <w:szCs w:val="21"/>
        </w:rPr>
        <w:t xml:space="preserve">The market rate is what investors require today for a bond of this risk and this term. It moves daily and the issuer has no control over it, so the two rates agree only by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When they differ, the cash is fixed, so the only thing that can adjust is the </w:t>
      </w:r>
      <w:r>
        <w:rPr>
          <w:vertAlign w:val="superscript"/>
          <w:color w:val="353A7C"/>
          <w:b/>
          <w:sz w:val="16"/>
        </w:rPr>
        <w:t>2</w:t>
      </w:r>
      <w:r>
        <w:rPr>
          <w:u w:val="single"/>
          <w:sz w:val="21"/>
          <w:szCs w:val="21"/>
        </w:rPr>
        <w:t xml:space="preserve">          </w:t>
      </w:r>
      <w:r>
        <w:rPr>
          <w:sz w:val="21"/>
          <w:szCs w:val="21"/>
        </w:rPr>
        <w:t xml:space="preserve">. A bond paying less than the market demands sells below its face value, and one paying more sells above it.</w:t>
      </w:r>
    </w:p>
    <w:p>
      <w:pPr>
        <w:spacing w:before="40" w:after="110" w:line="300" w:lineRule="auto"/>
      </w:pPr>
      <w:r>
        <w:rPr>
          <w:sz w:val="21"/>
          <w:szCs w:val="21"/>
        </w:rPr>
        <w:t xml:space="preserve">That is the whole of Handout 2. For now note which figure the balance sheet carries: not the face value and not the market price, but the amount actually </w:t>
      </w:r>
      <w:r>
        <w:rPr>
          <w:vertAlign w:val="superscript"/>
          <w:color w:val="353A7C"/>
          <w:b/>
          <w:sz w:val="16"/>
        </w:rPr>
        <w:t>3</w:t>
      </w:r>
      <w:r>
        <w:rPr>
          <w:u w:val="single"/>
          <w:sz w:val="21"/>
          <w:szCs w:val="21"/>
        </w:rPr>
        <w:t xml:space="preserve">               </w:t>
      </w:r>
      <w:r>
        <w:rPr>
          <w:sz w:val="21"/>
          <w:szCs w:val="21"/>
        </w:rPr>
        <w:t xml:space="preserve">, adjusted thereafter.</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3 · Covenants</w:t>
      </w:r>
      <w:r>
        <w:rPr>
          <w:b/>
          <w:bCs/>
          <w:color w:val="FFFFFF"/>
          <w:sz w:val="16"/>
          <w:szCs w:val="16"/>
        </w:rPr>
        <w:t xml:space="preserve">    the promises that are not about money</w:t>
      </w:r>
    </w:p>
    <w:p>
      <w:pPr>
        <w:spacing w:before="40" w:after="110" w:line="300" w:lineRule="auto"/>
      </w:pPr>
      <w:r>
        <w:rPr>
          <w:b/>
          <w:color w:val="2B6CB0"/>
          <w:sz w:val="13"/>
        </w:rPr>
        <w:t xml:space="preserve">R2  </w:t>
      </w:r>
      <w:r>
        <w:rPr>
          <w:sz w:val="21"/>
          <w:szCs w:val="21"/>
        </w:rPr>
        <w:t xml:space="preserve">A lender who cannot control what a borrower does after the money has gone protects itself by contract. Covenants are those protections: promises to maintain a ratio, to limit further borrowing, to restrict dividends, or to keep an asset insured.</w:t>
      </w:r>
    </w:p>
    <w:p>
      <w:pPr>
        <w:spacing w:before="230" w:after="80"/>
        <w:pBdr>
          <w:top w:val="single" w:sz="12" w:space="7" w:color="353A7C"/>
        </w:pBdr>
      </w:pPr>
      <w:r>
        <w:rPr>
          <w:b/>
          <w:bCs/>
          <w:color w:val="353A7C"/>
          <w:sz w:val="22"/>
          <w:szCs w:val="22"/>
        </w:rPr>
        <w:t xml:space="preserve">Exercise 1C   </w:t>
      </w:r>
      <w:r>
        <w:rPr>
          <w:b/>
          <w:bCs/>
          <w:sz w:val="21"/>
          <w:szCs w:val="21"/>
        </w:rPr>
        <w:t xml:space="preserve">Read and complete, then sort each item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covenants do and what breaching one costs.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An affirmative covenant is something the issuer promises to do; a negative covenant is something it promises not to do.</w:t>
            </w:r>
          </w:p>
          <w:p>
            <w:pPr>
              <w:spacing w:after="30"/>
            </w:pPr>
            <w:r>
              <w:rPr>
                <w:color w:val="353A7C"/>
                <w:sz w:val="18"/>
                <w:szCs w:val="18"/>
              </w:rPr>
              <w:t xml:space="preserve">•  </w:t>
            </w:r>
            <w:r>
              <w:rPr>
                <w:sz w:val="18"/>
                <w:szCs w:val="18"/>
              </w:rPr>
              <w:t xml:space="preserve">Ask which kind "maintain a current ratio above 1.5" is before you answer.</w:t>
            </w:r>
          </w:p>
          <w:p>
            <w:pPr>
              <w:spacing w:after="30"/>
            </w:pPr>
            <w:r>
              <w:rPr>
                <w:color w:val="353A7C"/>
                <w:sz w:val="18"/>
                <w:szCs w:val="18"/>
              </w:rPr>
              <w:t xml:space="preserve">•  </w:t>
            </w:r>
            <w:r>
              <w:rPr>
                <w:sz w:val="18"/>
                <w:szCs w:val="18"/>
              </w:rPr>
              <w:t xml:space="preserve">Two of the items are not covenants at all, and one of those two is about what happens after a breach.</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affirmative</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default</w:t>
            </w:r>
            <w:r>
              <w:rPr>
                <w:b/>
                <w:bCs/>
                <w:color w:val="8186EF"/>
                <w:sz w:val="20"/>
                <w:szCs w:val="20"/>
              </w:rPr>
              <w:t xml:space="preserve">   ·   </w:t>
            </w:r>
            <w:r>
              <w:rPr>
                <w:b/>
                <w:bCs/>
                <w:sz w:val="20"/>
                <w:szCs w:val="20"/>
              </w:rPr>
              <w:t xml:space="preserve">do</w:t>
            </w:r>
            <w:r>
              <w:rPr>
                <w:b/>
                <w:bCs/>
                <w:color w:val="8186EF"/>
                <w:sz w:val="20"/>
                <w:szCs w:val="20"/>
              </w:rPr>
              <w:t xml:space="preserve">   ·   </w:t>
            </w:r>
            <w:r>
              <w:rPr>
                <w:b/>
                <w:bCs/>
                <w:sz w:val="20"/>
                <w:szCs w:val="20"/>
              </w:rPr>
              <w:t xml:space="preserve">negative</w:t>
            </w:r>
            <w:r>
              <w:rPr>
                <w:b/>
                <w:bCs/>
                <w:color w:val="8186EF"/>
                <w:sz w:val="20"/>
                <w:szCs w:val="20"/>
              </w:rPr>
              <w:t xml:space="preserve">   ·   </w:t>
            </w:r>
            <w:r>
              <w:rPr>
                <w:b/>
                <w:bCs/>
                <w:sz w:val="20"/>
                <w:szCs w:val="20"/>
              </w:rPr>
              <w:t xml:space="preserve">once</w:t>
            </w:r>
            <w:r>
              <w:rPr>
                <w:b/>
                <w:bCs/>
                <w:color w:val="8186EF"/>
                <w:sz w:val="20"/>
                <w:szCs w:val="20"/>
              </w:rPr>
              <w:t xml:space="preserve">   ·   </w:t>
            </w:r>
            <w:r>
              <w:rPr>
                <w:b/>
                <w:bCs/>
                <w:sz w:val="20"/>
                <w:szCs w:val="20"/>
              </w:rPr>
              <w:t xml:space="preserve">promise</w:t>
            </w:r>
            <w:r>
              <w:rPr>
                <w:b/>
                <w:bCs/>
                <w:color w:val="8186EF"/>
                <w:sz w:val="20"/>
                <w:szCs w:val="20"/>
              </w:rPr>
              <w:t xml:space="preserve">   ·   </w:t>
            </w:r>
            <w:r>
              <w:rPr>
                <w:b/>
                <w:bCs/>
                <w:sz w:val="20"/>
                <w:szCs w:val="20"/>
              </w:rPr>
              <w:t xml:space="preserve">waive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lender hands over the money first and watches afterwards. Covenants are how it keeps some control: promises in the indenture about what the issuer will and will not </w:t>
      </w:r>
      <w:r>
        <w:rPr>
          <w:vertAlign w:val="superscript"/>
          <w:color w:val="353A7C"/>
          <w:b/>
          <w:sz w:val="16"/>
        </w:rPr>
        <w:t>4</w:t>
      </w:r>
      <w:r>
        <w:rPr>
          <w:u w:val="single"/>
          <w:sz w:val="21"/>
          <w:szCs w:val="21"/>
        </w:rPr>
        <w:t xml:space="preserve">         </w:t>
      </w:r>
      <w:r>
        <w:rPr>
          <w:sz w:val="21"/>
          <w:szCs w:val="21"/>
        </w:rPr>
        <w:t xml:space="preserve">.</w:t>
      </w:r>
    </w:p>
    <w:p>
      <w:pPr>
        <w:spacing w:before="40" w:after="110" w:line="300" w:lineRule="auto"/>
      </w:pPr>
      <w:r>
        <w:rPr>
          <w:sz w:val="21"/>
          <w:szCs w:val="21"/>
        </w:rPr>
        <w:t xml:space="preserve">A promise to do something, such as deliver audited statements or hold a ratio above a stated level, is an </w:t>
      </w:r>
      <w:r>
        <w:rPr>
          <w:vertAlign w:val="superscript"/>
          <w:color w:val="353A7C"/>
          <w:b/>
          <w:sz w:val="16"/>
        </w:rPr>
        <w:t>5</w:t>
      </w:r>
      <w:r>
        <w:rPr>
          <w:u w:val="single"/>
          <w:sz w:val="21"/>
          <w:szCs w:val="21"/>
        </w:rPr>
        <w:t xml:space="preserve">                   </w:t>
      </w:r>
      <w:r>
        <w:rPr>
          <w:sz w:val="21"/>
          <w:szCs w:val="21"/>
        </w:rPr>
        <w:t xml:space="preserve"> covenant. A promise to refrain, such as not to borrow further or not to pay dividends above a share of earnings, is a negative one.</w:t>
      </w:r>
    </w:p>
    <w:p>
      <w:pPr>
        <w:spacing w:before="40" w:after="110" w:line="300" w:lineRule="auto"/>
      </w:pPr>
      <w:r>
        <w:rPr>
          <w:sz w:val="21"/>
          <w:szCs w:val="21"/>
        </w:rPr>
        <w:t xml:space="preserve">Breaching either is serious because of what usually follows. The lender may demand immediate repayment, and a balance that was due in five years becomes payable at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That is why a breach moves the whole debt into current liabilities. Northwind’s $1,200,000 would join the $150,000 already there, and every liquidity ratio Part 2 computes would change on a day when no </w:t>
      </w:r>
      <w:r>
        <w:rPr>
          <w:vertAlign w:val="superscript"/>
          <w:color w:val="353A7C"/>
          <w:b/>
          <w:sz w:val="16"/>
        </w:rPr>
        <w:t>7</w:t>
      </w:r>
      <w:r>
        <w:rPr>
          <w:u w:val="single"/>
          <w:sz w:val="21"/>
          <w:szCs w:val="21"/>
        </w:rPr>
        <w:t xml:space="preserve">         </w:t>
      </w:r>
      <w:r>
        <w:rPr>
          <w:sz w:val="21"/>
          <w:szCs w:val="21"/>
        </w:rPr>
        <w:t xml:space="preserve"> moved at all.</w:t>
      </w:r>
    </w:p>
    <w:p>
      <w:pPr>
        <w:spacing w:before="40" w:after="110" w:line="300" w:lineRule="auto"/>
      </w:pPr>
      <w:r>
        <w:rPr>
          <w:sz w:val="21"/>
          <w:szCs w:val="21"/>
        </w:rPr>
        <w:t xml:space="preserve">A lender may instead </w:t>
      </w:r>
      <w:r>
        <w:rPr>
          <w:vertAlign w:val="superscript"/>
          <w:color w:val="353A7C"/>
          <w:b/>
          <w:sz w:val="16"/>
        </w:rPr>
        <w:t>8</w:t>
      </w:r>
      <w:r>
        <w:rPr>
          <w:u w:val="single"/>
          <w:sz w:val="21"/>
          <w:szCs w:val="21"/>
        </w:rPr>
        <w:t xml:space="preserve">          </w:t>
      </w:r>
      <w:r>
        <w:rPr>
          <w:sz w:val="21"/>
          <w:szCs w:val="21"/>
        </w:rPr>
        <w:t xml:space="preserve"> the breach for at least twelve months, and where it has done so by the reporting date the debt stays long-term and the waiver is disclosed.</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Item</w:t>
            </w:r>
          </w:p>
        </w:tc>
        <w:tc>
          <w:tcPr>
            <w:shd w:fill="353A7C" w:val="clear"/>
            <w:tcMar>
              <w:top w:type="dxa" w:w="55"/>
              <w:left w:type="dxa" w:w="115"/>
              <w:bottom w:type="dxa" w:w="55"/>
              <w:right w:type="dxa" w:w="115"/>
            </w:tcMar>
          </w:tcPr>
          <w:p>
            <w:pPr>
              <w:jc w:val="center"/>
            </w:pPr>
            <w:r>
              <w:rPr>
                <w:b/>
                <w:bCs/>
                <w:color w:val="FFFFFF"/>
                <w:sz w:val="17"/>
                <w:szCs w:val="17"/>
              </w:rPr>
              <w:t xml:space="preserve">AFFIRMATIVE</w:t>
            </w:r>
          </w:p>
        </w:tc>
        <w:tc>
          <w:tcPr>
            <w:shd w:fill="353A7C" w:val="clear"/>
            <w:tcMar>
              <w:top w:type="dxa" w:w="55"/>
              <w:left w:type="dxa" w:w="115"/>
              <w:bottom w:type="dxa" w:w="55"/>
              <w:right w:type="dxa" w:w="115"/>
            </w:tcMar>
          </w:tcPr>
          <w:p>
            <w:pPr>
              <w:jc w:val="center"/>
            </w:pPr>
            <w:r>
              <w:rPr>
                <w:b/>
                <w:bCs/>
                <w:color w:val="FFFFFF"/>
                <w:sz w:val="17"/>
                <w:szCs w:val="17"/>
              </w:rPr>
              <w:t xml:space="preserve">NEGATIVE</w:t>
            </w:r>
          </w:p>
        </w:tc>
        <w:tc>
          <w:tcPr>
            <w:shd w:fill="353A7C" w:val="clear"/>
            <w:tcMar>
              <w:top w:type="dxa" w:w="55"/>
              <w:left w:type="dxa" w:w="115"/>
              <w:bottom w:type="dxa" w:w="55"/>
              <w:right w:type="dxa" w:w="115"/>
            </w:tcMar>
          </w:tcPr>
          <w:p>
            <w:pPr>
              <w:jc w:val="center"/>
            </w:pPr>
            <w:r>
              <w:rPr>
                <w:b/>
                <w:bCs/>
                <w:color w:val="FFFFFF"/>
                <w:sz w:val="17"/>
                <w:szCs w:val="17"/>
              </w:rPr>
              <w:t xml:space="preserve">NOT A COVENANT</w:t>
            </w:r>
          </w:p>
        </w:tc>
      </w:tr>
      <w:tr>
        <w:tc>
          <w:tcPr>
            <w:tcMar>
              <w:top w:type="dxa" w:w="45"/>
              <w:left w:type="dxa" w:w="105"/>
              <w:bottom w:type="dxa" w:w="45"/>
              <w:right w:type="dxa" w:w="105"/>
            </w:tcMar>
          </w:tcPr>
          <w:p>
            <w:r>
              <w:rPr>
                <w:sz w:val="18"/>
                <w:szCs w:val="18"/>
              </w:rPr>
              <w:t xml:space="preserve">1.  Maintain a current ratio of at least 1.5</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Do not incur additional debt beyond a stated limit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Deliver audited statements within 90 days of the year end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Do not pay dividends exceeding a stated share of earnings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Repay the face value at maturity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The whole debt becomes due on breach</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4 · Term bonds and serial bonds</w:t>
      </w:r>
      <w:r>
        <w:rPr>
          <w:b/>
          <w:bCs/>
          <w:color w:val="FFFFFF"/>
          <w:sz w:val="16"/>
          <w:szCs w:val="16"/>
        </w:rPr>
        <w:t xml:space="preserve">    and why Volume 1 split the balance</w:t>
      </w:r>
    </w:p>
    <w:p>
      <w:pPr>
        <w:spacing w:before="230" w:after="80"/>
        <w:pBdr>
          <w:top w:val="single" w:sz="12" w:space="7" w:color="353A7C"/>
        </w:pBdr>
      </w:pPr>
      <w:r>
        <w:rPr>
          <w:b/>
          <w:bCs/>
          <w:color w:val="353A7C"/>
          <w:sz w:val="22"/>
          <w:szCs w:val="22"/>
        </w:rPr>
        <w:t xml:space="preserve">Exercise 1D   </w:t>
      </w:r>
      <w:r>
        <w:rPr>
          <w:b/>
          <w:bCs/>
          <w:sz w:val="21"/>
          <w:szCs w:val="21"/>
        </w:rPr>
        <w:t xml:space="preserve">Complete the schedule. Two figures are given from Volume 1.</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Roll Northwind’s serial bond forward and split the closing balance.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 and Volume 1 Handout 4 for the balance sheet split.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coupon is 6% on the $1,500,000 outstanding at the start of the year.</w:t>
            </w:r>
          </w:p>
          <w:p>
            <w:pPr>
              <w:spacing w:after="30"/>
            </w:pPr>
            <w:r>
              <w:rPr>
                <w:color w:val="353A7C"/>
                <w:sz w:val="18"/>
                <w:szCs w:val="18"/>
              </w:rPr>
              <w:t xml:space="preserve">•  </w:t>
            </w:r>
            <w:r>
              <w:rPr>
                <w:sz w:val="18"/>
                <w:szCs w:val="18"/>
              </w:rPr>
              <w:t xml:space="preserve">One instalment of $150,000 was repaid, so the closing balance is the opening less that.</w:t>
            </w:r>
          </w:p>
          <w:p>
            <w:pPr>
              <w:spacing w:after="30"/>
            </w:pPr>
            <w:r>
              <w:rPr>
                <w:color w:val="353A7C"/>
                <w:sz w:val="18"/>
                <w:szCs w:val="18"/>
              </w:rPr>
              <w:t xml:space="preserve">•  </w:t>
            </w:r>
            <w:r>
              <w:rPr>
                <w:sz w:val="18"/>
                <w:szCs w:val="18"/>
              </w:rPr>
              <w:t xml:space="preserve">The last two rows split that closing balance the way Volume 1 splits it, and they must add back to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6D3F7E" w:val="clear"/>
            <w:tcMar>
              <w:top w:type="dxa" w:w="60"/>
              <w:left w:type="dxa" w:w="120"/>
              <w:bottom w:type="dxa" w:w="60"/>
              <w:right w:type="dxa" w:w="120"/>
            </w:tcMar>
          </w:tcPr>
          <w:p>
            <w:r>
              <w:rPr>
                <w:b/>
                <w:bCs/>
                <w:color w:val="FFFFFF"/>
                <w:sz w:val="19"/>
                <w:szCs w:val="19"/>
              </w:rPr>
              <w:t xml:space="preserve">Northwind’s debt in 20X4</w:t>
            </w:r>
          </w:p>
        </w:tc>
        <w:tc>
          <w:tcPr>
            <w:shd w:fill="6D3F7E"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Outstanding at 1 January 20X4</w:t>
            </w:r>
          </w:p>
        </w:tc>
        <w:tc>
          <w:tcPr>
            <w:tcMar>
              <w:top w:type="dxa" w:w="60"/>
              <w:left w:type="dxa" w:w="120"/>
              <w:bottom w:type="dxa" w:w="60"/>
              <w:right w:type="dxa" w:w="120"/>
            </w:tcMar>
          </w:tcPr>
          <w:p>
            <w:r>
              <w:rPr>
                <w:sz w:val="19"/>
                <w:szCs w:val="19"/>
              </w:rPr>
              <w:t xml:space="preserve">$1,500,000</w:t>
            </w:r>
          </w:p>
        </w:tc>
      </w:tr>
      <w:tr>
        <w:tc>
          <w:tcPr>
            <w:tcMar>
              <w:top w:type="dxa" w:w="60"/>
              <w:left w:type="dxa" w:w="120"/>
              <w:bottom w:type="dxa" w:w="60"/>
              <w:right w:type="dxa" w:w="120"/>
            </w:tcMar>
          </w:tcPr>
          <w:p>
            <w:r>
              <w:rPr>
                <w:sz w:val="19"/>
                <w:szCs w:val="19"/>
              </w:rPr>
              <w:t xml:space="preserve">Coupon at 6% on the opening balance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Instalment repaid during the year</w:t>
            </w:r>
          </w:p>
        </w:tc>
        <w:tc>
          <w:tcPr>
            <w:tcMar>
              <w:top w:type="dxa" w:w="60"/>
              <w:left w:type="dxa" w:w="120"/>
              <w:bottom w:type="dxa" w:w="60"/>
              <w:right w:type="dxa" w:w="120"/>
            </w:tcMar>
          </w:tcPr>
          <w:p>
            <w:r>
              <w:rPr>
                <w:sz w:val="19"/>
                <w:szCs w:val="19"/>
              </w:rPr>
              <w:t xml:space="preserve">($150,000)</w:t>
            </w:r>
          </w:p>
        </w:tc>
      </w:tr>
      <w:tr>
        <w:tc>
          <w:tcPr>
            <w:tcMar>
              <w:top w:type="dxa" w:w="60"/>
              <w:left w:type="dxa" w:w="120"/>
              <w:bottom w:type="dxa" w:w="60"/>
              <w:right w:type="dxa" w:w="120"/>
            </w:tcMar>
          </w:tcPr>
          <w:p>
            <w:r>
              <w:rPr>
                <w:sz w:val="19"/>
                <w:szCs w:val="19"/>
              </w:rPr>
              <w:t xml:space="preserve">Outstanding at 31 December 20X4</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   of which due within twelve months</w:t>
            </w:r>
          </w:p>
        </w:tc>
        <w:tc>
          <w:tcPr>
            <w:tcMar>
              <w:top w:type="dxa" w:w="60"/>
              <w:left w:type="dxa" w:w="120"/>
              <w:bottom w:type="dxa" w:w="60"/>
              <w:right w:type="dxa" w:w="120"/>
            </w:tcMar>
          </w:tcPr>
          <w:p>
            <w:r>
              <w:rPr>
                <w:sz w:val="19"/>
                <w:szCs w:val="19"/>
              </w:rPr>
              <w:t xml:space="preserve">$150,000</w:t>
            </w:r>
          </w:p>
        </w:tc>
      </w:tr>
      <w:tr>
        <w:tc>
          <w:tcPr>
            <w:tcMar>
              <w:top w:type="dxa" w:w="60"/>
              <w:left w:type="dxa" w:w="120"/>
              <w:bottom w:type="dxa" w:w="60"/>
              <w:right w:type="dxa" w:w="120"/>
            </w:tcMar>
          </w:tcPr>
          <w:p>
            <w:r>
              <w:rPr>
                <w:sz w:val="19"/>
                <w:szCs w:val="19"/>
              </w:rPr>
              <w:t xml:space="preserve">   of which due after twelve months</w:t>
            </w:r>
          </w:p>
        </w:tc>
        <w:tc>
          <w:tcPr>
            <w:tcMar>
              <w:top w:type="dxa" w:w="60"/>
              <w:left w:type="dxa" w:w="120"/>
              <w:bottom w:type="dxa" w:w="60"/>
              <w:right w:type="dxa" w:w="120"/>
            </w:tcMar>
          </w:tcPr>
          <w:p>
            <w:r>
              <w:rPr>
                <w:sz w:val="19"/>
                <w:szCs w:val="19"/>
              </w:rPr>
              <w:t xml:space="preserve">$1,200,000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215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1534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term bond repays everything on one date and a serial bond repays in instalments. Only the serial kind produces a current portion every year, which is why Northwind’s $150,000 sits among current liabilities while the other $1,200,000 does not.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The coupon rate on a bond:</w:t>
      </w:r>
    </w:p>
    <w:p>
      <w:pPr>
        <w:ind w:left="340"/>
        <w:spacing w:after="30"/>
      </w:pPr>
      <w:r>
        <w:rPr>
          <w:color w:val="6B7280"/>
          <w:sz w:val="19"/>
          <w:szCs w:val="19"/>
        </w:rPr>
        <w:t xml:space="preserve">(A)  </w:t>
      </w:r>
      <w:r>
        <w:rPr>
          <w:sz w:val="19"/>
          <w:szCs w:val="19"/>
        </w:rPr>
        <w:t xml:space="preserve">Changes with market interest rates</w:t>
      </w:r>
    </w:p>
    <w:p>
      <w:pPr>
        <w:ind w:left="340"/>
        <w:spacing w:after="30"/>
      </w:pPr>
      <w:r>
        <w:rPr>
          <w:color w:val="6B7280"/>
          <w:sz w:val="19"/>
          <w:szCs w:val="19"/>
        </w:rPr>
        <w:t xml:space="preserve">(B)  </w:t>
      </w:r>
      <w:r>
        <w:rPr>
          <w:sz w:val="19"/>
          <w:szCs w:val="19"/>
        </w:rPr>
        <w:t xml:space="preserve">Is fixed in the indenture and determines the cash interest paid</w:t>
      </w:r>
    </w:p>
    <w:p>
      <w:pPr>
        <w:ind w:left="340"/>
        <w:spacing w:after="30"/>
      </w:pPr>
      <w:r>
        <w:rPr>
          <w:color w:val="6B7280"/>
          <w:sz w:val="19"/>
          <w:szCs w:val="19"/>
        </w:rPr>
        <w:t xml:space="preserve">(C)  </w:t>
      </w:r>
      <w:r>
        <w:rPr>
          <w:sz w:val="19"/>
          <w:szCs w:val="19"/>
        </w:rPr>
        <w:t xml:space="preserve">Equals the rate investors require at all times</w:t>
      </w:r>
    </w:p>
    <w:p>
      <w:pPr>
        <w:ind w:left="340"/>
        <w:spacing w:after="30"/>
      </w:pPr>
      <w:r>
        <w:rPr>
          <w:color w:val="6B7280"/>
          <w:sz w:val="19"/>
          <w:szCs w:val="19"/>
        </w:rPr>
        <w:t xml:space="preserve">(D)  </w:t>
      </w:r>
      <w:r>
        <w:rPr>
          <w:sz w:val="19"/>
          <w:szCs w:val="19"/>
        </w:rPr>
        <w:t xml:space="preserve">Is set by the trustee</w:t>
      </w:r>
    </w:p>
    <w:p>
      <w:pPr>
        <w:spacing w:before="150" w:after="60"/>
      </w:pPr>
      <w:r>
        <w:rPr>
          <w:b/>
          <w:bCs/>
          <w:color w:val="353A7C"/>
          <w:sz w:val="19"/>
          <w:szCs w:val="19"/>
        </w:rPr>
        <w:t xml:space="preserve">2.  [Level A]  </w:t>
      </w:r>
      <w:r>
        <w:rPr>
          <w:b/>
          <w:bCs/>
          <w:sz w:val="19"/>
          <w:szCs w:val="19"/>
        </w:rPr>
        <w:t xml:space="preserve">A bond backed by the issuer’s general credit rather than by specific collateral is a:</w:t>
      </w:r>
    </w:p>
    <w:p>
      <w:pPr>
        <w:ind w:left="340"/>
        <w:spacing w:after="30"/>
      </w:pPr>
      <w:r>
        <w:rPr>
          <w:color w:val="6B7280"/>
          <w:sz w:val="19"/>
          <w:szCs w:val="19"/>
        </w:rPr>
        <w:t xml:space="preserve">(A)  </w:t>
      </w:r>
      <w:r>
        <w:rPr>
          <w:sz w:val="19"/>
          <w:szCs w:val="19"/>
        </w:rPr>
        <w:t xml:space="preserve">Mortgage bond</w:t>
      </w:r>
    </w:p>
    <w:p>
      <w:pPr>
        <w:ind w:left="340"/>
        <w:spacing w:after="30"/>
      </w:pPr>
      <w:r>
        <w:rPr>
          <w:color w:val="6B7280"/>
          <w:sz w:val="19"/>
          <w:szCs w:val="19"/>
        </w:rPr>
        <w:t xml:space="preserve">(B)  </w:t>
      </w:r>
      <w:r>
        <w:rPr>
          <w:sz w:val="19"/>
          <w:szCs w:val="19"/>
        </w:rPr>
        <w:t xml:space="preserve">Debenture</w:t>
      </w:r>
    </w:p>
    <w:p>
      <w:pPr>
        <w:ind w:left="340"/>
        <w:spacing w:after="30"/>
      </w:pPr>
      <w:r>
        <w:rPr>
          <w:color w:val="6B7280"/>
          <w:sz w:val="19"/>
          <w:szCs w:val="19"/>
        </w:rPr>
        <w:t xml:space="preserve">(C)  </w:t>
      </w:r>
      <w:r>
        <w:rPr>
          <w:sz w:val="19"/>
          <w:szCs w:val="19"/>
        </w:rPr>
        <w:t xml:space="preserve">Serial bond</w:t>
      </w:r>
    </w:p>
    <w:p>
      <w:pPr>
        <w:ind w:left="340"/>
        <w:spacing w:after="30"/>
      </w:pPr>
      <w:r>
        <w:rPr>
          <w:color w:val="6B7280"/>
          <w:sz w:val="19"/>
          <w:szCs w:val="19"/>
        </w:rPr>
        <w:t xml:space="preserve">(D)  </w:t>
      </w:r>
      <w:r>
        <w:rPr>
          <w:sz w:val="19"/>
          <w:szCs w:val="19"/>
        </w:rPr>
        <w:t xml:space="preserve">Callable bond</w:t>
      </w:r>
    </w:p>
    <w:p>
      <w:pPr>
        <w:spacing w:before="150" w:after="60"/>
      </w:pPr>
      <w:r>
        <w:rPr>
          <w:b/>
          <w:bCs/>
          <w:color w:val="353A7C"/>
          <w:sz w:val="19"/>
          <w:szCs w:val="19"/>
        </w:rPr>
        <w:t xml:space="preserve">3.  [Level B]  </w:t>
      </w:r>
      <w:r>
        <w:rPr>
          <w:b/>
          <w:bCs/>
          <w:sz w:val="19"/>
          <w:szCs w:val="19"/>
        </w:rPr>
        <w:t xml:space="preserve">An indenture is:</w:t>
      </w:r>
    </w:p>
    <w:p>
      <w:pPr>
        <w:ind w:left="340"/>
        <w:spacing w:after="30"/>
      </w:pPr>
      <w:r>
        <w:rPr>
          <w:color w:val="6B7280"/>
          <w:sz w:val="19"/>
          <w:szCs w:val="19"/>
        </w:rPr>
        <w:t xml:space="preserve">(A)  </w:t>
      </w:r>
      <w:r>
        <w:rPr>
          <w:sz w:val="19"/>
          <w:szCs w:val="19"/>
        </w:rPr>
        <w:t xml:space="preserve">The accounting standard governing bonds</w:t>
      </w:r>
    </w:p>
    <w:p>
      <w:pPr>
        <w:ind w:left="340"/>
        <w:spacing w:after="30"/>
      </w:pPr>
      <w:r>
        <w:rPr>
          <w:color w:val="6B7280"/>
          <w:sz w:val="19"/>
          <w:szCs w:val="19"/>
        </w:rPr>
        <w:t xml:space="preserve">(B)  </w:t>
      </w:r>
      <w:r>
        <w:rPr>
          <w:sz w:val="19"/>
          <w:szCs w:val="19"/>
        </w:rPr>
        <w:t xml:space="preserve">The contract between the issuer and the bondholders</w:t>
      </w:r>
    </w:p>
    <w:p>
      <w:pPr>
        <w:ind w:left="340"/>
        <w:spacing w:after="30"/>
      </w:pPr>
      <w:r>
        <w:rPr>
          <w:color w:val="6B7280"/>
          <w:sz w:val="19"/>
          <w:szCs w:val="19"/>
        </w:rPr>
        <w:t xml:space="preserve">(C)  </w:t>
      </w:r>
      <w:r>
        <w:rPr>
          <w:sz w:val="19"/>
          <w:szCs w:val="19"/>
        </w:rPr>
        <w:t xml:space="preserve">The certificate held by each investor</w:t>
      </w:r>
    </w:p>
    <w:p>
      <w:pPr>
        <w:ind w:left="340"/>
        <w:spacing w:after="30"/>
      </w:pPr>
      <w:r>
        <w:rPr>
          <w:color w:val="6B7280"/>
          <w:sz w:val="19"/>
          <w:szCs w:val="19"/>
        </w:rPr>
        <w:t xml:space="preserve">(D)  </w:t>
      </w:r>
      <w:r>
        <w:rPr>
          <w:sz w:val="19"/>
          <w:szCs w:val="19"/>
        </w:rPr>
        <w:t xml:space="preserve">The registration filed with a regulator</w:t>
      </w:r>
    </w:p>
    <w:p>
      <w:pPr>
        <w:spacing w:before="150" w:after="60"/>
      </w:pPr>
      <w:r>
        <w:rPr>
          <w:b/>
          <w:bCs/>
          <w:color w:val="353A7C"/>
          <w:sz w:val="19"/>
          <w:szCs w:val="19"/>
        </w:rPr>
        <w:t xml:space="preserve">4.  [Level B]  </w:t>
      </w:r>
      <w:r>
        <w:rPr>
          <w:b/>
          <w:bCs/>
          <w:sz w:val="19"/>
          <w:szCs w:val="19"/>
        </w:rPr>
        <w:t xml:space="preserve">A company breaches a debt covenant before its year end and the lender has not waived it. The debt should be reported as:</w:t>
      </w:r>
    </w:p>
    <w:p>
      <w:pPr>
        <w:ind w:left="340"/>
        <w:spacing w:after="30"/>
      </w:pPr>
      <w:r>
        <w:rPr>
          <w:color w:val="6B7280"/>
          <w:sz w:val="19"/>
          <w:szCs w:val="19"/>
        </w:rPr>
        <w:t xml:space="preserve">(A)  </w:t>
      </w:r>
      <w:r>
        <w:rPr>
          <w:sz w:val="19"/>
          <w:szCs w:val="19"/>
        </w:rPr>
        <w:t xml:space="preserve">Long-term, because the maturity has not changed</w:t>
      </w:r>
    </w:p>
    <w:p>
      <w:pPr>
        <w:ind w:left="340"/>
        <w:spacing w:after="30"/>
      </w:pPr>
      <w:r>
        <w:rPr>
          <w:color w:val="6B7280"/>
          <w:sz w:val="19"/>
          <w:szCs w:val="19"/>
        </w:rPr>
        <w:t xml:space="preserve">(B)  </w:t>
      </w:r>
      <w:r>
        <w:rPr>
          <w:sz w:val="19"/>
          <w:szCs w:val="19"/>
        </w:rPr>
        <w:t xml:space="preserve">A current liability</w:t>
      </w:r>
    </w:p>
    <w:p>
      <w:pPr>
        <w:ind w:left="340"/>
        <w:spacing w:after="30"/>
      </w:pPr>
      <w:r>
        <w:rPr>
          <w:color w:val="6B7280"/>
          <w:sz w:val="19"/>
          <w:szCs w:val="19"/>
        </w:rPr>
        <w:t xml:space="preserve">(C)  </w:t>
      </w:r>
      <w:r>
        <w:rPr>
          <w:sz w:val="19"/>
          <w:szCs w:val="19"/>
        </w:rPr>
        <w:t xml:space="preserve">Off balance sheet until the lender acts</w:t>
      </w:r>
    </w:p>
    <w:p>
      <w:pPr>
        <w:ind w:left="340"/>
        <w:spacing w:after="30"/>
      </w:pPr>
      <w:r>
        <w:rPr>
          <w:color w:val="6B7280"/>
          <w:sz w:val="19"/>
          <w:szCs w:val="19"/>
        </w:rPr>
        <w:t xml:space="preserve">(D)  </w:t>
      </w:r>
      <w:r>
        <w:rPr>
          <w:sz w:val="19"/>
          <w:szCs w:val="19"/>
        </w:rPr>
        <w:t xml:space="preserve">Equity</w:t>
      </w:r>
    </w:p>
    <w:p>
      <w:pPr>
        <w:spacing w:before="150" w:after="60"/>
      </w:pPr>
      <w:r>
        <w:rPr>
          <w:b/>
          <w:bCs/>
          <w:color w:val="353A7C"/>
          <w:sz w:val="19"/>
          <w:szCs w:val="19"/>
        </w:rPr>
        <w:t xml:space="preserve">5.  [Level A]  </w:t>
      </w:r>
      <w:r>
        <w:rPr>
          <w:b/>
          <w:bCs/>
          <w:sz w:val="19"/>
          <w:szCs w:val="19"/>
        </w:rPr>
        <w:t xml:space="preserve">Northwind’s bond repays $150,000 each year rather than the whole $1,500,000 at one date. It is a:</w:t>
      </w:r>
    </w:p>
    <w:p>
      <w:pPr>
        <w:ind w:left="340"/>
        <w:spacing w:after="30"/>
      </w:pPr>
      <w:r>
        <w:rPr>
          <w:color w:val="6B7280"/>
          <w:sz w:val="19"/>
          <w:szCs w:val="19"/>
        </w:rPr>
        <w:t xml:space="preserve">(A)  </w:t>
      </w:r>
      <w:r>
        <w:rPr>
          <w:sz w:val="19"/>
          <w:szCs w:val="19"/>
        </w:rPr>
        <w:t xml:space="preserve">Term bond</w:t>
      </w:r>
    </w:p>
    <w:p>
      <w:pPr>
        <w:ind w:left="340"/>
        <w:spacing w:after="30"/>
      </w:pPr>
      <w:r>
        <w:rPr>
          <w:color w:val="6B7280"/>
          <w:sz w:val="19"/>
          <w:szCs w:val="19"/>
        </w:rPr>
        <w:t xml:space="preserve">(B)  </w:t>
      </w:r>
      <w:r>
        <w:rPr>
          <w:sz w:val="19"/>
          <w:szCs w:val="19"/>
        </w:rPr>
        <w:t xml:space="preserve">Serial bond</w:t>
      </w:r>
    </w:p>
    <w:p>
      <w:pPr>
        <w:ind w:left="340"/>
        <w:spacing w:after="30"/>
      </w:pPr>
      <w:r>
        <w:rPr>
          <w:color w:val="6B7280"/>
          <w:sz w:val="19"/>
          <w:szCs w:val="19"/>
        </w:rPr>
        <w:t xml:space="preserve">(C)  </w:t>
      </w:r>
      <w:r>
        <w:rPr>
          <w:sz w:val="19"/>
          <w:szCs w:val="19"/>
        </w:rPr>
        <w:t xml:space="preserve">Callable bond</w:t>
      </w:r>
    </w:p>
    <w:p>
      <w:pPr>
        <w:ind w:left="340"/>
        <w:spacing w:after="30"/>
      </w:pPr>
      <w:r>
        <w:rPr>
          <w:color w:val="6B7280"/>
          <w:sz w:val="19"/>
          <w:szCs w:val="19"/>
        </w:rPr>
        <w:t xml:space="preserve">(D)  </w:t>
      </w:r>
      <w:r>
        <w:rPr>
          <w:sz w:val="19"/>
          <w:szCs w:val="19"/>
        </w:rPr>
        <w:t xml:space="preserve">Secured bond</w:t>
      </w:r>
    </w:p>
    <w:p>
      <w:pPr>
        <w:spacing w:before="150" w:after="60"/>
      </w:pPr>
      <w:r>
        <w:rPr>
          <w:b/>
          <w:bCs/>
          <w:color w:val="353A7C"/>
          <w:sz w:val="19"/>
          <w:szCs w:val="19"/>
        </w:rPr>
        <w:t xml:space="preserve">6.  [Level C]  </w:t>
      </w:r>
      <w:r>
        <w:rPr>
          <w:b/>
          <w:bCs/>
          <w:sz w:val="19"/>
          <w:szCs w:val="19"/>
        </w:rPr>
        <w:t xml:space="preserve">A call provision in an indenture benefits:</w:t>
      </w:r>
    </w:p>
    <w:p>
      <w:pPr>
        <w:ind w:left="340"/>
        <w:spacing w:after="30"/>
      </w:pPr>
      <w:r>
        <w:rPr>
          <w:color w:val="6B7280"/>
          <w:sz w:val="19"/>
          <w:szCs w:val="19"/>
        </w:rPr>
        <w:t xml:space="preserve">(A)  </w:t>
      </w:r>
      <w:r>
        <w:rPr>
          <w:sz w:val="19"/>
          <w:szCs w:val="19"/>
        </w:rPr>
        <w:t xml:space="preserve">The bondholders, who may demand early repayment</w:t>
      </w:r>
    </w:p>
    <w:p>
      <w:pPr>
        <w:ind w:left="340"/>
        <w:spacing w:after="30"/>
      </w:pPr>
      <w:r>
        <w:rPr>
          <w:color w:val="6B7280"/>
          <w:sz w:val="19"/>
          <w:szCs w:val="19"/>
        </w:rPr>
        <w:t xml:space="preserve">(B)  </w:t>
      </w:r>
      <w:r>
        <w:rPr>
          <w:sz w:val="19"/>
          <w:szCs w:val="19"/>
        </w:rPr>
        <w:t xml:space="preserve">The issuer, who may repay early if rates fall</w:t>
      </w:r>
    </w:p>
    <w:p>
      <w:pPr>
        <w:ind w:left="340"/>
        <w:spacing w:after="30"/>
      </w:pPr>
      <w:r>
        <w:rPr>
          <w:color w:val="6B7280"/>
          <w:sz w:val="19"/>
          <w:szCs w:val="19"/>
        </w:rPr>
        <w:t xml:space="preserve">(C)  </w:t>
      </w:r>
      <w:r>
        <w:rPr>
          <w:sz w:val="19"/>
          <w:szCs w:val="19"/>
        </w:rPr>
        <w:t xml:space="preserve">The trustee</w:t>
      </w:r>
    </w:p>
    <w:p>
      <w:pPr>
        <w:ind w:left="340"/>
        <w:spacing w:after="30"/>
      </w:pPr>
      <w:r>
        <w:rPr>
          <w:color w:val="6B7280"/>
          <w:sz w:val="19"/>
          <w:szCs w:val="19"/>
        </w:rPr>
        <w:t xml:space="preserve">(D)  </w:t>
      </w:r>
      <w:r>
        <w:rPr>
          <w:sz w:val="19"/>
          <w:szCs w:val="19"/>
        </w:rPr>
        <w:t xml:space="preserve">Neither party</w:t>
      </w:r>
    </w:p>
    <w:p>
      <w:pPr>
        <w:spacing w:before="150" w:after="60"/>
      </w:pPr>
      <w:r>
        <w:rPr>
          <w:b/>
          <w:bCs/>
          <w:color w:val="353A7C"/>
          <w:sz w:val="19"/>
          <w:szCs w:val="19"/>
        </w:rPr>
        <w:t xml:space="preserve">7.  [Level B]  </w:t>
      </w:r>
      <w:r>
        <w:rPr>
          <w:b/>
          <w:bCs/>
          <w:sz w:val="19"/>
          <w:szCs w:val="19"/>
        </w:rPr>
        <w:t xml:space="preserve">Northwind reports $90,000 of interest expense on $1,500,000 of debt outstanding at the start of the year. The coupon rate is:</w:t>
      </w:r>
    </w:p>
    <w:p>
      <w:pPr>
        <w:ind w:left="340"/>
        <w:spacing w:after="30"/>
      </w:pPr>
      <w:r>
        <w:rPr>
          <w:color w:val="6B7280"/>
          <w:sz w:val="19"/>
          <w:szCs w:val="19"/>
        </w:rPr>
        <w:t xml:space="preserve">(A)  </w:t>
      </w:r>
      <w:r>
        <w:rPr>
          <w:sz w:val="19"/>
          <w:szCs w:val="19"/>
        </w:rPr>
        <w:t xml:space="preserve">8%</w:t>
      </w:r>
    </w:p>
    <w:p>
      <w:pPr>
        <w:ind w:left="340"/>
        <w:spacing w:after="30"/>
      </w:pPr>
      <w:r>
        <w:rPr>
          <w:color w:val="6B7280"/>
          <w:sz w:val="19"/>
          <w:szCs w:val="19"/>
        </w:rPr>
        <w:t xml:space="preserve">(B)  </w:t>
      </w:r>
      <w:r>
        <w:rPr>
          <w:sz w:val="19"/>
          <w:szCs w:val="19"/>
        </w:rPr>
        <w:t xml:space="preserve">6%</w:t>
      </w:r>
    </w:p>
    <w:p>
      <w:pPr>
        <w:ind w:left="340"/>
        <w:spacing w:after="30"/>
      </w:pPr>
      <w:r>
        <w:rPr>
          <w:color w:val="6B7280"/>
          <w:sz w:val="19"/>
          <w:szCs w:val="19"/>
        </w:rPr>
        <w:t xml:space="preserve">(C)  </w:t>
      </w:r>
      <w:r>
        <w:rPr>
          <w:sz w:val="19"/>
          <w:szCs w:val="19"/>
        </w:rPr>
        <w:t xml:space="preserve">8%</w:t>
      </w:r>
    </w:p>
    <w:p>
      <w:pPr>
        <w:ind w:left="340"/>
        <w:spacing w:after="30"/>
      </w:pPr>
      <w:r>
        <w:rPr>
          <w:color w:val="6B7280"/>
          <w:sz w:val="19"/>
          <w:szCs w:val="19"/>
        </w:rPr>
        <w:t xml:space="preserve">(D)  </w:t>
      </w:r>
      <w:r>
        <w:rPr>
          <w:sz w:val="19"/>
          <w:szCs w:val="19"/>
        </w:rPr>
        <w:t xml:space="preserve">Not determinable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Separate the three rates before you answer anything on this topic: the coupon rate fixes the cash, the market rate at issue fixes the price, and the market rate today fixes what the bond would fetch now. Most distractors are the right arithmetic on the wrong one of the three.</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Issued at a Discount, at a Premium, at Par</w:t>
      </w:r>
    </w:p>
    <w:p>
      <w:pPr>
        <w:spacing w:after="8"/>
      </w:pPr>
      <w:r>
        <w:rPr>
          <w:color w:val="23265A"/>
          <w:sz w:val="22"/>
          <w:szCs w:val="22"/>
        </w:rPr>
        <w:t xml:space="preserve">The same $1,000,000 bond raises $920,146 with one coupon and $1,079,854 with another. Nothing about the company changed.</w:t>
      </w:r>
    </w:p>
    <w:p>
      <w:pPr>
        <w:spacing w:after="130"/>
      </w:pPr>
      <w:r>
        <w:rPr>
          <w:color w:val="6B7280"/>
          <w:sz w:val="20"/>
          <w:szCs w:val="20"/>
        </w:rPr>
        <w:t xml:space="preserve">Volume 14 · Long-Term Debt and Contingent Liabilities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throughout. The exam register waits for Handout 4, where the CMA’s own wording arrives.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issue a bond below par · discount the coupons and the principal · record a discount on bonds payable · carry a bond at its issue price · present a discount as a contra account · raise less than the face value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discount / premium · coupon rate / market rate · face value / issue price · contra liability / addition</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discount is not a loss and a premium is not a gain. Both are interest, and Handout 3 spreads them over the bond’s life.  A discount on bonds payable is not an asset. It is a deduction from the liability it belongs to.</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why a bond sells above or below its face value.</w:t>
      </w:r>
    </w:p>
    <w:p>
      <w:pPr>
        <w:pStyle w:val="ListParagraph"/>
        <w:numPr>
          <w:ilvl w:val="0"/>
          <w:numId w:val="1"/>
        </w:numPr>
        <w:spacing w:after="24"/>
      </w:pPr>
      <w:r>
        <w:rPr>
          <w:sz w:val="20"/>
          <w:szCs w:val="20"/>
        </w:rPr>
        <w:t xml:space="preserve">Price a bond as an annuity plus a single sum.</w:t>
      </w:r>
    </w:p>
    <w:p>
      <w:pPr>
        <w:pStyle w:val="ListParagraph"/>
        <w:numPr>
          <w:ilvl w:val="0"/>
          <w:numId w:val="1"/>
        </w:numPr>
        <w:spacing w:after="24"/>
      </w:pPr>
      <w:r>
        <w:rPr>
          <w:sz w:val="20"/>
          <w:szCs w:val="20"/>
        </w:rPr>
        <w:t xml:space="preserve">Compute the discount or premium at issue.</w:t>
      </w:r>
    </w:p>
    <w:p>
      <w:pPr>
        <w:pStyle w:val="ListParagraph"/>
        <w:numPr>
          <w:ilvl w:val="0"/>
          <w:numId w:val="1"/>
        </w:numPr>
        <w:spacing w:after="24"/>
      </w:pPr>
      <w:r>
        <w:rPr>
          <w:sz w:val="20"/>
          <w:szCs w:val="20"/>
        </w:rPr>
        <w:t xml:space="preserve">Record the issue and present the bond on the balance sheet.</w:t>
      </w:r>
    </w:p>
    <w:p>
      <w:pPr>
        <w:pStyle w:val="ListParagraph"/>
        <w:numPr>
          <w:ilvl w:val="0"/>
          <w:numId w:val="1"/>
        </w:numPr>
        <w:spacing w:after="24"/>
      </w:pPr>
      <w:r>
        <w:rPr>
          <w:sz w:val="20"/>
          <w:szCs w:val="20"/>
        </w:rPr>
        <w:t xml:space="preserve">Say what the discount and the premium actually represent.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bonds, one company, one week</w:t>
            </w:r>
          </w:p>
          <w:p>
            <w:pPr>
              <w:spacing w:after="80" w:line="290" w:lineRule="auto"/>
            </w:pPr>
            <w:r>
              <w:rPr>
                <w:sz w:val="21"/>
                <w:szCs w:val="21"/>
              </w:rPr>
              <w:t xml:space="preserve">Northwind proposes to raise money with a $1,000,000 bond repayable in 5 years. The market requires 8% from a company of its credit.</w:t>
            </w:r>
          </w:p>
          <w:p>
            <w:pPr>
              <w:spacing w:after="80" w:line="290" w:lineRule="auto"/>
            </w:pPr>
            <w:r>
              <w:rPr>
                <w:sz w:val="21"/>
                <w:szCs w:val="21"/>
              </w:rPr>
              <w:t xml:space="preserve">If the board sets the coupon at 6%, the bond pays less than investors want and will not sell at face value. If it sets 10%, it pays more than they want and will sell for more.</w:t>
            </w:r>
          </w:p>
          <w:p>
            <w:pPr>
              <w:spacing w:after="80" w:line="290" w:lineRule="auto"/>
            </w:pPr>
            <w:r>
              <w:rPr>
                <w:sz w:val="21"/>
                <w:szCs w:val="21"/>
              </w:rPr>
              <w:t xml:space="preserve">The first raises $920,146 and the second raises $1,079,854. The company, the term and the amount repaid at maturity are identical.</w:t>
            </w:r>
          </w:p>
          <w:p>
            <w:pPr>
              <w:spacing w:after="80" w:line="290" w:lineRule="auto"/>
            </w:pPr>
            <w:r>
              <w:rPr>
                <w:sz w:val="21"/>
                <w:szCs w:val="21"/>
              </w:rPr>
              <w:t xml:space="preserve">This handout prices both and records them. The arithmetic is Volume 13’s, with nothing added.</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Why a bond sells away from par</w:t>
      </w:r>
      <w:r>
        <w:rPr>
          <w:b/>
          <w:bCs/>
          <w:color w:val="FFFFFF"/>
          <w:sz w:val="16"/>
          <w:szCs w:val="16"/>
        </w:rPr>
        <w:t xml:space="preserve">    the cash is fixed, so the price moves</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a bond sells below or above its face value.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1B, on the coupon against the market rate.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An investor can get 8% elsewhere. Ask what they would pay for a promise of $60,000 a year.</w:t>
            </w:r>
          </w:p>
          <w:p>
            <w:pPr>
              <w:spacing w:after="30"/>
            </w:pPr>
            <w:r>
              <w:rPr>
                <w:color w:val="353A7C"/>
                <w:sz w:val="18"/>
                <w:szCs w:val="18"/>
              </w:rPr>
              <w:t xml:space="preserve">•  </w:t>
            </w:r>
            <w:r>
              <w:rPr>
                <w:sz w:val="18"/>
                <w:szCs w:val="18"/>
              </w:rPr>
              <w:t xml:space="preserve">The coupon cannot be changed, and the amount repaid at maturity cannot be changed either. Only one number is left free.</w:t>
            </w:r>
          </w:p>
          <w:p>
            <w:pPr>
              <w:spacing w:after="30"/>
            </w:pPr>
            <w:r>
              <w:rPr>
                <w:color w:val="353A7C"/>
                <w:sz w:val="18"/>
                <w:szCs w:val="18"/>
              </w:rPr>
              <w:t xml:space="preserve">•  </w:t>
            </w:r>
            <w:r>
              <w:rPr>
                <w:sz w:val="18"/>
                <w:szCs w:val="18"/>
              </w:rPr>
              <w:t xml:space="preserve">The last blank is what the shortfall in the price really is, and it is not a loss.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discount</w:t>
            </w:r>
            <w:r>
              <w:rPr>
                <w:b/>
                <w:bCs/>
                <w:color w:val="8186EF"/>
                <w:sz w:val="20"/>
                <w:szCs w:val="20"/>
              </w:rPr>
              <w:t xml:space="preserve">   ·   </w:t>
            </w:r>
            <w:r>
              <w:rPr>
                <w:b/>
                <w:bCs/>
                <w:sz w:val="20"/>
                <w:szCs w:val="20"/>
              </w:rPr>
              <w:t xml:space="preserve">gain</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loss</w:t>
            </w:r>
            <w:r>
              <w:rPr>
                <w:b/>
                <w:bCs/>
                <w:color w:val="8186EF"/>
                <w:sz w:val="20"/>
                <w:szCs w:val="20"/>
              </w:rPr>
              <w:t xml:space="preserve">   ·   </w:t>
            </w:r>
            <w:r>
              <w:rPr>
                <w:b/>
                <w:bCs/>
                <w:sz w:val="20"/>
                <w:szCs w:val="20"/>
              </w:rPr>
              <w:t xml:space="preserve">pay</w:t>
            </w:r>
            <w:r>
              <w:rPr>
                <w:b/>
                <w:bCs/>
                <w:color w:val="8186EF"/>
                <w:sz w:val="20"/>
                <w:szCs w:val="20"/>
              </w:rPr>
              <w:t xml:space="preserve">   ·   </w:t>
            </w:r>
            <w:r>
              <w:rPr>
                <w:b/>
                <w:bCs/>
                <w:sz w:val="20"/>
                <w:szCs w:val="20"/>
              </w:rPr>
              <w:t xml:space="preserve">premium</w:t>
            </w:r>
            <w:r>
              <w:rPr>
                <w:b/>
                <w:bCs/>
                <w:color w:val="8186EF"/>
                <w:sz w:val="20"/>
                <w:szCs w:val="20"/>
              </w:rPr>
              <w:t xml:space="preserve">   ·   </w:t>
            </w:r>
            <w:r>
              <w:rPr>
                <w:b/>
                <w:bCs/>
                <w:sz w:val="20"/>
                <w:szCs w:val="20"/>
              </w:rPr>
              <w:t xml:space="preserve">receive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An investor who can earn 8% elsewhere will not pay $1,000,000 for a bond paying a 6% coupon. The cash the bond offers is fixed by the indenture, so the only thing that can adjust is what the investor is willing to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The price falls until the bond yields 8% on the money actually laid out. At $920,146 it does, and the $79,854 shortfall against face value is called a </w:t>
      </w:r>
      <w:r>
        <w:rPr>
          <w:vertAlign w:val="superscript"/>
          <w:color w:val="353A7C"/>
          <w:b/>
          <w:sz w:val="16"/>
        </w:rPr>
        <w:t>2</w:t>
      </w:r>
      <w:r>
        <w:rPr>
          <w:u w:val="single"/>
          <w:sz w:val="21"/>
          <w:szCs w:val="21"/>
        </w:rPr>
        <w:t xml:space="preserve">               </w:t>
      </w:r>
      <w:r>
        <w:rPr>
          <w:sz w:val="21"/>
          <w:szCs w:val="21"/>
        </w:rPr>
        <w:t xml:space="preserve">.</w:t>
      </w:r>
    </w:p>
    <w:p>
      <w:pPr>
        <w:spacing w:before="40" w:after="110" w:line="300" w:lineRule="auto"/>
      </w:pPr>
      <w:r>
        <w:rPr>
          <w:sz w:val="21"/>
          <w:szCs w:val="21"/>
        </w:rPr>
        <w:t xml:space="preserve">That shortfall is not a loss to the issuer. Northwind receives $920,146 and repays $1,000,000, and the extra $79,854 it hands back at maturity is additional </w:t>
      </w:r>
      <w:r>
        <w:rPr>
          <w:vertAlign w:val="superscript"/>
          <w:color w:val="353A7C"/>
          <w:b/>
          <w:sz w:val="16"/>
        </w:rPr>
        <w:t>3</w:t>
      </w:r>
      <w:r>
        <w:rPr>
          <w:u w:val="single"/>
          <w:sz w:val="21"/>
          <w:szCs w:val="21"/>
        </w:rPr>
        <w:t xml:space="preserve">               </w:t>
      </w:r>
      <w:r>
        <w:rPr>
          <w:sz w:val="21"/>
          <w:szCs w:val="21"/>
        </w:rPr>
        <w:t xml:space="preserve"> it did not pay in cash along the way.</w:t>
      </w:r>
    </w:p>
    <w:p>
      <w:pPr>
        <w:spacing w:before="40" w:after="110" w:line="300" w:lineRule="auto"/>
      </w:pPr>
      <w:r>
        <w:rPr>
          <w:sz w:val="21"/>
          <w:szCs w:val="21"/>
        </w:rPr>
        <w:t xml:space="preserve">A 10% coupon runs the other way. Investors pay $1,079,854 for it, the $79,854 excess is a </w:t>
      </w:r>
      <w:r>
        <w:rPr>
          <w:vertAlign w:val="superscript"/>
          <w:color w:val="353A7C"/>
          <w:b/>
          <w:sz w:val="16"/>
        </w:rPr>
        <w:t>4</w:t>
      </w:r>
      <w:r>
        <w:rPr>
          <w:u w:val="single"/>
          <w:sz w:val="21"/>
          <w:szCs w:val="21"/>
        </w:rPr>
        <w:t xml:space="preserve">             </w:t>
      </w:r>
      <w:r>
        <w:rPr>
          <w:sz w:val="21"/>
          <w:szCs w:val="21"/>
        </w:rPr>
        <w:t xml:space="preserve">, and the issuer’s real cost is below the coupon because part of what it collected is never repaid as interest.</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Pricing it</w:t>
      </w:r>
      <w:r>
        <w:rPr>
          <w:b/>
          <w:bCs/>
          <w:color w:val="FFFFFF"/>
          <w:sz w:val="16"/>
          <w:szCs w:val="16"/>
        </w:rPr>
        <w:t xml:space="preserve">    an annuity plus a single sum</w:t>
      </w:r>
    </w:p>
    <w:p>
      <w:pPr>
        <w:spacing w:before="40" w:after="110" w:line="300" w:lineRule="auto"/>
      </w:pPr>
      <w:r>
        <w:rPr>
          <w:b/>
          <w:color w:val="2B6CB0"/>
          <w:sz w:val="13"/>
        </w:rPr>
        <w:t xml:space="preserve">R2  </w:t>
      </w:r>
      <w:r>
        <w:rPr>
          <w:sz w:val="21"/>
          <w:szCs w:val="21"/>
        </w:rPr>
        <w:t xml:space="preserve">A bond is two promises: a stream of equal coupons, and one repayment of the face value at the end. Volume 13 can value both. The coupons are an ordinary annuity and the repayment is a single sum, and the price is their total.</w:t>
      </w:r>
    </w:p>
    <w:p>
      <w:pPr>
        <w:spacing w:before="230" w:after="80"/>
        <w:pBdr>
          <w:top w:val="single" w:sz="12" w:space="7" w:color="353A7C"/>
        </w:pBdr>
      </w:pPr>
      <w:r>
        <w:rPr>
          <w:b/>
          <w:bCs/>
          <w:color w:val="353A7C"/>
          <w:sz w:val="22"/>
          <w:szCs w:val="22"/>
        </w:rPr>
        <w:t xml:space="preserve">Exercise 2B   </w:t>
      </w:r>
      <w:r>
        <w:rPr>
          <w:b/>
          <w:bCs/>
          <w:sz w:val="21"/>
          <w:szCs w:val="21"/>
        </w:rPr>
        <w:t xml:space="preserve">Complete the grid. The present value of the repayment is given.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Price both bonds as an annuity plus a single sum.</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13 Handout 2, for the five-year annuity factor at 8%. · Volume 13 Handout 1, for the single-sum factor.</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coupon row is the rate in row 1 applied to the $1,000,000 face value.</w:t>
            </w:r>
          </w:p>
          <w:p>
            <w:pPr>
              <w:spacing w:after="30"/>
            </w:pPr>
            <w:r>
              <w:rPr>
                <w:color w:val="353A7C"/>
                <w:sz w:val="18"/>
                <w:szCs w:val="18"/>
              </w:rPr>
              <w:t xml:space="preserve">•  </w:t>
            </w:r>
            <w:r>
              <w:rPr>
                <w:sz w:val="18"/>
                <w:szCs w:val="18"/>
              </w:rPr>
              <w:t xml:space="preserve">The annuity factor at 8% for 5 years is 3.99271, and you computed it in Volume 13.</w:t>
            </w:r>
          </w:p>
          <w:p>
            <w:pPr>
              <w:spacing w:after="30"/>
            </w:pPr>
            <w:r>
              <w:rPr>
                <w:color w:val="353A7C"/>
                <w:sz w:val="18"/>
                <w:szCs w:val="18"/>
              </w:rPr>
              <w:t xml:space="preserve">•  </w:t>
            </w:r>
            <w:r>
              <w:rPr>
                <w:sz w:val="18"/>
                <w:szCs w:val="18"/>
              </w:rPr>
              <w:t xml:space="preserve">Look hard at the discount bond’s coupon row before you move on: you have met that figure twice already.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27"/>
        <w:gridCol w:w="27"/>
      </w:tblGrid>
      <w:tr>
        <w:tc>
          <w:tcPr>
            <w:shd w:fill="1F6F8F" w:val="clear"/>
            <w:tcMar>
              <w:top w:type="dxa" w:w="60"/>
              <w:left w:type="dxa" w:w="120"/>
              <w:bottom w:type="dxa" w:w="60"/>
              <w:right w:type="dxa" w:w="120"/>
            </w:tcMar>
          </w:tcPr>
          <w:p>
            <w:r>
              <w:rPr>
                <w:b/>
                <w:bCs/>
                <w:color w:val="FFFFFF"/>
                <w:sz w:val="19"/>
                <w:szCs w:val="19"/>
              </w:rPr>
              <w:t xml:space="preserve">Pricing the $1,000,000 bond</w:t>
            </w:r>
          </w:p>
        </w:tc>
        <w:tc>
          <w:tcPr>
            <w:shd w:fill="1F6F8F" w:val="clear"/>
            <w:tcMar>
              <w:top w:type="dxa" w:w="60"/>
              <w:left w:type="dxa" w:w="120"/>
              <w:bottom w:type="dxa" w:w="60"/>
              <w:right w:type="dxa" w:w="120"/>
            </w:tcMar>
          </w:tcPr>
          <w:p>
            <w:r>
              <w:rPr>
                <w:b/>
                <w:bCs/>
                <w:color w:val="FFFFFF"/>
                <w:sz w:val="19"/>
                <w:szCs w:val="19"/>
              </w:rPr>
              <w:t xml:space="preserve">Discount bond</w:t>
            </w:r>
          </w:p>
        </w:tc>
        <w:tc>
          <w:tcPr>
            <w:shd w:fill="1F6F8F" w:val="clear"/>
            <w:tcMar>
              <w:top w:type="dxa" w:w="60"/>
              <w:left w:type="dxa" w:w="120"/>
              <w:bottom w:type="dxa" w:w="60"/>
              <w:right w:type="dxa" w:w="120"/>
            </w:tcMar>
          </w:tcPr>
          <w:p>
            <w:r>
              <w:rPr>
                <w:b/>
                <w:bCs/>
                <w:color w:val="FFFFFF"/>
                <w:sz w:val="19"/>
                <w:szCs w:val="19"/>
              </w:rPr>
              <w:t xml:space="preserve">Premium bond</w:t>
            </w:r>
          </w:p>
        </w:tc>
      </w:tr>
      <w:tr>
        <w:tc>
          <w:tcPr>
            <w:tcMar>
              <w:top w:type="dxa" w:w="60"/>
              <w:left w:type="dxa" w:w="120"/>
              <w:bottom w:type="dxa" w:w="60"/>
              <w:right w:type="dxa" w:w="120"/>
            </w:tcMar>
          </w:tcPr>
          <w:p>
            <w:r>
              <w:rPr>
                <w:sz w:val="19"/>
                <w:szCs w:val="19"/>
              </w:rPr>
              <w:t xml:space="preserve">Coupon rate written in the indenture</w:t>
            </w:r>
          </w:p>
        </w:tc>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10%</w:t>
            </w:r>
          </w:p>
        </w:tc>
      </w:tr>
      <w:tr>
        <w:tc>
          <w:tcPr>
            <w:tcMar>
              <w:top w:type="dxa" w:w="60"/>
              <w:left w:type="dxa" w:w="120"/>
              <w:bottom w:type="dxa" w:w="60"/>
              <w:right w:type="dxa" w:w="120"/>
            </w:tcMar>
          </w:tcPr>
          <w:p>
            <w:r>
              <w:rPr>
                <w:sz w:val="19"/>
                <w:szCs w:val="19"/>
              </w:rPr>
              <w:t xml:space="preserve">Cash coupon, each year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Present value of the coupons at 8%</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Present value of the $1,000,000 repaid at maturity</w:t>
            </w:r>
          </w:p>
        </w:tc>
        <w:tc>
          <w:tcPr>
            <w:tcMar>
              <w:top w:type="dxa" w:w="60"/>
              <w:left w:type="dxa" w:w="120"/>
              <w:bottom w:type="dxa" w:w="60"/>
              <w:right w:type="dxa" w:w="120"/>
            </w:tcMar>
          </w:tcPr>
          <w:p>
            <w:r>
              <w:rPr>
                <w:sz w:val="19"/>
                <w:szCs w:val="19"/>
              </w:rPr>
              <w:t xml:space="preserve">$680,583</w:t>
            </w:r>
          </w:p>
        </w:tc>
        <w:tc>
          <w:tcPr>
            <w:tcMar>
              <w:top w:type="dxa" w:w="60"/>
              <w:left w:type="dxa" w:w="120"/>
              <w:bottom w:type="dxa" w:w="60"/>
              <w:right w:type="dxa" w:w="120"/>
            </w:tcMar>
          </w:tcPr>
          <w:p>
            <w:r>
              <w:rPr>
                <w:sz w:val="19"/>
                <w:szCs w:val="19"/>
              </w:rPr>
              <w:t xml:space="preserve">$680,583</w:t>
            </w:r>
          </w:p>
        </w:tc>
      </w:tr>
      <w:tr>
        <w:tc>
          <w:tcPr>
            <w:tcMar>
              <w:top w:type="dxa" w:w="60"/>
              <w:left w:type="dxa" w:w="120"/>
              <w:bottom w:type="dxa" w:w="60"/>
              <w:right w:type="dxa" w:w="120"/>
            </w:tcMar>
          </w:tcPr>
          <w:p>
            <w:r>
              <w:rPr>
                <w:sz w:val="19"/>
                <w:szCs w:val="19"/>
              </w:rPr>
              <w:t xml:space="preserve">Issue price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Discount or premium</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3 · Recording the issue</w:t>
      </w:r>
      <w:r>
        <w:rPr>
          <w:b/>
          <w:bCs/>
          <w:color w:val="FFFFFF"/>
          <w:sz w:val="16"/>
          <w:szCs w:val="16"/>
        </w:rPr>
        <w:t xml:space="preserve">    and where the difference sits</w:t>
      </w:r>
    </w:p>
    <w:p>
      <w:pPr>
        <w:spacing w:before="230" w:after="80"/>
        <w:pBdr>
          <w:top w:val="single" w:sz="12" w:space="7" w:color="353A7C"/>
        </w:pBdr>
      </w:pPr>
      <w:r>
        <w:rPr>
          <w:b/>
          <w:bCs/>
          <w:color w:val="353A7C"/>
          <w:sz w:val="22"/>
          <w:szCs w:val="22"/>
        </w:rPr>
        <w:t xml:space="preserve">Exercise 2C   </w:t>
      </w:r>
      <w:r>
        <w:rPr>
          <w:b/>
          <w:bCs/>
          <w:sz w:val="21"/>
          <w:szCs w:val="21"/>
        </w:rPr>
        <w:t xml:space="preserve">Read and complete, then fill the grid and record the two entries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Record both issues and present each bond on the balance sheet.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Bonds payable is always credited with the face value, whatever the cash received.</w:t>
            </w:r>
          </w:p>
          <w:p>
            <w:pPr>
              <w:spacing w:after="30"/>
            </w:pPr>
            <w:r>
              <w:rPr>
                <w:color w:val="353A7C"/>
                <w:sz w:val="18"/>
                <w:szCs w:val="18"/>
              </w:rPr>
              <w:t xml:space="preserve">•  </w:t>
            </w:r>
            <w:r>
              <w:rPr>
                <w:sz w:val="18"/>
                <w:szCs w:val="18"/>
              </w:rPr>
              <w:t xml:space="preserve">The difference between the cash and the face goes to a separate account, and its sign decides which of the two rows it uses.</w:t>
            </w:r>
          </w:p>
          <w:p>
            <w:pPr>
              <w:spacing w:after="30"/>
            </w:pPr>
            <w:r>
              <w:rPr>
                <w:color w:val="353A7C"/>
                <w:sz w:val="18"/>
                <w:szCs w:val="18"/>
              </w:rPr>
              <w:t xml:space="preserve">•  </w:t>
            </w:r>
            <w:r>
              <w:rPr>
                <w:sz w:val="18"/>
                <w:szCs w:val="18"/>
              </w:rPr>
              <w:t xml:space="preserve">The carrying amount must come back to the issue price you computed in Exercise 2B.</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added</w:t>
            </w:r>
            <w:r>
              <w:rPr>
                <w:b/>
                <w:bCs/>
                <w:color w:val="8186EF"/>
                <w:sz w:val="20"/>
                <w:szCs w:val="20"/>
              </w:rPr>
              <w:t xml:space="preserve">   ·   </w:t>
            </w:r>
            <w:r>
              <w:rPr>
                <w:b/>
                <w:bCs/>
                <w:sz w:val="20"/>
                <w:szCs w:val="20"/>
              </w:rPr>
              <w:t xml:space="preserve">carrying</w:t>
            </w:r>
            <w:r>
              <w:rPr>
                <w:b/>
                <w:bCs/>
                <w:color w:val="8186EF"/>
                <w:sz w:val="20"/>
                <w:szCs w:val="20"/>
              </w:rPr>
              <w:t xml:space="preserve">   ·   </w:t>
            </w:r>
            <w:r>
              <w:rPr>
                <w:b/>
                <w:bCs/>
                <w:sz w:val="20"/>
                <w:szCs w:val="20"/>
              </w:rPr>
              <w:t xml:space="preserve">credited</w:t>
            </w:r>
            <w:r>
              <w:rPr>
                <w:b/>
                <w:bCs/>
                <w:color w:val="8186EF"/>
                <w:sz w:val="20"/>
                <w:szCs w:val="20"/>
              </w:rPr>
              <w:t xml:space="preserve">   ·   </w:t>
            </w:r>
            <w:r>
              <w:rPr>
                <w:b/>
                <w:bCs/>
                <w:sz w:val="20"/>
                <w:szCs w:val="20"/>
              </w:rPr>
              <w:t xml:space="preserve">debited</w:t>
            </w:r>
            <w:r>
              <w:rPr>
                <w:b/>
                <w:bCs/>
                <w:color w:val="8186EF"/>
                <w:sz w:val="20"/>
                <w:szCs w:val="20"/>
              </w:rPr>
              <w:t xml:space="preserve">   ·   </w:t>
            </w:r>
            <w:r>
              <w:rPr>
                <w:b/>
                <w:bCs/>
                <w:sz w:val="20"/>
                <w:szCs w:val="20"/>
              </w:rPr>
              <w:t xml:space="preserve">face</w:t>
            </w:r>
            <w:r>
              <w:rPr>
                <w:b/>
                <w:bCs/>
                <w:color w:val="8186EF"/>
                <w:sz w:val="20"/>
                <w:szCs w:val="20"/>
              </w:rPr>
              <w:t xml:space="preserve">   ·   </w:t>
            </w:r>
            <w:r>
              <w:rPr>
                <w:b/>
                <w:bCs/>
                <w:sz w:val="20"/>
                <w:szCs w:val="20"/>
              </w:rPr>
              <w:t xml:space="preserve">issue</w:t>
            </w:r>
            <w:r>
              <w:rPr>
                <w:b/>
                <w:bCs/>
                <w:color w:val="8186EF"/>
                <w:sz w:val="20"/>
                <w:szCs w:val="20"/>
              </w:rPr>
              <w:t xml:space="preserve">   ·   </w:t>
            </w:r>
            <w:r>
              <w:rPr>
                <w:b/>
                <w:bCs/>
                <w:sz w:val="20"/>
                <w:szCs w:val="20"/>
              </w:rPr>
              <w:t xml:space="preserve">market</w:t>
            </w:r>
            <w:r>
              <w:rPr>
                <w:b/>
                <w:bCs/>
                <w:color w:val="8186EF"/>
                <w:sz w:val="20"/>
                <w:szCs w:val="20"/>
              </w:rPr>
              <w:t xml:space="preserve">   ·   </w:t>
            </w:r>
            <w:r>
              <w:rPr>
                <w:b/>
                <w:bCs/>
                <w:sz w:val="20"/>
                <w:szCs w:val="20"/>
              </w:rPr>
              <w:t xml:space="preserve">stated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Whatever the cash, bonds payable is credited with the </w:t>
      </w:r>
      <w:r>
        <w:rPr>
          <w:vertAlign w:val="superscript"/>
          <w:color w:val="353A7C"/>
          <w:b/>
          <w:sz w:val="16"/>
        </w:rPr>
        <w:t>5</w:t>
      </w:r>
      <w:r>
        <w:rPr>
          <w:u w:val="single"/>
          <w:sz w:val="21"/>
          <w:szCs w:val="21"/>
        </w:rPr>
        <w:t xml:space="preserve">         </w:t>
      </w:r>
      <w:r>
        <w:rPr>
          <w:sz w:val="21"/>
          <w:szCs w:val="21"/>
        </w:rPr>
        <w:t xml:space="preserve"> value of $1,000,000. That account records what will be repaid, and what will be repaid does not depend on what the bond fetched.</w:t>
      </w:r>
    </w:p>
    <w:p>
      <w:pPr>
        <w:spacing w:before="40" w:after="110" w:line="300" w:lineRule="auto"/>
      </w:pPr>
      <w:r>
        <w:rPr>
          <w:sz w:val="21"/>
          <w:szCs w:val="21"/>
        </w:rPr>
        <w:t xml:space="preserve">The difference goes to an account of its own. On the 6% bond the company received $79,854 less than face, so $79,854 is </w:t>
      </w:r>
      <w:r>
        <w:rPr>
          <w:vertAlign w:val="superscript"/>
          <w:color w:val="353A7C"/>
          <w:b/>
          <w:sz w:val="16"/>
        </w:rPr>
        <w:t>6</w:t>
      </w:r>
      <w:r>
        <w:rPr>
          <w:u w:val="single"/>
          <w:sz w:val="21"/>
          <w:szCs w:val="21"/>
        </w:rPr>
        <w:t xml:space="preserve">             </w:t>
      </w:r>
      <w:r>
        <w:rPr>
          <w:sz w:val="21"/>
          <w:szCs w:val="21"/>
        </w:rPr>
        <w:t xml:space="preserve"> to discount on bonds payable.</w:t>
      </w:r>
    </w:p>
    <w:p>
      <w:pPr>
        <w:spacing w:before="40" w:after="110" w:line="300" w:lineRule="auto"/>
      </w:pPr>
      <w:r>
        <w:rPr>
          <w:sz w:val="21"/>
          <w:szCs w:val="21"/>
        </w:rPr>
        <w:t xml:space="preserve">That account is a contra liability. It is deducted from bonds payable rather than shown separately, so the balance sheet reports one </w:t>
      </w:r>
      <w:r>
        <w:rPr>
          <w:vertAlign w:val="superscript"/>
          <w:color w:val="353A7C"/>
          <w:b/>
          <w:sz w:val="16"/>
        </w:rPr>
        <w:t>7</w:t>
      </w:r>
      <w:r>
        <w:rPr>
          <w:u w:val="single"/>
          <w:sz w:val="21"/>
          <w:szCs w:val="21"/>
        </w:rPr>
        <w:t xml:space="preserve">               </w:t>
      </w:r>
      <w:r>
        <w:rPr>
          <w:sz w:val="21"/>
          <w:szCs w:val="21"/>
        </w:rPr>
        <w:t xml:space="preserve"> amount of $920,146.</w:t>
      </w:r>
    </w:p>
    <w:p>
      <w:pPr>
        <w:spacing w:before="40" w:after="110" w:line="300" w:lineRule="auto"/>
      </w:pPr>
      <w:r>
        <w:rPr>
          <w:sz w:val="21"/>
          <w:szCs w:val="21"/>
        </w:rPr>
        <w:t xml:space="preserve">The premium bond runs the other way. The $79,854 excess is credited to premium on bonds payable and </w:t>
      </w:r>
      <w:r>
        <w:rPr>
          <w:vertAlign w:val="superscript"/>
          <w:color w:val="353A7C"/>
          <w:b/>
          <w:sz w:val="16"/>
        </w:rPr>
        <w:t>8</w:t>
      </w:r>
      <w:r>
        <w:rPr>
          <w:u w:val="single"/>
          <w:sz w:val="21"/>
          <w:szCs w:val="21"/>
        </w:rPr>
        <w:t xml:space="preserve">          </w:t>
      </w:r>
      <w:r>
        <w:rPr>
          <w:sz w:val="21"/>
          <w:szCs w:val="21"/>
        </w:rPr>
        <w:t xml:space="preserve"> to the face value, giving a carrying amount of $1,079,854.</w:t>
      </w:r>
    </w:p>
    <w:p>
      <w:pPr>
        <w:spacing w:before="40" w:after="110" w:line="300" w:lineRule="auto"/>
      </w:pPr>
      <w:r>
        <w:rPr>
          <w:sz w:val="21"/>
          <w:szCs w:val="21"/>
        </w:rPr>
        <w:t xml:space="preserve">Note which rate did all the work. The stated rate decided the cash coupons; the </w:t>
      </w:r>
      <w:r>
        <w:rPr>
          <w:vertAlign w:val="superscript"/>
          <w:color w:val="353A7C"/>
          <w:b/>
          <w:sz w:val="16"/>
        </w:rPr>
        <w:t>9</w:t>
      </w:r>
      <w:r>
        <w:rPr>
          <w:u w:val="single"/>
          <w:sz w:val="21"/>
          <w:szCs w:val="21"/>
        </w:rPr>
        <w:t xml:space="preserve">            </w:t>
      </w:r>
      <w:r>
        <w:rPr>
          <w:sz w:val="21"/>
          <w:szCs w:val="21"/>
        </w:rPr>
        <w:t xml:space="preserve"> rate decided the price and therefore the discount and the premium.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27"/>
        <w:gridCol w:w="27"/>
      </w:tblGrid>
      <w:tr>
        <w:tc>
          <w:tcPr>
            <w:shd w:fill="6D3F7E" w:val="clear"/>
            <w:tcMar>
              <w:top w:type="dxa" w:w="60"/>
              <w:left w:type="dxa" w:w="120"/>
              <w:bottom w:type="dxa" w:w="60"/>
              <w:right w:type="dxa" w:w="120"/>
            </w:tcMar>
          </w:tcPr>
          <w:p>
            <w:r>
              <w:rPr>
                <w:b/>
                <w:bCs/>
                <w:color w:val="FFFFFF"/>
                <w:sz w:val="19"/>
                <w:szCs w:val="19"/>
              </w:rPr>
              <w:t xml:space="preserve">On the balance sheet at issue</w:t>
            </w:r>
          </w:p>
        </w:tc>
        <w:tc>
          <w:tcPr>
            <w:shd w:fill="6D3F7E" w:val="clear"/>
            <w:tcMar>
              <w:top w:type="dxa" w:w="60"/>
              <w:left w:type="dxa" w:w="120"/>
              <w:bottom w:type="dxa" w:w="60"/>
              <w:right w:type="dxa" w:w="120"/>
            </w:tcMar>
          </w:tcPr>
          <w:p>
            <w:r>
              <w:rPr>
                <w:b/>
                <w:bCs/>
                <w:color w:val="FFFFFF"/>
                <w:sz w:val="19"/>
                <w:szCs w:val="19"/>
              </w:rPr>
              <w:t xml:space="preserve">Discount bond</w:t>
            </w:r>
          </w:p>
        </w:tc>
        <w:tc>
          <w:tcPr>
            <w:shd w:fill="6D3F7E" w:val="clear"/>
            <w:tcMar>
              <w:top w:type="dxa" w:w="60"/>
              <w:left w:type="dxa" w:w="120"/>
              <w:bottom w:type="dxa" w:w="60"/>
              <w:right w:type="dxa" w:w="120"/>
            </w:tcMar>
          </w:tcPr>
          <w:p>
            <w:r>
              <w:rPr>
                <w:b/>
                <w:bCs/>
                <w:color w:val="FFFFFF"/>
                <w:sz w:val="19"/>
                <w:szCs w:val="19"/>
              </w:rPr>
              <w:t xml:space="preserve">Premium bond</w:t>
            </w:r>
          </w:p>
        </w:tc>
      </w:tr>
      <w:tr>
        <w:tc>
          <w:tcPr>
            <w:tcMar>
              <w:top w:type="dxa" w:w="60"/>
              <w:left w:type="dxa" w:w="120"/>
              <w:bottom w:type="dxa" w:w="60"/>
              <w:right w:type="dxa" w:w="120"/>
            </w:tcMar>
          </w:tcPr>
          <w:p>
            <w:r>
              <w:rPr>
                <w:sz w:val="19"/>
                <w:szCs w:val="19"/>
              </w:rPr>
              <w:t xml:space="preserve">Bonds payable, at face value</w:t>
            </w:r>
          </w:p>
        </w:tc>
        <w:tc>
          <w:tcPr>
            <w:tcMar>
              <w:top w:type="dxa" w:w="60"/>
              <w:left w:type="dxa" w:w="120"/>
              <w:bottom w:type="dxa" w:w="60"/>
              <w:right w:type="dxa" w:w="120"/>
            </w:tcMar>
          </w:tcPr>
          <w:p>
            <w:r>
              <w:rPr>
                <w:sz w:val="19"/>
                <w:szCs w:val="19"/>
              </w:rPr>
              <w:t xml:space="preserve">$1,000,000</w:t>
            </w:r>
          </w:p>
        </w:tc>
        <w:tc>
          <w:tcPr>
            <w:tcMar>
              <w:top w:type="dxa" w:w="60"/>
              <w:left w:type="dxa" w:w="120"/>
              <w:bottom w:type="dxa" w:w="60"/>
              <w:right w:type="dxa" w:w="120"/>
            </w:tcMar>
          </w:tcPr>
          <w:p>
            <w:r>
              <w:rPr>
                <w:sz w:val="19"/>
                <w:szCs w:val="19"/>
              </w:rPr>
              <w:t xml:space="preserve">$1,000,000</w:t>
            </w:r>
          </w:p>
        </w:tc>
      </w:tr>
      <w:tr>
        <w:tc>
          <w:tcPr>
            <w:tcMar>
              <w:top w:type="dxa" w:w="60"/>
              <w:left w:type="dxa" w:w="120"/>
              <w:bottom w:type="dxa" w:w="60"/>
              <w:right w:type="dxa" w:w="120"/>
            </w:tcMar>
          </w:tcPr>
          <w:p>
            <w:r>
              <w:rPr>
                <w:sz w:val="19"/>
                <w:szCs w:val="19"/>
              </w:rPr>
              <w:t xml:space="preserve">Less discount on bonds payable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Plus premium on bonds payable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Carrying amount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before="140" w:after="60"/>
      </w:pPr>
      <w:r>
        <w:rPr>
          <w:b/>
          <w:bCs/>
          <w:color w:val="353A7C"/>
          <w:sz w:val="19"/>
          <w:szCs w:val="19"/>
        </w:rPr>
        <w:t xml:space="preserve">J1  </w:t>
      </w:r>
      <w:r>
        <w:rPr>
          <w:color w:val="6B7280"/>
          <w:sz w:val="19"/>
          <w:szCs w:val="19"/>
        </w:rPr>
        <w:t xml:space="preserve">The 6% bond issued at $920,146, raising $920,146.</w:t>
      </w:r>
      <w:r>
        <w:rPr>
          <w:b/>
          <w:bCs/>
          <w:color w:val="C9762E"/>
          <w:sz w:val="19"/>
          <w:szCs w:val="19"/>
        </w:rPr>
        <w:t xml:space="preserve">  Three lines, and the discount is a debit.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Discount on 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J2  </w:t>
      </w:r>
      <w:r>
        <w:rPr>
          <w:color w:val="6B7280"/>
          <w:sz w:val="19"/>
          <w:szCs w:val="19"/>
        </w:rPr>
        <w:t xml:space="preserve">The 10% bond issued at $1,079,854 instead.</w:t>
      </w:r>
      <w:r>
        <w:rPr>
          <w:b/>
          <w:bCs/>
          <w:color w:val="C9762E"/>
          <w:sz w:val="19"/>
          <w:szCs w:val="19"/>
        </w:rPr>
        <w:t xml:space="preserve">  The same three accounts, with the premium on the other side.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Premium on 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4 · What the difference really is</w:t>
      </w:r>
      <w:r>
        <w:rPr>
          <w:b/>
          <w:bCs/>
          <w:color w:val="FFFFFF"/>
          <w:sz w:val="16"/>
          <w:szCs w:val="16"/>
        </w:rPr>
        <w:t xml:space="preserve">    interest, and nothing else</w:t>
      </w:r>
    </w:p>
    <w:p>
      <w:pPr>
        <w:spacing w:before="230" w:after="80"/>
        <w:pBdr>
          <w:top w:val="single" w:sz="12" w:space="7" w:color="353A7C"/>
        </w:pBdr>
      </w:pPr>
      <w:r>
        <w:rPr>
          <w:b/>
          <w:bCs/>
          <w:color w:val="353A7C"/>
          <w:sz w:val="22"/>
          <w:szCs w:val="22"/>
        </w:rPr>
        <w:t xml:space="preserve">Exercise 2D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the discount and the premium represent over the bond’s life.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 receives $920,146 on the discount bond and repays $1,000,000. Add up what it pays in total and compare.</w:t>
            </w:r>
          </w:p>
          <w:p>
            <w:pPr>
              <w:spacing w:after="30"/>
            </w:pPr>
            <w:r>
              <w:rPr>
                <w:color w:val="353A7C"/>
                <w:sz w:val="18"/>
                <w:szCs w:val="18"/>
              </w:rPr>
              <w:t xml:space="preserve">•  </w:t>
            </w:r>
            <w:r>
              <w:rPr>
                <w:sz w:val="18"/>
                <w:szCs w:val="18"/>
              </w:rPr>
              <w:t xml:space="preserve">Five coupons of $60,000 plus $1,000,000 of principal is $1,300,000, against $920,146 received.</w:t>
            </w:r>
          </w:p>
          <w:p>
            <w:pPr>
              <w:spacing w:after="30"/>
            </w:pPr>
            <w:r>
              <w:rPr>
                <w:color w:val="353A7C"/>
                <w:sz w:val="18"/>
                <w:szCs w:val="18"/>
              </w:rPr>
              <w:t xml:space="preserve">•  </w:t>
            </w:r>
            <w:r>
              <w:rPr>
                <w:sz w:val="18"/>
                <w:szCs w:val="18"/>
              </w:rPr>
              <w:t xml:space="preserve">One of the statements is about the premium bond, where the total cost runs the other way.</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the discount bond</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The total cash cost is $379,854</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The discount is a loss recognised at issue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The real cost of borrowing is above the 6% coupon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The discount will be charged to interest expense over the term</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The premium bond costs more in total than the discount bond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Both bonds repay $1,000,000 at maturity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8033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Bonds payable is credited with the face value every time, whatever the cash. A question that asks for the credit to bonds payable on a bond issued at $920,146 is asking for $1,000,000, and the $79,854 goes to a separate account.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bond sells at a discount when:</w:t>
      </w:r>
    </w:p>
    <w:p>
      <w:pPr>
        <w:ind w:left="340"/>
        <w:spacing w:after="30"/>
      </w:pPr>
      <w:r>
        <w:rPr>
          <w:color w:val="6B7280"/>
          <w:sz w:val="19"/>
          <w:szCs w:val="19"/>
        </w:rPr>
        <w:t xml:space="preserve">(A)  </w:t>
      </w:r>
      <w:r>
        <w:rPr>
          <w:sz w:val="19"/>
          <w:szCs w:val="19"/>
        </w:rPr>
        <w:t xml:space="preserve">The issuer is in financial difficulty</w:t>
      </w:r>
    </w:p>
    <w:p>
      <w:pPr>
        <w:ind w:left="340"/>
        <w:spacing w:after="30"/>
      </w:pPr>
      <w:r>
        <w:rPr>
          <w:color w:val="6B7280"/>
          <w:sz w:val="19"/>
          <w:szCs w:val="19"/>
        </w:rPr>
        <w:t xml:space="preserve">(B)  </w:t>
      </w:r>
      <w:r>
        <w:rPr>
          <w:sz w:val="19"/>
          <w:szCs w:val="19"/>
        </w:rPr>
        <w:t xml:space="preserve">The coupon rate is below the market rate</w:t>
      </w:r>
    </w:p>
    <w:p>
      <w:pPr>
        <w:ind w:left="340"/>
        <w:spacing w:after="30"/>
      </w:pPr>
      <w:r>
        <w:rPr>
          <w:color w:val="6B7280"/>
          <w:sz w:val="19"/>
          <w:szCs w:val="19"/>
        </w:rPr>
        <w:t xml:space="preserve">(C)  </w:t>
      </w:r>
      <w:r>
        <w:rPr>
          <w:sz w:val="19"/>
          <w:szCs w:val="19"/>
        </w:rPr>
        <w:t xml:space="preserve">The coupon rate is above the market rate</w:t>
      </w:r>
    </w:p>
    <w:p>
      <w:pPr>
        <w:ind w:left="340"/>
        <w:spacing w:after="30"/>
      </w:pPr>
      <w:r>
        <w:rPr>
          <w:color w:val="6B7280"/>
          <w:sz w:val="19"/>
          <w:szCs w:val="19"/>
        </w:rPr>
        <w:t xml:space="preserve">(D)  </w:t>
      </w:r>
      <w:r>
        <w:rPr>
          <w:sz w:val="19"/>
          <w:szCs w:val="19"/>
        </w:rPr>
        <w:t xml:space="preserve">The bond is unsecured</w:t>
      </w:r>
    </w:p>
    <w:p>
      <w:pPr>
        <w:spacing w:before="150" w:after="60"/>
      </w:pPr>
      <w:r>
        <w:rPr>
          <w:b/>
          <w:bCs/>
          <w:color w:val="353A7C"/>
          <w:sz w:val="19"/>
          <w:szCs w:val="19"/>
        </w:rPr>
        <w:t xml:space="preserve">2.  [Level B]  </w:t>
      </w:r>
      <w:r>
        <w:rPr>
          <w:b/>
          <w:bCs/>
          <w:sz w:val="19"/>
          <w:szCs w:val="19"/>
        </w:rPr>
        <w:t xml:space="preserve">A $1,000,000 bond with a 6% coupon is issued when the market rate is 8%. The issue price is the present value of:</w:t>
      </w:r>
    </w:p>
    <w:p>
      <w:pPr>
        <w:ind w:left="340"/>
        <w:spacing w:after="30"/>
      </w:pPr>
      <w:r>
        <w:rPr>
          <w:color w:val="6B7280"/>
          <w:sz w:val="19"/>
          <w:szCs w:val="19"/>
        </w:rPr>
        <w:t xml:space="preserve">(A)  </w:t>
      </w:r>
      <w:r>
        <w:rPr>
          <w:sz w:val="19"/>
          <w:szCs w:val="19"/>
        </w:rPr>
        <w:t xml:space="preserve">The face value only</w:t>
      </w:r>
    </w:p>
    <w:p>
      <w:pPr>
        <w:ind w:left="340"/>
        <w:spacing w:after="30"/>
      </w:pPr>
      <w:r>
        <w:rPr>
          <w:color w:val="6B7280"/>
          <w:sz w:val="19"/>
          <w:szCs w:val="19"/>
        </w:rPr>
        <w:t xml:space="preserve">(B)  </w:t>
      </w:r>
      <w:r>
        <w:rPr>
          <w:sz w:val="19"/>
          <w:szCs w:val="19"/>
        </w:rPr>
        <w:t xml:space="preserve">The coupons and the face value, both at 8%</w:t>
      </w:r>
    </w:p>
    <w:p>
      <w:pPr>
        <w:ind w:left="340"/>
        <w:spacing w:after="30"/>
      </w:pPr>
      <w:r>
        <w:rPr>
          <w:color w:val="6B7280"/>
          <w:sz w:val="19"/>
          <w:szCs w:val="19"/>
        </w:rPr>
        <w:t xml:space="preserve">(C)  </w:t>
      </w:r>
      <w:r>
        <w:rPr>
          <w:sz w:val="19"/>
          <w:szCs w:val="19"/>
        </w:rPr>
        <w:t xml:space="preserve">The coupons and the face value, both at 6%</w:t>
      </w:r>
    </w:p>
    <w:p>
      <w:pPr>
        <w:ind w:left="340"/>
        <w:spacing w:after="30"/>
      </w:pPr>
      <w:r>
        <w:rPr>
          <w:color w:val="6B7280"/>
          <w:sz w:val="19"/>
          <w:szCs w:val="19"/>
        </w:rPr>
        <w:t xml:space="preserve">(D)  </w:t>
      </w:r>
      <w:r>
        <w:rPr>
          <w:sz w:val="19"/>
          <w:szCs w:val="19"/>
        </w:rPr>
        <w:t xml:space="preserve">The total cash the bond will pay</w:t>
      </w:r>
    </w:p>
    <w:p>
      <w:pPr>
        <w:spacing w:before="150" w:after="60"/>
      </w:pPr>
      <w:r>
        <w:rPr>
          <w:b/>
          <w:bCs/>
          <w:color w:val="353A7C"/>
          <w:sz w:val="19"/>
          <w:szCs w:val="19"/>
        </w:rPr>
        <w:t xml:space="preserve">3.  [Level A]  </w:t>
      </w:r>
      <w:r>
        <w:rPr>
          <w:b/>
          <w:bCs/>
          <w:sz w:val="19"/>
          <w:szCs w:val="19"/>
        </w:rPr>
        <w:t xml:space="preserve">On the issue of a bond at a discount, bonds payable is credited with:</w:t>
      </w:r>
    </w:p>
    <w:p>
      <w:pPr>
        <w:ind w:left="340"/>
        <w:spacing w:after="30"/>
      </w:pPr>
      <w:r>
        <w:rPr>
          <w:color w:val="6B7280"/>
          <w:sz w:val="19"/>
          <w:szCs w:val="19"/>
        </w:rPr>
        <w:t xml:space="preserve">(A)  </w:t>
      </w:r>
      <w:r>
        <w:rPr>
          <w:sz w:val="19"/>
          <w:szCs w:val="19"/>
        </w:rPr>
        <w:t xml:space="preserve">$920,146</w:t>
      </w:r>
    </w:p>
    <w:p>
      <w:pPr>
        <w:ind w:left="340"/>
        <w:spacing w:after="30"/>
      </w:pPr>
      <w:r>
        <w:rPr>
          <w:color w:val="6B7280"/>
          <w:sz w:val="19"/>
          <w:szCs w:val="19"/>
        </w:rPr>
        <w:t xml:space="preserve">(B)  </w:t>
      </w:r>
      <w:r>
        <w:rPr>
          <w:sz w:val="19"/>
          <w:szCs w:val="19"/>
        </w:rPr>
        <w:t xml:space="preserve">$1,000,000</w:t>
      </w:r>
    </w:p>
    <w:p>
      <w:pPr>
        <w:ind w:left="340"/>
        <w:spacing w:after="30"/>
      </w:pPr>
      <w:r>
        <w:rPr>
          <w:color w:val="6B7280"/>
          <w:sz w:val="19"/>
          <w:szCs w:val="19"/>
        </w:rPr>
        <w:t xml:space="preserve">(C)  </w:t>
      </w:r>
      <w:r>
        <w:rPr>
          <w:sz w:val="19"/>
          <w:szCs w:val="19"/>
        </w:rPr>
        <w:t xml:space="preserve">$79,854</w:t>
      </w:r>
    </w:p>
    <w:p>
      <w:pPr>
        <w:ind w:left="340"/>
        <w:spacing w:after="30"/>
      </w:pPr>
      <w:r>
        <w:rPr>
          <w:color w:val="6B7280"/>
          <w:sz w:val="19"/>
          <w:szCs w:val="19"/>
        </w:rPr>
        <w:t xml:space="preserve">(D)  </w:t>
      </w:r>
      <w:r>
        <w:rPr>
          <w:sz w:val="19"/>
          <w:szCs w:val="19"/>
        </w:rPr>
        <w:t xml:space="preserve">$1,079,854</w:t>
      </w:r>
    </w:p>
    <w:p>
      <w:pPr>
        <w:spacing w:before="150" w:after="60"/>
      </w:pPr>
      <w:r>
        <w:rPr>
          <w:b/>
          <w:bCs/>
          <w:color w:val="353A7C"/>
          <w:sz w:val="19"/>
          <w:szCs w:val="19"/>
        </w:rPr>
        <w:t xml:space="preserve">4.  [Level B]  </w:t>
      </w:r>
      <w:r>
        <w:rPr>
          <w:b/>
          <w:bCs/>
          <w:sz w:val="19"/>
          <w:szCs w:val="19"/>
        </w:rPr>
        <w:t xml:space="preserve">Discount on bonds payable is reported as:</w:t>
      </w:r>
    </w:p>
    <w:p>
      <w:pPr>
        <w:ind w:left="340"/>
        <w:spacing w:after="30"/>
      </w:pPr>
      <w:r>
        <w:rPr>
          <w:color w:val="6B7280"/>
          <w:sz w:val="19"/>
          <w:szCs w:val="19"/>
        </w:rPr>
        <w:t xml:space="preserve">(A)  </w:t>
      </w:r>
      <w:r>
        <w:rPr>
          <w:sz w:val="19"/>
          <w:szCs w:val="19"/>
        </w:rPr>
        <w:t xml:space="preserve">An asset</w:t>
      </w:r>
    </w:p>
    <w:p>
      <w:pPr>
        <w:ind w:left="340"/>
        <w:spacing w:after="30"/>
      </w:pPr>
      <w:r>
        <w:rPr>
          <w:color w:val="6B7280"/>
          <w:sz w:val="19"/>
          <w:szCs w:val="19"/>
        </w:rPr>
        <w:t xml:space="preserve">(B)  </w:t>
      </w:r>
      <w:r>
        <w:rPr>
          <w:sz w:val="19"/>
          <w:szCs w:val="19"/>
        </w:rPr>
        <w:t xml:space="preserve">A deduction from bonds payable</w:t>
      </w:r>
    </w:p>
    <w:p>
      <w:pPr>
        <w:ind w:left="340"/>
        <w:spacing w:after="30"/>
      </w:pPr>
      <w:r>
        <w:rPr>
          <w:color w:val="6B7280"/>
          <w:sz w:val="19"/>
          <w:szCs w:val="19"/>
        </w:rPr>
        <w:t xml:space="preserve">(C)  </w:t>
      </w:r>
      <w:r>
        <w:rPr>
          <w:sz w:val="19"/>
          <w:szCs w:val="19"/>
        </w:rPr>
        <w:t xml:space="preserve">An expense of the period of issue</w:t>
      </w:r>
    </w:p>
    <w:p>
      <w:pPr>
        <w:ind w:left="340"/>
        <w:spacing w:after="30"/>
      </w:pPr>
      <w:r>
        <w:rPr>
          <w:color w:val="6B7280"/>
          <w:sz w:val="19"/>
          <w:szCs w:val="19"/>
        </w:rPr>
        <w:t xml:space="preserve">(D)  </w:t>
      </w:r>
      <w:r>
        <w:rPr>
          <w:sz w:val="19"/>
          <w:szCs w:val="19"/>
        </w:rPr>
        <w:t xml:space="preserve">An addition to equity</w:t>
      </w:r>
    </w:p>
    <w:p>
      <w:pPr>
        <w:spacing w:before="150" w:after="60"/>
      </w:pPr>
      <w:r>
        <w:rPr>
          <w:b/>
          <w:bCs/>
          <w:color w:val="353A7C"/>
          <w:sz w:val="19"/>
          <w:szCs w:val="19"/>
        </w:rPr>
        <w:t xml:space="preserve">5.  [Level C]  </w:t>
      </w:r>
      <w:r>
        <w:rPr>
          <w:b/>
          <w:bCs/>
          <w:sz w:val="19"/>
          <w:szCs w:val="19"/>
        </w:rPr>
        <w:t xml:space="preserve">The same issuer offers a 6% coupon and a 10% coupon on otherwise identical $1,000,000 bonds. Compared with the discount bond, the premium bond:</w:t>
      </w:r>
    </w:p>
    <w:p>
      <w:pPr>
        <w:ind w:left="340"/>
        <w:spacing w:after="30"/>
      </w:pPr>
      <w:r>
        <w:rPr>
          <w:color w:val="6B7280"/>
          <w:sz w:val="19"/>
          <w:szCs w:val="19"/>
        </w:rPr>
        <w:t xml:space="preserve">(A)  </w:t>
      </w:r>
      <w:r>
        <w:rPr>
          <w:sz w:val="19"/>
          <w:szCs w:val="19"/>
        </w:rPr>
        <w:t xml:space="preserve">Repays more at maturity</w:t>
      </w:r>
    </w:p>
    <w:p>
      <w:pPr>
        <w:ind w:left="340"/>
        <w:spacing w:after="30"/>
      </w:pPr>
      <w:r>
        <w:rPr>
          <w:color w:val="6B7280"/>
          <w:sz w:val="19"/>
          <w:szCs w:val="19"/>
        </w:rPr>
        <w:t xml:space="preserve">(B)  </w:t>
      </w:r>
      <w:r>
        <w:rPr>
          <w:sz w:val="19"/>
          <w:szCs w:val="19"/>
        </w:rPr>
        <w:t xml:space="preserve">Raises more at issue and pays more in coupons</w:t>
      </w:r>
    </w:p>
    <w:p>
      <w:pPr>
        <w:ind w:left="340"/>
        <w:spacing w:after="30"/>
      </w:pPr>
      <w:r>
        <w:rPr>
          <w:color w:val="6B7280"/>
          <w:sz w:val="19"/>
          <w:szCs w:val="19"/>
        </w:rPr>
        <w:t xml:space="preserve">(C)  </w:t>
      </w:r>
      <w:r>
        <w:rPr>
          <w:sz w:val="19"/>
          <w:szCs w:val="19"/>
        </w:rPr>
        <w:t xml:space="preserve">Costs the issuer less in total cash</w:t>
      </w:r>
    </w:p>
    <w:p>
      <w:pPr>
        <w:ind w:left="340"/>
        <w:spacing w:after="30"/>
      </w:pPr>
      <w:r>
        <w:rPr>
          <w:color w:val="6B7280"/>
          <w:sz w:val="19"/>
          <w:szCs w:val="19"/>
        </w:rPr>
        <w:t xml:space="preserve">(D)  </w:t>
      </w:r>
      <w:r>
        <w:rPr>
          <w:sz w:val="19"/>
          <w:szCs w:val="19"/>
        </w:rPr>
        <w:t xml:space="preserve">Costs the issuer a higher rate on the money raised</w:t>
      </w:r>
    </w:p>
    <w:p>
      <w:pPr>
        <w:spacing w:before="150" w:after="60"/>
      </w:pPr>
      <w:r>
        <w:rPr>
          <w:b/>
          <w:bCs/>
          <w:color w:val="353A7C"/>
          <w:sz w:val="19"/>
          <w:szCs w:val="19"/>
        </w:rPr>
        <w:t xml:space="preserve">6.  [Level A]  </w:t>
      </w:r>
      <w:r>
        <w:rPr>
          <w:b/>
          <w:bCs/>
          <w:sz w:val="19"/>
          <w:szCs w:val="19"/>
        </w:rPr>
        <w:t xml:space="preserve">A bond is issued at exactly par. This tells you that:</w:t>
      </w:r>
    </w:p>
    <w:p>
      <w:pPr>
        <w:ind w:left="340"/>
        <w:spacing w:after="30"/>
      </w:pPr>
      <w:r>
        <w:rPr>
          <w:color w:val="6B7280"/>
          <w:sz w:val="19"/>
          <w:szCs w:val="19"/>
        </w:rPr>
        <w:t xml:space="preserve">(A)  </w:t>
      </w:r>
      <w:r>
        <w:rPr>
          <w:sz w:val="19"/>
          <w:szCs w:val="19"/>
        </w:rPr>
        <w:t xml:space="preserve">The issuer has no covenants</w:t>
      </w:r>
    </w:p>
    <w:p>
      <w:pPr>
        <w:ind w:left="340"/>
        <w:spacing w:after="30"/>
      </w:pPr>
      <w:r>
        <w:rPr>
          <w:color w:val="6B7280"/>
          <w:sz w:val="19"/>
          <w:szCs w:val="19"/>
        </w:rPr>
        <w:t xml:space="preserve">(B)  </w:t>
      </w:r>
      <w:r>
        <w:rPr>
          <w:sz w:val="19"/>
          <w:szCs w:val="19"/>
        </w:rPr>
        <w:t xml:space="preserve">The coupon rate equals the market rate at issue</w:t>
      </w:r>
    </w:p>
    <w:p>
      <w:pPr>
        <w:ind w:left="340"/>
        <w:spacing w:after="30"/>
      </w:pPr>
      <w:r>
        <w:rPr>
          <w:color w:val="6B7280"/>
          <w:sz w:val="19"/>
          <w:szCs w:val="19"/>
        </w:rPr>
        <w:t xml:space="preserve">(C)  </w:t>
      </w:r>
      <w:r>
        <w:rPr>
          <w:sz w:val="19"/>
          <w:szCs w:val="19"/>
        </w:rPr>
        <w:t xml:space="preserve">The bond is secured</w:t>
      </w:r>
    </w:p>
    <w:p>
      <w:pPr>
        <w:ind w:left="340"/>
        <w:spacing w:after="30"/>
      </w:pPr>
      <w:r>
        <w:rPr>
          <w:color w:val="6B7280"/>
          <w:sz w:val="19"/>
          <w:szCs w:val="19"/>
        </w:rPr>
        <w:t xml:space="preserve">(D)  </w:t>
      </w:r>
      <w:r>
        <w:rPr>
          <w:sz w:val="19"/>
          <w:szCs w:val="19"/>
        </w:rPr>
        <w:t xml:space="preserve">The bond matures in one year</w:t>
      </w:r>
    </w:p>
    <w:p>
      <w:pPr>
        <w:spacing w:before="150" w:after="60"/>
      </w:pPr>
      <w:r>
        <w:rPr>
          <w:b/>
          <w:bCs/>
          <w:color w:val="353A7C"/>
          <w:sz w:val="19"/>
          <w:szCs w:val="19"/>
        </w:rPr>
        <w:t xml:space="preserve">7.  [Level C]  </w:t>
      </w:r>
      <w:r>
        <w:rPr>
          <w:b/>
          <w:bCs/>
          <w:sz w:val="19"/>
          <w:szCs w:val="19"/>
        </w:rPr>
        <w:t xml:space="preserve">The present value of the coupons on the 6% bond comes to $239,563. That figure also appears in this course as:</w:t>
      </w:r>
    </w:p>
    <w:p>
      <w:pPr>
        <w:ind w:left="340"/>
        <w:spacing w:after="30"/>
      </w:pPr>
      <w:r>
        <w:rPr>
          <w:color w:val="6B7280"/>
          <w:sz w:val="19"/>
          <w:szCs w:val="19"/>
        </w:rPr>
        <w:t xml:space="preserve">(A)  </w:t>
      </w:r>
      <w:r>
        <w:rPr>
          <w:sz w:val="19"/>
          <w:szCs w:val="19"/>
        </w:rPr>
        <w:t xml:space="preserve">The premium on the other bond</w:t>
      </w:r>
    </w:p>
    <w:p>
      <w:pPr>
        <w:ind w:left="340"/>
        <w:spacing w:after="30"/>
      </w:pPr>
      <w:r>
        <w:rPr>
          <w:color w:val="6B7280"/>
          <w:sz w:val="19"/>
          <w:szCs w:val="19"/>
        </w:rPr>
        <w:t xml:space="preserve">(B)  </w:t>
      </w:r>
      <w:r>
        <w:rPr>
          <w:sz w:val="19"/>
          <w:szCs w:val="19"/>
        </w:rPr>
        <w:t xml:space="preserve">The present value of Volume 7’s finance lease</w:t>
      </w:r>
    </w:p>
    <w:p>
      <w:pPr>
        <w:ind w:left="340"/>
        <w:spacing w:after="30"/>
      </w:pPr>
      <w:r>
        <w:rPr>
          <w:color w:val="6B7280"/>
          <w:sz w:val="19"/>
          <w:szCs w:val="19"/>
        </w:rPr>
        <w:t xml:space="preserve">(C)  </w:t>
      </w:r>
      <w:r>
        <w:rPr>
          <w:sz w:val="19"/>
          <w:szCs w:val="19"/>
        </w:rPr>
        <w:t xml:space="preserve">The face value of the serial bond</w:t>
      </w:r>
    </w:p>
    <w:p>
      <w:pPr>
        <w:ind w:left="340"/>
        <w:spacing w:after="30"/>
      </w:pPr>
      <w:r>
        <w:rPr>
          <w:color w:val="6B7280"/>
          <w:sz w:val="19"/>
          <w:szCs w:val="19"/>
        </w:rPr>
        <w:t xml:space="preserve">(D)  </w:t>
      </w:r>
      <w:r>
        <w:rPr>
          <w:sz w:val="19"/>
          <w:szCs w:val="19"/>
        </w:rPr>
        <w:t xml:space="preserve">A coincidence with no meaning</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Price every bond in two pieces and label them. Coupons times the annuity factor, face times the single-sum factor, both at the market rate. Then compare the total with the face value: below is a discount, above is a premium, and you never have to remember which way round it goes.</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The Effective Interest Method, Period by Period</w:t>
      </w:r>
    </w:p>
    <w:p>
      <w:pPr>
        <w:spacing w:after="8"/>
      </w:pPr>
      <w:r>
        <w:rPr>
          <w:color w:val="23265A"/>
          <w:sz w:val="22"/>
          <w:szCs w:val="22"/>
        </w:rPr>
        <w:t xml:space="preserve">The 6% bond pays $60,000 in cash and costs $73,612 in its first year. The gap is the discount, arriving one year at a time.</w:t>
      </w:r>
    </w:p>
    <w:p>
      <w:pPr>
        <w:spacing w:after="130"/>
      </w:pPr>
      <w:r>
        <w:rPr>
          <w:color w:val="6B7280"/>
          <w:sz w:val="20"/>
          <w:szCs w:val="20"/>
        </w:rPr>
        <w:t xml:space="preserve">Volume 14 · Long-Term Debt and Contingent Liabilities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throughout, with the exam’s own contrast between the two methods at R3.</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amortise a discount to interest expense · apply the effective rate to the carrying amount · accrete a carrying amount toward par · spread a premium over the term · reduce interest expense below the coupon · close a schedule on the face value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cash coupon / interest expense · effective interest / straight-line · accretion / amortisation · discount bond / premium bond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Amortising a discount is not repaying it. No cash moves, and the carrying amount rises.  The effective interest method is not an approximation of the straight-line one. It is the exact method, and straight-line is the shortcut.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Build an effective interest schedule for a bond issued at a discount.</w:t>
      </w:r>
    </w:p>
    <w:p>
      <w:pPr>
        <w:pStyle w:val="ListParagraph"/>
        <w:numPr>
          <w:ilvl w:val="0"/>
          <w:numId w:val="1"/>
        </w:numPr>
        <w:spacing w:after="24"/>
      </w:pPr>
      <w:r>
        <w:rPr>
          <w:sz w:val="20"/>
          <w:szCs w:val="20"/>
        </w:rPr>
        <w:t xml:space="preserve">Build the same schedule for a bond issued at a premium.</w:t>
      </w:r>
    </w:p>
    <w:p>
      <w:pPr>
        <w:pStyle w:val="ListParagraph"/>
        <w:numPr>
          <w:ilvl w:val="0"/>
          <w:numId w:val="1"/>
        </w:numPr>
        <w:spacing w:after="24"/>
      </w:pPr>
      <w:r>
        <w:rPr>
          <w:sz w:val="20"/>
          <w:szCs w:val="20"/>
        </w:rPr>
        <w:t xml:space="preserve">Say why interest expense differs from the cash coupon.</w:t>
      </w:r>
    </w:p>
    <w:p>
      <w:pPr>
        <w:pStyle w:val="ListParagraph"/>
        <w:numPr>
          <w:ilvl w:val="0"/>
          <w:numId w:val="1"/>
        </w:numPr>
        <w:spacing w:after="24"/>
      </w:pPr>
      <w:r>
        <w:rPr>
          <w:sz w:val="20"/>
          <w:szCs w:val="20"/>
        </w:rPr>
        <w:t xml:space="preserve">Record a year’s interest on each bond.</w:t>
      </w:r>
    </w:p>
    <w:p>
      <w:pPr>
        <w:pStyle w:val="ListParagraph"/>
        <w:numPr>
          <w:ilvl w:val="0"/>
          <w:numId w:val="1"/>
        </w:numPr>
        <w:spacing w:after="24"/>
      </w:pPr>
      <w:r>
        <w:rPr>
          <w:sz w:val="20"/>
          <w:szCs w:val="20"/>
        </w:rPr>
        <w:t xml:space="preserve">Compare the effective interest method with straight-line.</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cash and the cost are not the same number</w:t>
            </w:r>
          </w:p>
          <w:p>
            <w:pPr>
              <w:spacing w:after="80" w:line="290" w:lineRule="auto"/>
            </w:pPr>
            <w:r>
              <w:rPr>
                <w:sz w:val="21"/>
                <w:szCs w:val="21"/>
              </w:rPr>
              <w:t xml:space="preserve">Handout 2 issued a $1,000,000 bond with a 6% coupon for $920,146, because the market wanted 8%.</w:t>
            </w:r>
          </w:p>
          <w:p>
            <w:pPr>
              <w:spacing w:after="80" w:line="290" w:lineRule="auto"/>
            </w:pPr>
            <w:r>
              <w:rPr>
                <w:sz w:val="21"/>
                <w:szCs w:val="21"/>
              </w:rPr>
              <w:t xml:space="preserve">In cash that bond pays $60,000 a year. But Northwind borrowed $920,146 and owes $1,000,000, so $79,854 of interest is being paid at the end rather than along the way.</w:t>
            </w:r>
          </w:p>
          <w:p>
            <w:pPr>
              <w:spacing w:after="80" w:line="290" w:lineRule="auto"/>
            </w:pPr>
            <w:r>
              <w:rPr>
                <w:sz w:val="21"/>
                <w:szCs w:val="21"/>
              </w:rPr>
              <w:t xml:space="preserve">The accounts charge what the borrowing really costs: 8% of the carrying amount each year, which in year one is $73,612.</w:t>
            </w:r>
          </w:p>
          <w:p>
            <w:pPr>
              <w:spacing w:after="80" w:line="290" w:lineRule="auto"/>
            </w:pPr>
            <w:r>
              <w:rPr>
                <w:sz w:val="21"/>
                <w:szCs w:val="21"/>
              </w:rPr>
              <w:t xml:space="preserve">That is the effective interest method, and it is the schedule Volume 7 built for a lease liability. The same arithmetic, on a different contract.</w:t>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1 · Why the two figures differ</w:t>
      </w:r>
      <w:r>
        <w:rPr>
          <w:b/>
          <w:bCs/>
          <w:color w:val="FFFFFF"/>
          <w:sz w:val="16"/>
          <w:szCs w:val="16"/>
        </w:rPr>
        <w:t xml:space="preserve">    borrowed less, owe more</w:t>
      </w:r>
    </w:p>
    <w:p>
      <w:pPr>
        <w:spacing w:before="230" w:after="80"/>
        <w:pBdr>
          <w:top w:val="single" w:sz="12" w:space="7" w:color="353A7C"/>
        </w:pBdr>
      </w:pPr>
      <w:r>
        <w:rPr>
          <w:b/>
          <w:bCs/>
          <w:color w:val="353A7C"/>
          <w:sz w:val="22"/>
          <w:szCs w:val="22"/>
        </w:rPr>
        <w:t xml:space="preserve">Exercise 3A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interest expense differs from the cash coupon.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Exercise 2A, on what a discount represents. · Volume 7 Handout 6, on how a lease liability unwinds.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 received $920,146 and will repay $1,000,000. Ask which of those two figures the interest should be charged on.</w:t>
            </w:r>
          </w:p>
          <w:p>
            <w:pPr>
              <w:spacing w:after="30"/>
            </w:pPr>
            <w:r>
              <w:rPr>
                <w:color w:val="353A7C"/>
                <w:sz w:val="18"/>
                <w:szCs w:val="18"/>
              </w:rPr>
              <w:t xml:space="preserve">•  </w:t>
            </w:r>
            <w:r>
              <w:rPr>
                <w:sz w:val="18"/>
                <w:szCs w:val="18"/>
              </w:rPr>
              <w:t xml:space="preserve">The coupon is 6% of the face value. The effective charge is 8% of something smaller.</w:t>
            </w:r>
          </w:p>
          <w:p>
            <w:pPr>
              <w:spacing w:after="30"/>
            </w:pPr>
            <w:r>
              <w:rPr>
                <w:color w:val="353A7C"/>
                <w:sz w:val="18"/>
                <w:szCs w:val="18"/>
              </w:rPr>
              <w:t xml:space="preserve">•  </w:t>
            </w:r>
            <w:r>
              <w:rPr>
                <w:sz w:val="18"/>
                <w:szCs w:val="18"/>
              </w:rPr>
              <w:t xml:space="preserve">The last blank is the direction the carrying amount moves on a discount bond, and it is not down.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$1,000,000</w:t>
            </w:r>
            <w:r>
              <w:rPr>
                <w:b/>
                <w:bCs/>
                <w:color w:val="8186EF"/>
                <w:sz w:val="20"/>
                <w:szCs w:val="20"/>
              </w:rPr>
              <w:t xml:space="preserve">   ·   </w:t>
            </w:r>
            <w:r>
              <w:rPr>
                <w:b/>
                <w:bCs/>
                <w:sz w:val="20"/>
                <w:szCs w:val="20"/>
              </w:rPr>
              <w:t xml:space="preserve">carrying</w:t>
            </w:r>
            <w:r>
              <w:rPr>
                <w:b/>
                <w:bCs/>
                <w:color w:val="8186EF"/>
                <w:sz w:val="20"/>
                <w:szCs w:val="20"/>
              </w:rPr>
              <w:t xml:space="preserve">   ·   </w:t>
            </w:r>
            <w:r>
              <w:rPr>
                <w:b/>
                <w:bCs/>
                <w:sz w:val="20"/>
                <w:szCs w:val="20"/>
              </w:rPr>
              <w:t xml:space="preserve">face</w:t>
            </w:r>
            <w:r>
              <w:rPr>
                <w:b/>
                <w:bCs/>
                <w:color w:val="8186EF"/>
                <w:sz w:val="20"/>
                <w:szCs w:val="20"/>
              </w:rPr>
              <w:t xml:space="preserve">   ·   </w:t>
            </w:r>
            <w:r>
              <w:rPr>
                <w:b/>
                <w:bCs/>
                <w:sz w:val="20"/>
                <w:szCs w:val="20"/>
              </w:rPr>
              <w:t xml:space="preserve">falls</w:t>
            </w:r>
            <w:r>
              <w:rPr>
                <w:b/>
                <w:bCs/>
                <w:color w:val="8186EF"/>
                <w:sz w:val="20"/>
                <w:szCs w:val="20"/>
              </w:rPr>
              <w:t xml:space="preserve">   ·   </w:t>
            </w:r>
            <w:r>
              <w:rPr>
                <w:b/>
                <w:bCs/>
                <w:sz w:val="20"/>
                <w:szCs w:val="20"/>
              </w:rPr>
              <w:t xml:space="preserve">incurred</w:t>
            </w:r>
            <w:r>
              <w:rPr>
                <w:b/>
                <w:bCs/>
                <w:color w:val="8186EF"/>
                <w:sz w:val="20"/>
                <w:szCs w:val="20"/>
              </w:rPr>
              <w:t xml:space="preserve">   ·   </w:t>
            </w:r>
            <w:r>
              <w:rPr>
                <w:b/>
                <w:bCs/>
                <w:sz w:val="20"/>
                <w:szCs w:val="20"/>
              </w:rPr>
              <w:t xml:space="preserve">paid</w:t>
            </w:r>
            <w:r>
              <w:rPr>
                <w:b/>
                <w:bCs/>
                <w:color w:val="8186EF"/>
                <w:sz w:val="20"/>
                <w:szCs w:val="20"/>
              </w:rPr>
              <w:t xml:space="preserve">   ·   </w:t>
            </w:r>
            <w:r>
              <w:rPr>
                <w:b/>
                <w:bCs/>
                <w:sz w:val="20"/>
                <w:szCs w:val="20"/>
              </w:rPr>
              <w:t xml:space="preserve">rises</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 received $920,146, not $1,000,000. Interest should therefore be charged on the $920,146 it actually has the use of, which is the </w:t>
      </w:r>
      <w:r>
        <w:rPr>
          <w:vertAlign w:val="superscript"/>
          <w:color w:val="353A7C"/>
          <w:b/>
          <w:sz w:val="16"/>
        </w:rPr>
        <w:t>1</w:t>
      </w:r>
      <w:r>
        <w:rPr>
          <w:u w:val="single"/>
          <w:sz w:val="21"/>
          <w:szCs w:val="21"/>
        </w:rPr>
        <w:t xml:space="preserve">               </w:t>
      </w:r>
      <w:r>
        <w:rPr>
          <w:sz w:val="21"/>
          <w:szCs w:val="21"/>
        </w:rPr>
        <w:t xml:space="preserve"> amount.</w:t>
      </w:r>
    </w:p>
    <w:p>
      <w:pPr>
        <w:spacing w:before="40" w:after="110" w:line="300" w:lineRule="auto"/>
      </w:pPr>
      <w:r>
        <w:rPr>
          <w:sz w:val="21"/>
          <w:szCs w:val="21"/>
        </w:rPr>
        <w:t xml:space="preserve">8% of $920,146 is $73,612, and the cash coupon is only $60,000. The $13,612 difference is interest the company has incurred and not yet </w:t>
      </w:r>
      <w:r>
        <w:rPr>
          <w:vertAlign w:val="superscript"/>
          <w:color w:val="353A7C"/>
          <w:b/>
          <w:sz w:val="16"/>
        </w:rPr>
        <w:t>2</w:t>
      </w:r>
      <w:r>
        <w:rPr>
          <w:u w:val="single"/>
          <w:sz w:val="21"/>
          <w:szCs w:val="21"/>
        </w:rPr>
        <w:t xml:space="preserve">         </w:t>
      </w:r>
      <w:r>
        <w:rPr>
          <w:sz w:val="21"/>
          <w:szCs w:val="21"/>
        </w:rPr>
        <w:t xml:space="preserve">.</w:t>
      </w:r>
    </w:p>
    <w:p>
      <w:pPr>
        <w:spacing w:before="40" w:after="110" w:line="300" w:lineRule="auto"/>
      </w:pPr>
      <w:r>
        <w:rPr>
          <w:sz w:val="21"/>
          <w:szCs w:val="21"/>
        </w:rPr>
        <w:t xml:space="preserve">It is not paid because it is not due until maturity, when $1,000,000 rather than $920,146 is handed back. So the unpaid part is added to the liability, and the carrying amount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Each year it rises a little further, and by the end of year five it has reached exactly </w:t>
      </w:r>
      <w:r>
        <w:rPr>
          <w:vertAlign w:val="superscript"/>
          <w:color w:val="353A7C"/>
          <w:b/>
          <w:sz w:val="16"/>
        </w:rPr>
        <w:t>4</w:t>
      </w:r>
      <w:r>
        <w:rPr>
          <w:u w:val="single"/>
          <w:sz w:val="21"/>
          <w:szCs w:val="21"/>
        </w:rPr>
        <w:t xml:space="preserve">                  </w:t>
      </w:r>
      <w:r>
        <w:rPr>
          <w:sz w:val="21"/>
          <w:szCs w:val="21"/>
        </w:rPr>
        <w:t xml:space="preserve">. That is the check on the whole schedule.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2 · The discount bond, year by year</w:t>
      </w:r>
      <w:r>
        <w:rPr>
          <w:b/>
          <w:bCs/>
          <w:color w:val="FFFFFF"/>
          <w:sz w:val="16"/>
          <w:szCs w:val="16"/>
        </w:rPr>
        <w:t xml:space="preserve">    the schedule, built</w:t>
      </w:r>
    </w:p>
    <w:p>
      <w:pPr>
        <w:spacing w:before="230" w:after="80"/>
        <w:pBdr>
          <w:top w:val="single" w:sz="12" w:space="7" w:color="353A7C"/>
        </w:pBdr>
      </w:pPr>
      <w:r>
        <w:rPr>
          <w:b/>
          <w:bCs/>
          <w:color w:val="353A7C"/>
          <w:sz w:val="22"/>
          <w:szCs w:val="22"/>
        </w:rPr>
        <w:t xml:space="preserve">Exercise 3B   </w:t>
      </w:r>
      <w:r>
        <w:rPr>
          <w:b/>
          <w:bCs/>
          <w:sz w:val="21"/>
          <w:szCs w:val="21"/>
        </w:rPr>
        <w:t xml:space="preserve">Complete the table. Each closing balance is the next opening balance.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the effective interest schedule for the discount bond.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 and Handout 2 for the $920,146 issue price.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Interest is 8% of the opening carrying amount, not of the $1,000,000 face value.</w:t>
            </w:r>
          </w:p>
          <w:p>
            <w:pPr>
              <w:spacing w:after="30"/>
            </w:pPr>
            <w:r>
              <w:rPr>
                <w:color w:val="353A7C"/>
                <w:sz w:val="18"/>
                <w:szCs w:val="18"/>
              </w:rPr>
              <w:t xml:space="preserve">•  </w:t>
            </w:r>
            <w:r>
              <w:rPr>
                <w:sz w:val="18"/>
                <w:szCs w:val="18"/>
              </w:rPr>
              <w:t xml:space="preserve">The coupon column is $60,000 in every year. Only the interest column moves.</w:t>
            </w:r>
          </w:p>
          <w:p>
            <w:pPr>
              <w:spacing w:after="30"/>
            </w:pPr>
            <w:r>
              <w:rPr>
                <w:color w:val="353A7C"/>
                <w:sz w:val="18"/>
                <w:szCs w:val="18"/>
              </w:rPr>
              <w:t xml:space="preserve">•  </w:t>
            </w:r>
            <w:r>
              <w:rPr>
                <w:sz w:val="18"/>
                <w:szCs w:val="18"/>
              </w:rPr>
              <w:t xml:space="preserve">The amortisation is the interest less the coupon, and it is added to the carrying amount. Year five must close on $1,000,000.</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8"/>
        <w:gridCol w:w="20"/>
        <w:gridCol w:w="20"/>
        <w:gridCol w:w="18"/>
        <w:gridCol w:w="16"/>
        <w:gridCol w:w="18"/>
      </w:tblGrid>
      <w:tr>
        <w:tc>
          <w:tcPr>
            <w:shd w:fill="6D3F7E" w:val="clear"/>
            <w:tcMar>
              <w:top w:type="dxa" w:w="60"/>
              <w:left w:type="dxa" w:w="120"/>
              <w:bottom w:type="dxa" w:w="60"/>
              <w:right w:type="dxa" w:w="120"/>
            </w:tcMar>
          </w:tcPr>
          <w:p>
            <w:r>
              <w:rPr>
                <w:b/>
                <w:bCs/>
                <w:color w:val="FFFFFF"/>
                <w:sz w:val="19"/>
                <w:szCs w:val="19"/>
              </w:rPr>
              <w:t xml:space="preserve">Year</w:t>
            </w:r>
          </w:p>
        </w:tc>
        <w:tc>
          <w:tcPr>
            <w:shd w:fill="6D3F7E" w:val="clear"/>
            <w:tcMar>
              <w:top w:type="dxa" w:w="60"/>
              <w:left w:type="dxa" w:w="120"/>
              <w:bottom w:type="dxa" w:w="60"/>
              <w:right w:type="dxa" w:w="120"/>
            </w:tcMar>
          </w:tcPr>
          <w:p>
            <w:r>
              <w:rPr>
                <w:b/>
                <w:bCs/>
                <w:color w:val="FFFFFF"/>
                <w:sz w:val="19"/>
                <w:szCs w:val="19"/>
              </w:rPr>
              <w:t xml:space="preserve">Opening</w:t>
            </w:r>
          </w:p>
        </w:tc>
        <w:tc>
          <w:tcPr>
            <w:shd w:fill="6D3F7E" w:val="clear"/>
            <w:tcMar>
              <w:top w:type="dxa" w:w="60"/>
              <w:left w:type="dxa" w:w="120"/>
              <w:bottom w:type="dxa" w:w="60"/>
              <w:right w:type="dxa" w:w="120"/>
            </w:tcMar>
          </w:tcPr>
          <w:p>
            <w:r>
              <w:rPr>
                <w:b/>
                <w:bCs/>
                <w:color w:val="FFFFFF"/>
                <w:sz w:val="19"/>
                <w:szCs w:val="19"/>
              </w:rPr>
              <w:t xml:space="preserve">Interest at 8%</w:t>
            </w:r>
          </w:p>
        </w:tc>
        <w:tc>
          <w:tcPr>
            <w:shd w:fill="6D3F7E" w:val="clear"/>
            <w:tcMar>
              <w:top w:type="dxa" w:w="60"/>
              <w:left w:type="dxa" w:w="120"/>
              <w:bottom w:type="dxa" w:w="60"/>
              <w:right w:type="dxa" w:w="120"/>
            </w:tcMar>
          </w:tcPr>
          <w:p>
            <w:r>
              <w:rPr>
                <w:b/>
                <w:bCs/>
                <w:color w:val="FFFFFF"/>
                <w:sz w:val="19"/>
                <w:szCs w:val="19"/>
              </w:rPr>
              <w:t xml:space="preserve">Coupon paid</w:t>
            </w:r>
          </w:p>
        </w:tc>
        <w:tc>
          <w:tcPr>
            <w:shd w:fill="6D3F7E" w:val="clear"/>
            <w:tcMar>
              <w:top w:type="dxa" w:w="60"/>
              <w:left w:type="dxa" w:w="120"/>
              <w:bottom w:type="dxa" w:w="60"/>
              <w:right w:type="dxa" w:w="120"/>
            </w:tcMar>
          </w:tcPr>
          <w:p>
            <w:r>
              <w:rPr>
                <w:b/>
                <w:bCs/>
                <w:color w:val="FFFFFF"/>
                <w:sz w:val="19"/>
                <w:szCs w:val="19"/>
              </w:rPr>
              <w:t xml:space="preserve">Amortised</w:t>
            </w:r>
          </w:p>
        </w:tc>
        <w:tc>
          <w:tcPr>
            <w:shd w:fill="6D3F7E" w:val="clear"/>
            <w:tcMar>
              <w:top w:type="dxa" w:w="60"/>
              <w:left w:type="dxa" w:w="120"/>
              <w:bottom w:type="dxa" w:w="60"/>
              <w:right w:type="dxa" w:w="120"/>
            </w:tcMar>
          </w:tcPr>
          <w:p>
            <w:r>
              <w:rPr>
                <w:b/>
                <w:bCs/>
                <w:color w:val="FFFFFF"/>
                <w:sz w:val="19"/>
                <w:szCs w:val="19"/>
              </w:rPr>
              <w:t xml:space="preserve">Closing</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$920,146</w:t>
            </w:r>
          </w:p>
        </w:tc>
        <w:tc>
          <w:tcPr>
            <w:tcMar>
              <w:top w:type="dxa" w:w="60"/>
              <w:left w:type="dxa" w:w="120"/>
              <w:bottom w:type="dxa" w:w="60"/>
              <w:right w:type="dxa" w:w="120"/>
            </w:tcMar>
          </w:tcPr>
          <w:p>
            <w:r>
              <w:rPr>
                <w:sz w:val="19"/>
                <w:szCs w:val="19"/>
              </w:rPr>
              <w:t xml:space="preserve">$73,612</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$13,612</w:t>
            </w:r>
          </w:p>
        </w:tc>
        <w:tc>
          <w:tcPr>
            <w:tcMar>
              <w:top w:type="dxa" w:w="60"/>
              <w:left w:type="dxa" w:w="120"/>
              <w:bottom w:type="dxa" w:w="60"/>
              <w:right w:type="dxa" w:w="120"/>
            </w:tcMar>
          </w:tcPr>
          <w:p>
            <w:r>
              <w:rPr>
                <w:sz w:val="19"/>
                <w:szCs w:val="19"/>
              </w:rPr>
              <w:t xml:space="preserve">$933,758</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16</w:t>
            </w:r>
          </w:p>
          <w:p>
            <w:r>
              <w:rPr>
                <w:sz w:val="24"/>
                <w:szCs w:val="24"/>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3 · The premium bond, the other way</w:t>
      </w:r>
      <w:r>
        <w:rPr>
          <w:b/>
          <w:bCs/>
          <w:color w:val="FFFFFF"/>
          <w:sz w:val="16"/>
          <w:szCs w:val="16"/>
        </w:rPr>
        <w:t xml:space="preserve">    the same method, mirrored</w:t>
      </w:r>
    </w:p>
    <w:p>
      <w:pPr>
        <w:spacing w:before="230" w:after="80"/>
        <w:pBdr>
          <w:top w:val="single" w:sz="12" w:space="7" w:color="353A7C"/>
        </w:pBdr>
      </w:pPr>
      <w:r>
        <w:rPr>
          <w:b/>
          <w:bCs/>
          <w:color w:val="353A7C"/>
          <w:sz w:val="22"/>
          <w:szCs w:val="22"/>
        </w:rPr>
        <w:t xml:space="preserve">Exercise 3C   </w:t>
      </w:r>
      <w:r>
        <w:rPr>
          <w:b/>
          <w:bCs/>
          <w:sz w:val="21"/>
          <w:szCs w:val="21"/>
        </w:rPr>
        <w:t xml:space="preserve">Complete the table, then record the two entries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the schedule for the premium bond and record a year of each.</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method does not change. Interest is still 8% of the opening carrying amount.</w:t>
            </w:r>
          </w:p>
          <w:p>
            <w:pPr>
              <w:spacing w:after="30"/>
            </w:pPr>
            <w:r>
              <w:rPr>
                <w:color w:val="353A7C"/>
                <w:sz w:val="18"/>
                <w:szCs w:val="18"/>
              </w:rPr>
              <w:t xml:space="preserve">•  </w:t>
            </w:r>
            <w:r>
              <w:rPr>
                <w:sz w:val="18"/>
                <w:szCs w:val="18"/>
              </w:rPr>
              <w:t xml:space="preserve">Here the coupon of $100,000 exceeds the interest, so the difference is subtracted from the carrying amount rather than added.</w:t>
            </w:r>
          </w:p>
          <w:p>
            <w:pPr>
              <w:spacing w:after="30"/>
            </w:pPr>
            <w:r>
              <w:rPr>
                <w:color w:val="353A7C"/>
                <w:sz w:val="18"/>
                <w:szCs w:val="18"/>
              </w:rPr>
              <w:t xml:space="preserve">•  </w:t>
            </w:r>
            <w:r>
              <w:rPr>
                <w:sz w:val="18"/>
                <w:szCs w:val="18"/>
              </w:rPr>
              <w:t xml:space="preserve">Compare your amortisation column with Exercise 3B’s: the figures should be identical with the opposite sign.</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8"/>
        <w:gridCol w:w="20"/>
        <w:gridCol w:w="20"/>
        <w:gridCol w:w="18"/>
        <w:gridCol w:w="16"/>
        <w:gridCol w:w="18"/>
      </w:tblGrid>
      <w:tr>
        <w:tc>
          <w:tcPr>
            <w:shd w:fill="1F6F8F" w:val="clear"/>
            <w:tcMar>
              <w:top w:type="dxa" w:w="60"/>
              <w:left w:type="dxa" w:w="120"/>
              <w:bottom w:type="dxa" w:w="60"/>
              <w:right w:type="dxa" w:w="120"/>
            </w:tcMar>
          </w:tcPr>
          <w:p>
            <w:r>
              <w:rPr>
                <w:b/>
                <w:bCs/>
                <w:color w:val="FFFFFF"/>
                <w:sz w:val="19"/>
                <w:szCs w:val="19"/>
              </w:rPr>
              <w:t xml:space="preserve">Year</w:t>
            </w:r>
          </w:p>
        </w:tc>
        <w:tc>
          <w:tcPr>
            <w:shd w:fill="1F6F8F" w:val="clear"/>
            <w:tcMar>
              <w:top w:type="dxa" w:w="60"/>
              <w:left w:type="dxa" w:w="120"/>
              <w:bottom w:type="dxa" w:w="60"/>
              <w:right w:type="dxa" w:w="120"/>
            </w:tcMar>
          </w:tcPr>
          <w:p>
            <w:r>
              <w:rPr>
                <w:b/>
                <w:bCs/>
                <w:color w:val="FFFFFF"/>
                <w:sz w:val="19"/>
                <w:szCs w:val="19"/>
              </w:rPr>
              <w:t xml:space="preserve">Opening</w:t>
            </w:r>
          </w:p>
        </w:tc>
        <w:tc>
          <w:tcPr>
            <w:shd w:fill="1F6F8F" w:val="clear"/>
            <w:tcMar>
              <w:top w:type="dxa" w:w="60"/>
              <w:left w:type="dxa" w:w="120"/>
              <w:bottom w:type="dxa" w:w="60"/>
              <w:right w:type="dxa" w:w="120"/>
            </w:tcMar>
          </w:tcPr>
          <w:p>
            <w:r>
              <w:rPr>
                <w:b/>
                <w:bCs/>
                <w:color w:val="FFFFFF"/>
                <w:sz w:val="19"/>
                <w:szCs w:val="19"/>
              </w:rPr>
              <w:t xml:space="preserve">Interest at 8%</w:t>
            </w:r>
          </w:p>
        </w:tc>
        <w:tc>
          <w:tcPr>
            <w:shd w:fill="1F6F8F" w:val="clear"/>
            <w:tcMar>
              <w:top w:type="dxa" w:w="60"/>
              <w:left w:type="dxa" w:w="120"/>
              <w:bottom w:type="dxa" w:w="60"/>
              <w:right w:type="dxa" w:w="120"/>
            </w:tcMar>
          </w:tcPr>
          <w:p>
            <w:r>
              <w:rPr>
                <w:b/>
                <w:bCs/>
                <w:color w:val="FFFFFF"/>
                <w:sz w:val="19"/>
                <w:szCs w:val="19"/>
              </w:rPr>
              <w:t xml:space="preserve">Coupon paid</w:t>
            </w:r>
          </w:p>
        </w:tc>
        <w:tc>
          <w:tcPr>
            <w:shd w:fill="1F6F8F" w:val="clear"/>
            <w:tcMar>
              <w:top w:type="dxa" w:w="60"/>
              <w:left w:type="dxa" w:w="120"/>
              <w:bottom w:type="dxa" w:w="60"/>
              <w:right w:type="dxa" w:w="120"/>
            </w:tcMar>
          </w:tcPr>
          <w:p>
            <w:r>
              <w:rPr>
                <w:b/>
                <w:bCs/>
                <w:color w:val="FFFFFF"/>
                <w:sz w:val="19"/>
                <w:szCs w:val="19"/>
              </w:rPr>
              <w:t xml:space="preserve">Amortised</w:t>
            </w:r>
          </w:p>
        </w:tc>
        <w:tc>
          <w:tcPr>
            <w:shd w:fill="1F6F8F" w:val="clear"/>
            <w:tcMar>
              <w:top w:type="dxa" w:w="60"/>
              <w:left w:type="dxa" w:w="120"/>
              <w:bottom w:type="dxa" w:w="60"/>
              <w:right w:type="dxa" w:w="120"/>
            </w:tcMar>
          </w:tcPr>
          <w:p>
            <w:r>
              <w:rPr>
                <w:b/>
                <w:bCs/>
                <w:color w:val="FFFFFF"/>
                <w:sz w:val="19"/>
                <w:szCs w:val="19"/>
              </w:rPr>
              <w:t xml:space="preserve">Closing</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$1,079,854</w:t>
            </w:r>
          </w:p>
        </w:tc>
        <w:tc>
          <w:tcPr>
            <w:tcMar>
              <w:top w:type="dxa" w:w="60"/>
              <w:left w:type="dxa" w:w="120"/>
              <w:bottom w:type="dxa" w:w="60"/>
              <w:right w:type="dxa" w:w="120"/>
            </w:tcMar>
          </w:tcPr>
          <w:p>
            <w:r>
              <w:rPr>
                <w:sz w:val="19"/>
                <w:szCs w:val="19"/>
              </w:rPr>
              <w:t xml:space="preserve">$86,388</w:t>
            </w:r>
          </w:p>
        </w:tc>
        <w:tc>
          <w:tcPr>
            <w:tcMar>
              <w:top w:type="dxa" w:w="60"/>
              <w:left w:type="dxa" w:w="120"/>
              <w:bottom w:type="dxa" w:w="60"/>
              <w:right w:type="dxa" w:w="120"/>
            </w:tcMar>
          </w:tcPr>
          <w:p>
            <w:r>
              <w:rPr>
                <w:sz w:val="19"/>
                <w:szCs w:val="19"/>
              </w:rPr>
              <w:t xml:space="preserve">$100,000</w:t>
            </w:r>
          </w:p>
        </w:tc>
        <w:tc>
          <w:tcPr>
            <w:tcMar>
              <w:top w:type="dxa" w:w="60"/>
              <w:left w:type="dxa" w:w="120"/>
              <w:bottom w:type="dxa" w:w="60"/>
              <w:right w:type="dxa" w:w="120"/>
            </w:tcMar>
          </w:tcPr>
          <w:p>
            <w:r>
              <w:rPr>
                <w:sz w:val="19"/>
                <w:szCs w:val="19"/>
              </w:rPr>
              <w:t xml:space="preserve">($13,612)</w:t>
            </w:r>
          </w:p>
        </w:tc>
        <w:tc>
          <w:tcPr>
            <w:tcMar>
              <w:top w:type="dxa" w:w="60"/>
              <w:left w:type="dxa" w:w="120"/>
              <w:bottom w:type="dxa" w:w="60"/>
              <w:right w:type="dxa" w:w="120"/>
            </w:tcMar>
          </w:tcPr>
          <w:p>
            <w:r>
              <w:rPr>
                <w:sz w:val="19"/>
                <w:szCs w:val="19"/>
              </w:rPr>
              <w:t xml:space="preserve">$1,066,242</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$100,000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$100,000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$100,000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$100,000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16</w:t>
            </w:r>
          </w:p>
          <w:p>
            <w:r>
              <w:rPr>
                <w:sz w:val="24"/>
                <w:szCs w:val="24"/>
              </w:rPr>
              <w:t xml:space="preserve"> </w:t>
            </w:r>
          </w:p>
        </w:tc>
      </w:tr>
    </w:tbl>
    <w:p/>
    <w:p>
      <w:pPr>
        <w:spacing w:before="140" w:after="60"/>
      </w:pPr>
      <w:r>
        <w:rPr>
          <w:b/>
          <w:bCs/>
          <w:color w:val="353A7C"/>
          <w:sz w:val="19"/>
          <w:szCs w:val="19"/>
        </w:rPr>
        <w:t xml:space="preserve">J1  </w:t>
      </w:r>
      <w:r>
        <w:rPr>
          <w:color w:val="6B7280"/>
          <w:sz w:val="19"/>
          <w:szCs w:val="19"/>
        </w:rPr>
        <w:t xml:space="preserve">Year one interest on the discount bond: $73,612 charged, $60,000 paid in cash.</w:t>
      </w:r>
      <w:r>
        <w:rPr>
          <w:b/>
          <w:bCs/>
          <w:color w:val="C9762E"/>
          <w:sz w:val="19"/>
          <w:szCs w:val="19"/>
        </w:rPr>
        <w:t xml:space="preserve">  Three lines, and the third moves no cash at all.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Interest Expense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Discount on 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J2  </w:t>
      </w:r>
      <w:r>
        <w:rPr>
          <w:color w:val="6B7280"/>
          <w:sz w:val="19"/>
          <w:szCs w:val="19"/>
        </w:rPr>
        <w:t xml:space="preserve">Year one interest on the premium bond: $86,388 charged, $100,000 paid in cash.</w:t>
      </w:r>
      <w:r>
        <w:rPr>
          <w:b/>
          <w:bCs/>
          <w:color w:val="C9762E"/>
          <w:sz w:val="19"/>
          <w:szCs w:val="19"/>
        </w:rPr>
        <w:t xml:space="preserve">  Here the premium account is debited, and the expense is below the cash.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Interest Expense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Premium on 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4 · The shortcut, and when it is allowed</w:t>
      </w:r>
      <w:r>
        <w:rPr>
          <w:b/>
          <w:bCs/>
          <w:color w:val="FFFFFF"/>
          <w:sz w:val="16"/>
          <w:szCs w:val="16"/>
        </w:rPr>
        <w:t xml:space="preserve">    straight-line against effective interest</w:t>
      </w:r>
    </w:p>
    <w:p>
      <w:pPr>
        <w:spacing w:before="230" w:after="80"/>
        <w:pBdr>
          <w:top w:val="single" w:sz="12" w:space="7" w:color="353A7C"/>
        </w:pBdr>
      </w:pPr>
      <w:r>
        <w:rPr>
          <w:b/>
          <w:bCs/>
          <w:color w:val="353A7C"/>
          <w:sz w:val="22"/>
          <w:szCs w:val="22"/>
        </w:rPr>
        <w:t xml:space="preserve">Exercise 3D   </w:t>
      </w:r>
      <w:r>
        <w:rPr>
          <w:b/>
          <w:bCs/>
          <w:sz w:val="21"/>
          <w:szCs w:val="21"/>
        </w:rPr>
        <w:t xml:space="preserve">Complete the grid. The totals row is the one that agrees.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Compare the effective interest method with straight-line amortisation.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3B and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Straight-line divides the $79,854 discount by the 5 years, giving the same figure every year.</w:t>
            </w:r>
          </w:p>
          <w:p>
            <w:pPr>
              <w:spacing w:after="30"/>
            </w:pPr>
            <w:r>
              <w:rPr>
                <w:color w:val="353A7C"/>
                <w:sz w:val="18"/>
                <w:szCs w:val="18"/>
              </w:rPr>
              <w:t xml:space="preserve">•  </w:t>
            </w:r>
            <w:r>
              <w:rPr>
                <w:sz w:val="18"/>
                <w:szCs w:val="18"/>
              </w:rPr>
              <w:t xml:space="preserve">The effective interest figures are in your Exercise 3B table: look up years 1 and 5.</w:t>
            </w:r>
          </w:p>
          <w:p>
            <w:pPr>
              <w:spacing w:after="30"/>
            </w:pPr>
            <w:r>
              <w:rPr>
                <w:color w:val="353A7C"/>
                <w:sz w:val="18"/>
                <w:szCs w:val="18"/>
              </w:rPr>
              <w:t xml:space="preserve">•  </w:t>
            </w:r>
            <w:r>
              <w:rPr>
                <w:sz w:val="18"/>
                <w:szCs w:val="18"/>
              </w:rPr>
              <w:t xml:space="preserve">The last row is about permission rather than arithmetic, and the two frameworks do not agree on 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$15,971</w:t>
            </w:r>
            <w:r>
              <w:rPr>
                <w:b/>
                <w:bCs/>
                <w:color w:val="8186EF"/>
                <w:sz w:val="20"/>
                <w:szCs w:val="20"/>
              </w:rPr>
              <w:t xml:space="preserve">   ·   </w:t>
            </w:r>
            <w:r>
              <w:rPr>
                <w:b/>
                <w:bCs/>
                <w:sz w:val="20"/>
                <w:szCs w:val="20"/>
              </w:rPr>
              <w:t xml:space="preserve">all</w:t>
            </w:r>
            <w:r>
              <w:rPr>
                <w:b/>
                <w:bCs/>
                <w:color w:val="8186EF"/>
                <w:sz w:val="20"/>
                <w:szCs w:val="20"/>
              </w:rPr>
              <w:t xml:space="preserve">   ·   </w:t>
            </w:r>
            <w:r>
              <w:rPr>
                <w:b/>
                <w:bCs/>
                <w:sz w:val="20"/>
                <w:szCs w:val="20"/>
              </w:rPr>
              <w:t xml:space="preserve">amounts</w:t>
            </w:r>
            <w:r>
              <w:rPr>
                <w:b/>
                <w:bCs/>
                <w:color w:val="8186EF"/>
                <w:sz w:val="20"/>
                <w:szCs w:val="20"/>
              </w:rPr>
              <w:t xml:space="preserve">   ·   </w:t>
            </w:r>
            <w:r>
              <w:rPr>
                <w:b/>
                <w:bCs/>
                <w:sz w:val="20"/>
                <w:szCs w:val="20"/>
              </w:rPr>
              <w:t xml:space="preserve">bears</w:t>
            </w:r>
            <w:r>
              <w:rPr>
                <w:b/>
                <w:bCs/>
                <w:color w:val="8186EF"/>
                <w:sz w:val="20"/>
                <w:szCs w:val="20"/>
              </w:rPr>
              <w:t xml:space="preserve">   ·   </w:t>
            </w:r>
            <w:r>
              <w:rPr>
                <w:b/>
                <w:bCs/>
                <w:sz w:val="20"/>
                <w:szCs w:val="20"/>
              </w:rPr>
              <w:t xml:space="preserve">coupon</w:t>
            </w:r>
            <w:r>
              <w:rPr>
                <w:b/>
                <w:bCs/>
                <w:color w:val="8186EF"/>
                <w:sz w:val="20"/>
                <w:szCs w:val="20"/>
              </w:rPr>
              <w:t xml:space="preserve">   ·   </w:t>
            </w:r>
            <w:r>
              <w:rPr>
                <w:b/>
                <w:bCs/>
                <w:sz w:val="20"/>
                <w:szCs w:val="20"/>
              </w:rPr>
              <w:t xml:space="preserve">move</w:t>
            </w:r>
            <w:r>
              <w:rPr>
                <w:b/>
                <w:bCs/>
                <w:color w:val="8186EF"/>
                <w:sz w:val="20"/>
                <w:szCs w:val="20"/>
              </w:rPr>
              <w:t xml:space="preserve">   ·   </w:t>
            </w:r>
            <w:r>
              <w:rPr>
                <w:b/>
                <w:bCs/>
                <w:sz w:val="20"/>
                <w:szCs w:val="20"/>
              </w:rPr>
              <w:t xml:space="preserve">rise</w:t>
            </w:r>
            <w:r>
              <w:rPr>
                <w:b/>
                <w:bCs/>
                <w:color w:val="8186EF"/>
                <w:sz w:val="20"/>
                <w:szCs w:val="20"/>
              </w:rPr>
              <w:t xml:space="preserve">   ·   </w:t>
            </w:r>
            <w:r>
              <w:rPr>
                <w:b/>
                <w:bCs/>
                <w:sz w:val="20"/>
                <w:szCs w:val="20"/>
              </w:rPr>
              <w:t xml:space="preserve">years</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The rate used throughout the schedule is the effective interest rate: the 8% the market demanded at issue. It is fixed for the life of the bond and does not move when market rates </w:t>
      </w:r>
      <w:r>
        <w:rPr>
          <w:vertAlign w:val="superscript"/>
          <w:color w:val="353A7C"/>
          <w:b/>
          <w:sz w:val="16"/>
        </w:rPr>
        <w:t>5</w:t>
      </w:r>
      <w:r>
        <w:rPr>
          <w:u w:val="single"/>
          <w:sz w:val="21"/>
          <w:szCs w:val="21"/>
        </w:rPr>
        <w:t xml:space="preserve">         </w:t>
      </w:r>
      <w:r>
        <w:rPr>
          <w:sz w:val="21"/>
          <w:szCs w:val="21"/>
        </w:rPr>
        <w:t xml:space="preserve"> afterwards.</w:t>
      </w:r>
    </w:p>
    <w:p>
      <w:pPr>
        <w:spacing w:before="40" w:after="110" w:line="300" w:lineRule="auto"/>
      </w:pPr>
      <w:r>
        <w:rPr>
          <w:sz w:val="21"/>
          <w:szCs w:val="21"/>
        </w:rPr>
        <w:t xml:space="preserve">Read from the investor’s side the same number is the yield to maturity, because what the issuer </w:t>
      </w:r>
      <w:r>
        <w:rPr>
          <w:vertAlign w:val="superscript"/>
          <w:color w:val="353A7C"/>
          <w:b/>
          <w:sz w:val="16"/>
        </w:rPr>
        <w:t>6</w:t>
      </w:r>
      <w:r>
        <w:rPr>
          <w:u w:val="single"/>
          <w:sz w:val="21"/>
          <w:szCs w:val="21"/>
        </w:rPr>
        <w:t xml:space="preserve">          </w:t>
      </w:r>
      <w:r>
        <w:rPr>
          <w:sz w:val="21"/>
          <w:szCs w:val="21"/>
        </w:rPr>
        <w:t xml:space="preserve"> is what the holder earns. One rate, two names, two sets of books.</w:t>
      </w:r>
    </w:p>
    <w:p>
      <w:pPr>
        <w:spacing w:before="40" w:after="110" w:line="300" w:lineRule="auto"/>
      </w:pPr>
      <w:r>
        <w:rPr>
          <w:sz w:val="21"/>
          <w:szCs w:val="21"/>
        </w:rPr>
        <w:t xml:space="preserve">Straight-line amortisation ignores the carrying amount and divides the $79,854 discount by the 5 years, charging </w:t>
      </w:r>
      <w:r>
        <w:rPr>
          <w:vertAlign w:val="superscript"/>
          <w:color w:val="353A7C"/>
          <w:b/>
          <w:sz w:val="16"/>
        </w:rPr>
        <w:t>7</w:t>
      </w:r>
      <w:r>
        <w:rPr>
          <w:u w:val="single"/>
          <w:sz w:val="21"/>
          <w:szCs w:val="21"/>
        </w:rPr>
        <w:t xml:space="preserve">             </w:t>
      </w:r>
      <w:r>
        <w:rPr>
          <w:sz w:val="21"/>
          <w:szCs w:val="21"/>
        </w:rPr>
        <w:t xml:space="preserve"> in every one of them. The amortisation of a discount is then flat rather than rising.</w:t>
      </w:r>
    </w:p>
    <w:p>
      <w:pPr>
        <w:spacing w:before="40" w:after="110" w:line="300" w:lineRule="auto"/>
      </w:pPr>
      <w:r>
        <w:rPr>
          <w:sz w:val="21"/>
          <w:szCs w:val="21"/>
        </w:rPr>
        <w:t xml:space="preserve">US GAAP permits that only where the answer is not materially different from the effective interest method, and IFRS does not permit it at </w:t>
      </w:r>
      <w:r>
        <w:rPr>
          <w:vertAlign w:val="superscript"/>
          <w:color w:val="353A7C"/>
          <w:b/>
          <w:sz w:val="16"/>
        </w:rPr>
        <w:t>8</w:t>
      </w:r>
      <w:r>
        <w:rPr>
          <w:u w:val="single"/>
          <w:sz w:val="21"/>
          <w:szCs w:val="21"/>
        </w:rPr>
        <w:t xml:space="preserve">         </w:t>
      </w:r>
      <w:r>
        <w:rPr>
          <w:sz w:val="21"/>
          <w:szCs w:val="21"/>
        </w:rPr>
        <w:t xml:space="preserve">.</w:t>
      </w:r>
    </w:p>
    <w:p>
      <w:pPr>
        <w:spacing w:before="40" w:after="110" w:line="300" w:lineRule="auto"/>
      </w:pPr>
      <w:r>
        <w:rPr>
          <w:sz w:val="21"/>
          <w:szCs w:val="21"/>
        </w:rPr>
        <w:t xml:space="preserve">Both methods charge the same total over five years, because both amortise the whole $79,854. What differs is which </w:t>
      </w:r>
      <w:r>
        <w:rPr>
          <w:vertAlign w:val="superscript"/>
          <w:color w:val="353A7C"/>
          <w:b/>
          <w:sz w:val="16"/>
        </w:rPr>
        <w:t>9</w:t>
      </w:r>
      <w:r>
        <w:rPr>
          <w:u w:val="single"/>
          <w:sz w:val="21"/>
          <w:szCs w:val="21"/>
        </w:rPr>
        <w:t xml:space="preserve">          </w:t>
      </w:r>
      <w:r>
        <w:rPr>
          <w:sz w:val="21"/>
          <w:szCs w:val="21"/>
        </w:rPr>
        <w:t xml:space="preserve"> carry it.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35"/>
        <w:gridCol w:w="35"/>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Effective interest method</w:t>
            </w:r>
          </w:p>
        </w:tc>
        <w:tc>
          <w:tcPr>
            <w:shd w:fill="44506B" w:val="clear"/>
            <w:tcMar>
              <w:top w:type="dxa" w:w="60"/>
              <w:left w:type="dxa" w:w="120"/>
              <w:bottom w:type="dxa" w:w="60"/>
              <w:right w:type="dxa" w:w="120"/>
            </w:tcMar>
          </w:tcPr>
          <w:p>
            <w:r>
              <w:rPr>
                <w:b/>
                <w:bCs/>
                <w:color w:val="FFFFFF"/>
                <w:sz w:val="19"/>
                <w:szCs w:val="19"/>
              </w:rPr>
              <w:t xml:space="preserve">Straight-line</w:t>
            </w:r>
          </w:p>
        </w:tc>
      </w:tr>
      <w:tr>
        <w:tc>
          <w:tcPr>
            <w:tcMar>
              <w:top w:type="dxa" w:w="60"/>
              <w:left w:type="dxa" w:w="120"/>
              <w:bottom w:type="dxa" w:w="60"/>
              <w:right w:type="dxa" w:w="120"/>
            </w:tcMar>
          </w:tcPr>
          <w:p>
            <w:r>
              <w:rPr>
                <w:sz w:val="19"/>
                <w:szCs w:val="19"/>
              </w:rPr>
              <w:t xml:space="preserve">Year 1 amortisation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Year 5 amortisation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Year 1 interest expense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 over five years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Permitted under US GAAP</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0005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Interest expense is the effective rate on the carrying amount, never the coupon rate on the face value. A stem that gives you a 6% coupon on $1,000,000 of face and asks for interest expense is offering $60,000 as a distractor, and the answer is $73,612.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Under the effective interest method, interest expense for a period is:</w:t>
      </w:r>
    </w:p>
    <w:p>
      <w:pPr>
        <w:ind w:left="340"/>
        <w:spacing w:after="30"/>
      </w:pPr>
      <w:r>
        <w:rPr>
          <w:color w:val="6B7280"/>
          <w:sz w:val="19"/>
          <w:szCs w:val="19"/>
        </w:rPr>
        <w:t xml:space="preserve">(A)  </w:t>
      </w:r>
      <w:r>
        <w:rPr>
          <w:sz w:val="19"/>
          <w:szCs w:val="19"/>
        </w:rPr>
        <w:t xml:space="preserve">The coupon rate times the face value</w:t>
      </w:r>
    </w:p>
    <w:p>
      <w:pPr>
        <w:ind w:left="340"/>
        <w:spacing w:after="30"/>
      </w:pPr>
      <w:r>
        <w:rPr>
          <w:color w:val="6B7280"/>
          <w:sz w:val="19"/>
          <w:szCs w:val="19"/>
        </w:rPr>
        <w:t xml:space="preserve">(B)  </w:t>
      </w:r>
      <w:r>
        <w:rPr>
          <w:sz w:val="19"/>
          <w:szCs w:val="19"/>
        </w:rPr>
        <w:t xml:space="preserve">The effective rate times the opening carrying amount</w:t>
      </w:r>
    </w:p>
    <w:p>
      <w:pPr>
        <w:ind w:left="340"/>
        <w:spacing w:after="30"/>
      </w:pPr>
      <w:r>
        <w:rPr>
          <w:color w:val="6B7280"/>
          <w:sz w:val="19"/>
          <w:szCs w:val="19"/>
        </w:rPr>
        <w:t xml:space="preserve">(C)  </w:t>
      </w:r>
      <w:r>
        <w:rPr>
          <w:sz w:val="19"/>
          <w:szCs w:val="19"/>
        </w:rPr>
        <w:t xml:space="preserve">The effective rate times the face value</w:t>
      </w:r>
    </w:p>
    <w:p>
      <w:pPr>
        <w:ind w:left="340"/>
        <w:spacing w:after="30"/>
      </w:pPr>
      <w:r>
        <w:rPr>
          <w:color w:val="6B7280"/>
          <w:sz w:val="19"/>
          <w:szCs w:val="19"/>
        </w:rPr>
        <w:t xml:space="preserve">(D)  </w:t>
      </w:r>
      <w:r>
        <w:rPr>
          <w:sz w:val="19"/>
          <w:szCs w:val="19"/>
        </w:rPr>
        <w:t xml:space="preserve">The coupon rate times the carrying amount</w:t>
      </w:r>
    </w:p>
    <w:p>
      <w:pPr>
        <w:spacing w:before="150" w:after="60"/>
      </w:pPr>
      <w:r>
        <w:rPr>
          <w:b/>
          <w:bCs/>
          <w:color w:val="353A7C"/>
          <w:sz w:val="19"/>
          <w:szCs w:val="19"/>
        </w:rPr>
        <w:t xml:space="preserve">2.  [Level A]  </w:t>
      </w:r>
      <w:r>
        <w:rPr>
          <w:b/>
          <w:bCs/>
          <w:sz w:val="19"/>
          <w:szCs w:val="19"/>
        </w:rPr>
        <w:t xml:space="preserve">A bond issued at a discount has, in each period, interest expense that is:</w:t>
      </w:r>
    </w:p>
    <w:p>
      <w:pPr>
        <w:ind w:left="340"/>
        <w:spacing w:after="30"/>
      </w:pPr>
      <w:r>
        <w:rPr>
          <w:color w:val="6B7280"/>
          <w:sz w:val="19"/>
          <w:szCs w:val="19"/>
        </w:rPr>
        <w:t xml:space="preserve">(A)  </w:t>
      </w:r>
      <w:r>
        <w:rPr>
          <w:sz w:val="19"/>
          <w:szCs w:val="19"/>
        </w:rPr>
        <w:t xml:space="preserve">Equal to the cash coupon</w:t>
      </w:r>
    </w:p>
    <w:p>
      <w:pPr>
        <w:ind w:left="340"/>
        <w:spacing w:after="30"/>
      </w:pPr>
      <w:r>
        <w:rPr>
          <w:color w:val="6B7280"/>
          <w:sz w:val="19"/>
          <w:szCs w:val="19"/>
        </w:rPr>
        <w:t xml:space="preserve">(B)  </w:t>
      </w:r>
      <w:r>
        <w:rPr>
          <w:sz w:val="19"/>
          <w:szCs w:val="19"/>
        </w:rPr>
        <w:t xml:space="preserve">Greater than the cash coupon</w:t>
      </w:r>
    </w:p>
    <w:p>
      <w:pPr>
        <w:ind w:left="340"/>
        <w:spacing w:after="30"/>
      </w:pPr>
      <w:r>
        <w:rPr>
          <w:color w:val="6B7280"/>
          <w:sz w:val="19"/>
          <w:szCs w:val="19"/>
        </w:rPr>
        <w:t xml:space="preserve">(C)  </w:t>
      </w:r>
      <w:r>
        <w:rPr>
          <w:sz w:val="19"/>
          <w:szCs w:val="19"/>
        </w:rPr>
        <w:t xml:space="preserve">Less than the cash coupon</w:t>
      </w:r>
    </w:p>
    <w:p>
      <w:pPr>
        <w:ind w:left="340"/>
        <w:spacing w:after="30"/>
      </w:pPr>
      <w:r>
        <w:rPr>
          <w:color w:val="6B7280"/>
          <w:sz w:val="19"/>
          <w:szCs w:val="19"/>
        </w:rPr>
        <w:t xml:space="preserve">(D)  </w:t>
      </w:r>
      <w:r>
        <w:rPr>
          <w:sz w:val="19"/>
          <w:szCs w:val="19"/>
        </w:rPr>
        <w:t xml:space="preserve">Zero</w:t>
      </w:r>
    </w:p>
    <w:p>
      <w:pPr>
        <w:spacing w:before="150" w:after="60"/>
      </w:pPr>
      <w:r>
        <w:rPr>
          <w:b/>
          <w:bCs/>
          <w:color w:val="353A7C"/>
          <w:sz w:val="19"/>
          <w:szCs w:val="19"/>
        </w:rPr>
        <w:t xml:space="preserve">3.  [Level B]  </w:t>
      </w:r>
      <w:r>
        <w:rPr>
          <w:b/>
          <w:bCs/>
          <w:sz w:val="19"/>
          <w:szCs w:val="19"/>
        </w:rPr>
        <w:t xml:space="preserve">Amortising a discount on bonds payable:</w:t>
      </w:r>
    </w:p>
    <w:p>
      <w:pPr>
        <w:ind w:left="340"/>
        <w:spacing w:after="30"/>
      </w:pPr>
      <w:r>
        <w:rPr>
          <w:color w:val="6B7280"/>
          <w:sz w:val="19"/>
          <w:szCs w:val="19"/>
        </w:rPr>
        <w:t xml:space="preserve">(A)  </w:t>
      </w:r>
      <w:r>
        <w:rPr>
          <w:sz w:val="19"/>
          <w:szCs w:val="19"/>
        </w:rPr>
        <w:t xml:space="preserve">Reduces the carrying amount</w:t>
      </w:r>
    </w:p>
    <w:p>
      <w:pPr>
        <w:ind w:left="340"/>
        <w:spacing w:after="30"/>
      </w:pPr>
      <w:r>
        <w:rPr>
          <w:color w:val="6B7280"/>
          <w:sz w:val="19"/>
          <w:szCs w:val="19"/>
        </w:rPr>
        <w:t xml:space="preserve">(B)  </w:t>
      </w:r>
      <w:r>
        <w:rPr>
          <w:sz w:val="19"/>
          <w:szCs w:val="19"/>
        </w:rPr>
        <w:t xml:space="preserve">Increases the carrying amount</w:t>
      </w:r>
    </w:p>
    <w:p>
      <w:pPr>
        <w:ind w:left="340"/>
        <w:spacing w:after="30"/>
      </w:pPr>
      <w:r>
        <w:rPr>
          <w:color w:val="6B7280"/>
          <w:sz w:val="19"/>
          <w:szCs w:val="19"/>
        </w:rPr>
        <w:t xml:space="preserve">(C)  </w:t>
      </w:r>
      <w:r>
        <w:rPr>
          <w:sz w:val="19"/>
          <w:szCs w:val="19"/>
        </w:rPr>
        <w:t xml:space="preserve">Has no effect on the carrying amount</w:t>
      </w:r>
    </w:p>
    <w:p>
      <w:pPr>
        <w:ind w:left="340"/>
        <w:spacing w:after="30"/>
      </w:pPr>
      <w:r>
        <w:rPr>
          <w:color w:val="6B7280"/>
          <w:sz w:val="19"/>
          <w:szCs w:val="19"/>
        </w:rPr>
        <w:t xml:space="preserve">(D)  </w:t>
      </w:r>
      <w:r>
        <w:rPr>
          <w:sz w:val="19"/>
          <w:szCs w:val="19"/>
        </w:rPr>
        <w:t xml:space="preserve">Requires a cash payment</w:t>
      </w:r>
    </w:p>
    <w:p>
      <w:pPr>
        <w:spacing w:before="150" w:after="60"/>
      </w:pPr>
      <w:r>
        <w:rPr>
          <w:b/>
          <w:bCs/>
          <w:color w:val="353A7C"/>
          <w:sz w:val="19"/>
          <w:szCs w:val="19"/>
        </w:rPr>
        <w:t xml:space="preserve">4.  [Level B]  </w:t>
      </w:r>
      <w:r>
        <w:rPr>
          <w:b/>
          <w:bCs/>
          <w:sz w:val="19"/>
          <w:szCs w:val="19"/>
        </w:rPr>
        <w:t xml:space="preserve">A $1,000,000 bond with a 6% coupon was issued for $920,146 to yield 8%. Interest expense in year one is:</w:t>
      </w:r>
    </w:p>
    <w:p>
      <w:pPr>
        <w:ind w:left="340"/>
        <w:spacing w:after="30"/>
      </w:pPr>
      <w:r>
        <w:rPr>
          <w:color w:val="6B7280"/>
          <w:sz w:val="19"/>
          <w:szCs w:val="19"/>
        </w:rPr>
        <w:t xml:space="preserve">(A)  </w:t>
      </w:r>
      <w:r>
        <w:rPr>
          <w:sz w:val="19"/>
          <w:szCs w:val="19"/>
        </w:rPr>
        <w:t xml:space="preserve">$60,000</w:t>
      </w:r>
    </w:p>
    <w:p>
      <w:pPr>
        <w:ind w:left="340"/>
        <w:spacing w:after="30"/>
      </w:pPr>
      <w:r>
        <w:rPr>
          <w:color w:val="6B7280"/>
          <w:sz w:val="19"/>
          <w:szCs w:val="19"/>
        </w:rPr>
        <w:t xml:space="preserve">(B)  </w:t>
      </w:r>
      <w:r>
        <w:rPr>
          <w:sz w:val="19"/>
          <w:szCs w:val="19"/>
        </w:rPr>
        <w:t xml:space="preserve">$73,612</w:t>
      </w:r>
    </w:p>
    <w:p>
      <w:pPr>
        <w:ind w:left="340"/>
        <w:spacing w:after="30"/>
      </w:pPr>
      <w:r>
        <w:rPr>
          <w:color w:val="6B7280"/>
          <w:sz w:val="19"/>
          <w:szCs w:val="19"/>
        </w:rPr>
        <w:t xml:space="preserve">(C)  </w:t>
      </w:r>
      <w:r>
        <w:rPr>
          <w:sz w:val="19"/>
          <w:szCs w:val="19"/>
        </w:rPr>
        <w:t xml:space="preserve">$80,000</w:t>
      </w:r>
    </w:p>
    <w:p>
      <w:pPr>
        <w:ind w:left="340"/>
        <w:spacing w:after="30"/>
      </w:pPr>
      <w:r>
        <w:rPr>
          <w:color w:val="6B7280"/>
          <w:sz w:val="19"/>
          <w:szCs w:val="19"/>
        </w:rPr>
        <w:t xml:space="preserve">(D)  </w:t>
      </w:r>
      <w:r>
        <w:rPr>
          <w:sz w:val="19"/>
          <w:szCs w:val="19"/>
        </w:rPr>
        <w:t xml:space="preserve">$15,971</w:t>
      </w:r>
    </w:p>
    <w:p>
      <w:pPr>
        <w:spacing w:before="150" w:after="60"/>
      </w:pPr>
      <w:r>
        <w:rPr>
          <w:b/>
          <w:bCs/>
          <w:color w:val="353A7C"/>
          <w:sz w:val="19"/>
          <w:szCs w:val="19"/>
        </w:rPr>
        <w:t xml:space="preserve">5.  [Level C]  </w:t>
      </w:r>
      <w:r>
        <w:rPr>
          <w:b/>
          <w:bCs/>
          <w:sz w:val="19"/>
          <w:szCs w:val="19"/>
        </w:rPr>
        <w:t xml:space="preserve">Over the whole term, total interest expense under the effective interest method compared with straight-line is:</w:t>
      </w:r>
    </w:p>
    <w:p>
      <w:pPr>
        <w:ind w:left="340"/>
        <w:spacing w:after="30"/>
      </w:pPr>
      <w:r>
        <w:rPr>
          <w:color w:val="6B7280"/>
          <w:sz w:val="19"/>
          <w:szCs w:val="19"/>
        </w:rPr>
        <w:t xml:space="preserve">(A)  </w:t>
      </w:r>
      <w:r>
        <w:rPr>
          <w:sz w:val="19"/>
          <w:szCs w:val="19"/>
        </w:rPr>
        <w:t xml:space="preserve">Higher</w:t>
      </w:r>
    </w:p>
    <w:p>
      <w:pPr>
        <w:ind w:left="340"/>
        <w:spacing w:after="30"/>
      </w:pPr>
      <w:r>
        <w:rPr>
          <w:color w:val="6B7280"/>
          <w:sz w:val="19"/>
          <w:szCs w:val="19"/>
        </w:rPr>
        <w:t xml:space="preserve">(B)  </w:t>
      </w:r>
      <w:r>
        <w:rPr>
          <w:sz w:val="19"/>
          <w:szCs w:val="19"/>
        </w:rPr>
        <w:t xml:space="preserve">The same</w:t>
      </w:r>
    </w:p>
    <w:p>
      <w:pPr>
        <w:ind w:left="340"/>
        <w:spacing w:after="30"/>
      </w:pPr>
      <w:r>
        <w:rPr>
          <w:color w:val="6B7280"/>
          <w:sz w:val="19"/>
          <w:szCs w:val="19"/>
        </w:rPr>
        <w:t xml:space="preserve">(C)  </w:t>
      </w:r>
      <w:r>
        <w:rPr>
          <w:sz w:val="19"/>
          <w:szCs w:val="19"/>
        </w:rPr>
        <w:t xml:space="preserve">Lower</w:t>
      </w:r>
    </w:p>
    <w:p>
      <w:pPr>
        <w:ind w:left="340"/>
        <w:spacing w:after="30"/>
      </w:pPr>
      <w:r>
        <w:rPr>
          <w:color w:val="6B7280"/>
          <w:sz w:val="19"/>
          <w:szCs w:val="19"/>
        </w:rPr>
        <w:t xml:space="preserve">(D)  </w:t>
      </w:r>
      <w:r>
        <w:rPr>
          <w:sz w:val="19"/>
          <w:szCs w:val="19"/>
        </w:rPr>
        <w:t xml:space="preserve">Not comparable</w:t>
      </w:r>
    </w:p>
    <w:p>
      <w:pPr>
        <w:spacing w:before="150" w:after="60"/>
      </w:pPr>
      <w:r>
        <w:rPr>
          <w:b/>
          <w:bCs/>
          <w:color w:val="353A7C"/>
          <w:sz w:val="19"/>
          <w:szCs w:val="19"/>
        </w:rPr>
        <w:t xml:space="preserve">6.  [Level B]  </w:t>
      </w:r>
      <w:r>
        <w:rPr>
          <w:b/>
          <w:bCs/>
          <w:sz w:val="19"/>
          <w:szCs w:val="19"/>
        </w:rPr>
        <w:t xml:space="preserve">Straight-line amortisation of a bond discount is:</w:t>
      </w:r>
    </w:p>
    <w:p>
      <w:pPr>
        <w:ind w:left="340"/>
        <w:spacing w:after="30"/>
      </w:pPr>
      <w:r>
        <w:rPr>
          <w:color w:val="6B7280"/>
          <w:sz w:val="19"/>
          <w:szCs w:val="19"/>
        </w:rPr>
        <w:t xml:space="preserve">(A)  </w:t>
      </w:r>
      <w:r>
        <w:rPr>
          <w:sz w:val="19"/>
          <w:szCs w:val="19"/>
        </w:rPr>
        <w:t xml:space="preserve">Required under IFRS</w:t>
      </w:r>
    </w:p>
    <w:p>
      <w:pPr>
        <w:ind w:left="340"/>
        <w:spacing w:after="30"/>
      </w:pPr>
      <w:r>
        <w:rPr>
          <w:color w:val="6B7280"/>
          <w:sz w:val="19"/>
          <w:szCs w:val="19"/>
        </w:rPr>
        <w:t xml:space="preserve">(B)  </w:t>
      </w:r>
      <w:r>
        <w:rPr>
          <w:sz w:val="19"/>
          <w:szCs w:val="19"/>
        </w:rPr>
        <w:t xml:space="preserve">Permitted under US GAAP only where the result is not materially different from the effective interest method</w:t>
      </w:r>
    </w:p>
    <w:p>
      <w:pPr>
        <w:ind w:left="340"/>
        <w:spacing w:after="30"/>
      </w:pPr>
      <w:r>
        <w:rPr>
          <w:color w:val="6B7280"/>
          <w:sz w:val="19"/>
          <w:szCs w:val="19"/>
        </w:rPr>
        <w:t xml:space="preserve">(C)  </w:t>
      </w:r>
      <w:r>
        <w:rPr>
          <w:sz w:val="19"/>
          <w:szCs w:val="19"/>
        </w:rPr>
        <w:t xml:space="preserve">Required under US GAAP for all bonds</w:t>
      </w:r>
    </w:p>
    <w:p>
      <w:pPr>
        <w:ind w:left="340"/>
        <w:spacing w:after="30"/>
      </w:pPr>
      <w:r>
        <w:rPr>
          <w:color w:val="6B7280"/>
          <w:sz w:val="19"/>
          <w:szCs w:val="19"/>
        </w:rPr>
        <w:t xml:space="preserve">(D)  </w:t>
      </w:r>
      <w:r>
        <w:rPr>
          <w:sz w:val="19"/>
          <w:szCs w:val="19"/>
        </w:rPr>
        <w:t xml:space="preserve">Prohibited under both frameworks</w:t>
      </w:r>
    </w:p>
    <w:p>
      <w:pPr>
        <w:spacing w:before="150" w:after="60"/>
      </w:pPr>
      <w:r>
        <w:rPr>
          <w:b/>
          <w:bCs/>
          <w:color w:val="353A7C"/>
          <w:sz w:val="19"/>
          <w:szCs w:val="19"/>
        </w:rPr>
        <w:t xml:space="preserve">7.  [Level C]  </w:t>
      </w:r>
      <w:r>
        <w:rPr>
          <w:b/>
          <w:bCs/>
          <w:sz w:val="19"/>
          <w:szCs w:val="19"/>
        </w:rPr>
        <w:t xml:space="preserve">On a bond issued at a premium, the carrying amount over the term:</w:t>
      </w:r>
    </w:p>
    <w:p>
      <w:pPr>
        <w:ind w:left="340"/>
        <w:spacing w:after="30"/>
      </w:pPr>
      <w:r>
        <w:rPr>
          <w:color w:val="6B7280"/>
          <w:sz w:val="19"/>
          <w:szCs w:val="19"/>
        </w:rPr>
        <w:t xml:space="preserve">(A)  </w:t>
      </w:r>
      <w:r>
        <w:rPr>
          <w:sz w:val="19"/>
          <w:szCs w:val="19"/>
        </w:rPr>
        <w:t xml:space="preserve">Rises to the face value</w:t>
      </w:r>
    </w:p>
    <w:p>
      <w:pPr>
        <w:ind w:left="340"/>
        <w:spacing w:after="30"/>
      </w:pPr>
      <w:r>
        <w:rPr>
          <w:color w:val="6B7280"/>
          <w:sz w:val="19"/>
          <w:szCs w:val="19"/>
        </w:rPr>
        <w:t xml:space="preserve">(B)  </w:t>
      </w:r>
      <w:r>
        <w:rPr>
          <w:sz w:val="19"/>
          <w:szCs w:val="19"/>
        </w:rPr>
        <w:t xml:space="preserve">Falls to the face value</w:t>
      </w:r>
    </w:p>
    <w:p>
      <w:pPr>
        <w:ind w:left="340"/>
        <w:spacing w:after="30"/>
      </w:pPr>
      <w:r>
        <w:rPr>
          <w:color w:val="6B7280"/>
          <w:sz w:val="19"/>
          <w:szCs w:val="19"/>
        </w:rPr>
        <w:t xml:space="preserve">(C)  </w:t>
      </w:r>
      <w:r>
        <w:rPr>
          <w:sz w:val="19"/>
          <w:szCs w:val="19"/>
        </w:rPr>
        <w:t xml:space="preserve">Stays at the issue price</w:t>
      </w:r>
    </w:p>
    <w:p>
      <w:pPr>
        <w:ind w:left="340"/>
        <w:spacing w:after="30"/>
      </w:pPr>
      <w:r>
        <w:rPr>
          <w:color w:val="6B7280"/>
          <w:sz w:val="19"/>
          <w:szCs w:val="19"/>
        </w:rPr>
        <w:t xml:space="preserve">(D)  </w:t>
      </w:r>
      <w:r>
        <w:rPr>
          <w:sz w:val="19"/>
          <w:szCs w:val="19"/>
        </w:rPr>
        <w:t xml:space="preserve">Falls to zero</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Build the first line of any bond schedule before answering anything: opening carrying amount, times the effective rate, less the cash coupon. Almost every distractor on this topic is one of those three numbers offered in place of the answer.</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 · Valuing a Bond, and What Moves Its Price</w:t>
      </w:r>
    </w:p>
    <w:p>
      <w:pPr>
        <w:spacing w:after="8"/>
      </w:pPr>
      <w:r>
        <w:rPr>
          <w:color w:val="23265A"/>
          <w:sz w:val="22"/>
          <w:szCs w:val="22"/>
        </w:rPr>
        <w:t xml:space="preserve">The CMA asks for this half of the topic and not for Handout 3. One bond, five market rates, and five different prices.</w:t>
      </w:r>
    </w:p>
    <w:p>
      <w:pPr>
        <w:spacing w:after="130"/>
      </w:pPr>
      <w:r>
        <w:rPr>
          <w:color w:val="6B7280"/>
          <w:sz w:val="20"/>
          <w:szCs w:val="20"/>
        </w:rPr>
        <w:t xml:space="preserve">Volume 14 · Long-Term Debt and Contingent Liabilities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valuation, R3 for duration, which Part 2 states in its own words.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value a bond by discounted cash flow · price a bond off the market rate · measure interest rate sensitivity · widen a credit spread · read the term structure · compute the current yield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price / yield · coupon rate / current yield · duration / maturity · interest rate risk / credit risk</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bond’s price is not its carrying amount. Handout 3’s schedule ignores the market entirely once the bond is issued.  Duration is not maturity. Two bonds maturing on the same day can have very different durations.</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Value a bond at any market rate by discounted cash flow.</w:t>
      </w:r>
    </w:p>
    <w:p>
      <w:pPr>
        <w:pStyle w:val="ListParagraph"/>
        <w:numPr>
          <w:ilvl w:val="0"/>
          <w:numId w:val="1"/>
        </w:numPr>
        <w:spacing w:after="24"/>
      </w:pPr>
      <w:r>
        <w:rPr>
          <w:sz w:val="20"/>
          <w:szCs w:val="20"/>
        </w:rPr>
        <w:t xml:space="preserve">Say what moves a bond’s price after issue.</w:t>
      </w:r>
    </w:p>
    <w:p>
      <w:pPr>
        <w:pStyle w:val="ListParagraph"/>
        <w:numPr>
          <w:ilvl w:val="0"/>
          <w:numId w:val="1"/>
        </w:numPr>
        <w:spacing w:after="24"/>
      </w:pPr>
      <w:r>
        <w:rPr>
          <w:sz w:val="20"/>
          <w:szCs w:val="20"/>
        </w:rPr>
        <w:t xml:space="preserve">Distinguish the coupon rate, the current yield and the yield to maturity.</w:t>
      </w:r>
    </w:p>
    <w:p>
      <w:pPr>
        <w:pStyle w:val="ListParagraph"/>
        <w:numPr>
          <w:ilvl w:val="0"/>
          <w:numId w:val="1"/>
        </w:numPr>
        <w:spacing w:after="24"/>
      </w:pPr>
      <w:r>
        <w:rPr>
          <w:sz w:val="20"/>
          <w:szCs w:val="20"/>
        </w:rPr>
        <w:t xml:space="preserve">Say what duration measures and what raises it.</w:t>
      </w:r>
    </w:p>
    <w:p>
      <w:pPr>
        <w:pStyle w:val="ListParagraph"/>
        <w:numPr>
          <w:ilvl w:val="0"/>
          <w:numId w:val="1"/>
        </w:numPr>
        <w:spacing w:after="24"/>
      </w:pPr>
      <w:r>
        <w:rPr>
          <w:sz w:val="20"/>
          <w:szCs w:val="20"/>
        </w:rPr>
        <w:t xml:space="preserve">Say why the carrying amount does not follow the market price.</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price, after the issue</w:t>
            </w:r>
          </w:p>
          <w:p>
            <w:pPr>
              <w:spacing w:after="80" w:line="290" w:lineRule="auto"/>
            </w:pPr>
            <w:r>
              <w:rPr>
                <w:sz w:val="21"/>
                <w:szCs w:val="21"/>
              </w:rPr>
              <w:t xml:space="preserve">Handout 2 priced Northwind’s 6% bond at $920,146, because the market wanted 8% on the day it was issued.</w:t>
            </w:r>
          </w:p>
          <w:p>
            <w:pPr>
              <w:spacing w:after="80" w:line="290" w:lineRule="auto"/>
            </w:pPr>
            <w:r>
              <w:rPr>
                <w:sz w:val="21"/>
                <w:szCs w:val="21"/>
              </w:rPr>
              <w:t xml:space="preserve">The market does not stay still. A year later rates may be 6% or 10%, and the bond will trade at a different price even though not one term of the contract has changed.</w:t>
            </w:r>
          </w:p>
          <w:p>
            <w:pPr>
              <w:spacing w:after="80" w:line="290" w:lineRule="auto"/>
            </w:pPr>
            <w:r>
              <w:rPr>
                <w:sz w:val="21"/>
                <w:szCs w:val="21"/>
              </w:rPr>
              <w:t xml:space="preserve">This is the half of the topic the CMA actually asks for. Part 2 B.2(e) wants the bond valued; it never asks for Handout 3’s schedule.</w:t>
            </w:r>
          </w:p>
          <w:p>
            <w:pPr>
              <w:spacing w:after="80" w:line="290" w:lineRule="auto"/>
            </w:pPr>
            <w:r>
              <w:rPr>
                <w:sz w:val="21"/>
                <w:szCs w:val="21"/>
              </w:rPr>
              <w:t xml:space="preserve">The valuation is Volume 13’s arithmetic with a different rate in it. What is new is why the rate moves, and how much the price moves with it.</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1 · Valuing it at any rate</w:t>
      </w:r>
      <w:r>
        <w:rPr>
          <w:b/>
          <w:bCs/>
          <w:color w:val="FFFFFF"/>
          <w:sz w:val="16"/>
          <w:szCs w:val="16"/>
        </w:rPr>
        <w:t xml:space="preserve">    the same two pieces, a different rate</w:t>
      </w:r>
    </w:p>
    <w:p>
      <w:pPr>
        <w:spacing w:before="230" w:after="80"/>
        <w:pBdr>
          <w:top w:val="single" w:sz="12" w:space="7" w:color="353A7C"/>
        </w:pBdr>
      </w:pPr>
      <w:r>
        <w:rPr>
          <w:b/>
          <w:bCs/>
          <w:color w:val="353A7C"/>
          <w:sz w:val="22"/>
          <w:szCs w:val="22"/>
        </w:rPr>
        <w:t xml:space="preserve">Exercise 4A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Value the bond at five different market rates.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Exercise 2B, for the two-piece method. · Volume 13 Handout 2, for the annuity factors.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row is the same calculation as Handout 2 with a different rate: $60,000 a year for five years, plus $1,000,000 at the end.</w:t>
            </w:r>
          </w:p>
          <w:p>
            <w:pPr>
              <w:spacing w:after="30"/>
            </w:pPr>
            <w:r>
              <w:rPr>
                <w:color w:val="353A7C"/>
                <w:sz w:val="18"/>
                <w:szCs w:val="18"/>
              </w:rPr>
              <w:t xml:space="preserve">•  </w:t>
            </w:r>
            <w:r>
              <w:rPr>
                <w:sz w:val="18"/>
                <w:szCs w:val="18"/>
              </w:rPr>
              <w:t xml:space="preserve">One row should come out at exactly $1,000,000. Work out which before you compute it.</w:t>
            </w:r>
          </w:p>
          <w:p>
            <w:pPr>
              <w:spacing w:after="30"/>
            </w:pPr>
            <w:r>
              <w:rPr>
                <w:color w:val="353A7C"/>
                <w:sz w:val="18"/>
                <w:szCs w:val="18"/>
              </w:rPr>
              <w:t xml:space="preserve">•  </w:t>
            </w:r>
            <w:r>
              <w:rPr>
                <w:sz w:val="18"/>
                <w:szCs w:val="18"/>
              </w:rPr>
              <w:t xml:space="preserve">The last column asks for the gap against face value, and its sign tells you whether the bond is at a discount or a premium.</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38"/>
        <w:gridCol w:w="36"/>
      </w:tblGrid>
      <w:tr>
        <w:tc>
          <w:tcPr>
            <w:shd w:fill="1F6F8F" w:val="clear"/>
            <w:tcMar>
              <w:top w:type="dxa" w:w="60"/>
              <w:left w:type="dxa" w:w="120"/>
              <w:bottom w:type="dxa" w:w="60"/>
              <w:right w:type="dxa" w:w="120"/>
            </w:tcMar>
          </w:tcPr>
          <w:p>
            <w:r>
              <w:rPr>
                <w:b/>
                <w:bCs/>
                <w:color w:val="FFFFFF"/>
                <w:sz w:val="19"/>
                <w:szCs w:val="19"/>
              </w:rPr>
              <w:t xml:space="preserve">Market rate today</w:t>
            </w:r>
          </w:p>
        </w:tc>
        <w:tc>
          <w:tcPr>
            <w:shd w:fill="1F6F8F" w:val="clear"/>
            <w:tcMar>
              <w:top w:type="dxa" w:w="60"/>
              <w:left w:type="dxa" w:w="120"/>
              <w:bottom w:type="dxa" w:w="60"/>
              <w:right w:type="dxa" w:w="120"/>
            </w:tcMar>
          </w:tcPr>
          <w:p>
            <w:r>
              <w:rPr>
                <w:b/>
                <w:bCs/>
                <w:color w:val="FFFFFF"/>
                <w:sz w:val="19"/>
                <w:szCs w:val="19"/>
              </w:rPr>
              <w:t xml:space="preserve">Price of the 6% bond</w:t>
            </w:r>
          </w:p>
        </w:tc>
        <w:tc>
          <w:tcPr>
            <w:shd w:fill="1F6F8F" w:val="clear"/>
            <w:tcMar>
              <w:top w:type="dxa" w:w="60"/>
              <w:left w:type="dxa" w:w="120"/>
              <w:bottom w:type="dxa" w:w="60"/>
              <w:right w:type="dxa" w:w="120"/>
            </w:tcMar>
          </w:tcPr>
          <w:p>
            <w:r>
              <w:rPr>
                <w:b/>
                <w:bCs/>
                <w:color w:val="FFFFFF"/>
                <w:sz w:val="19"/>
                <w:szCs w:val="19"/>
              </w:rPr>
              <w:t xml:space="preserve">Against face value</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7%</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8%</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9%</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What makes the rate move</w:t>
      </w:r>
      <w:r>
        <w:rPr>
          <w:b/>
          <w:bCs/>
          <w:color w:val="FFFFFF"/>
          <w:sz w:val="16"/>
          <w:szCs w:val="16"/>
        </w:rPr>
        <w:t xml:space="preserve">    two forces, not one</w:t>
      </w:r>
    </w:p>
    <w:p>
      <w:pPr>
        <w:spacing w:before="230" w:after="80"/>
        <w:pBdr>
          <w:top w:val="single" w:sz="12" w:space="7" w:color="353A7C"/>
        </w:pBdr>
      </w:pPr>
      <w:r>
        <w:rPr>
          <w:b/>
          <w:bCs/>
          <w:color w:val="353A7C"/>
          <w:sz w:val="22"/>
          <w:szCs w:val="22"/>
        </w:rPr>
        <w:t xml:space="preserve">Exercise 4B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moves the rate a bond is discounted at.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government bond of the same term is the benchmark. Ask what makes that benchmark move.</w:t>
            </w:r>
          </w:p>
          <w:p>
            <w:pPr>
              <w:spacing w:after="30"/>
            </w:pPr>
            <w:r>
              <w:rPr>
                <w:color w:val="353A7C"/>
                <w:sz w:val="18"/>
                <w:szCs w:val="18"/>
              </w:rPr>
              <w:t xml:space="preserve">•  </w:t>
            </w:r>
            <w:r>
              <w:rPr>
                <w:sz w:val="18"/>
                <w:szCs w:val="18"/>
              </w:rPr>
              <w:t xml:space="preserve">Then ask what makes investors demand more from Northwind than from a government, and what makes that gap widen.</w:t>
            </w:r>
          </w:p>
          <w:p>
            <w:pPr>
              <w:spacing w:after="30"/>
            </w:pPr>
            <w:r>
              <w:rPr>
                <w:color w:val="353A7C"/>
                <w:sz w:val="18"/>
                <w:szCs w:val="18"/>
              </w:rPr>
              <w:t xml:space="preserve">•  </w:t>
            </w:r>
            <w:r>
              <w:rPr>
                <w:sz w:val="18"/>
                <w:szCs w:val="18"/>
              </w:rPr>
              <w:t xml:space="preserve">The last blank is why a ten-year rate and a two-year rate are not the same number on the same day.</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bank</w:t>
            </w:r>
            <w:r>
              <w:rPr>
                <w:b/>
                <w:bCs/>
                <w:color w:val="8186EF"/>
                <w:sz w:val="20"/>
                <w:szCs w:val="20"/>
              </w:rPr>
              <w:t xml:space="preserve">   ·   </w:t>
            </w:r>
            <w:r>
              <w:rPr>
                <w:b/>
                <w:bCs/>
                <w:sz w:val="20"/>
                <w:szCs w:val="20"/>
              </w:rPr>
              <w:t xml:space="preserve">coupon</w:t>
            </w:r>
            <w:r>
              <w:rPr>
                <w:b/>
                <w:bCs/>
                <w:color w:val="8186EF"/>
                <w:sz w:val="20"/>
                <w:szCs w:val="20"/>
              </w:rPr>
              <w:t xml:space="preserve">   ·   </w:t>
            </w:r>
            <w:r>
              <w:rPr>
                <w:b/>
                <w:bCs/>
                <w:sz w:val="20"/>
                <w:szCs w:val="20"/>
              </w:rPr>
              <w:t xml:space="preserve">issuer</w:t>
            </w:r>
            <w:r>
              <w:rPr>
                <w:b/>
                <w:bCs/>
                <w:color w:val="8186EF"/>
                <w:sz w:val="20"/>
                <w:szCs w:val="20"/>
              </w:rPr>
              <w:t xml:space="preserve">   ·   </w:t>
            </w:r>
            <w:r>
              <w:rPr>
                <w:b/>
                <w:bCs/>
                <w:sz w:val="20"/>
                <w:szCs w:val="20"/>
              </w:rPr>
              <w:t xml:space="preserve">premium</w:t>
            </w:r>
            <w:r>
              <w:rPr>
                <w:b/>
                <w:bCs/>
                <w:color w:val="8186EF"/>
                <w:sz w:val="20"/>
                <w:szCs w:val="20"/>
              </w:rPr>
              <w:t xml:space="preserve">   ·   </w:t>
            </w:r>
            <w:r>
              <w:rPr>
                <w:b/>
                <w:bCs/>
                <w:sz w:val="20"/>
                <w:szCs w:val="20"/>
              </w:rPr>
              <w:t xml:space="preserve">risky</w:t>
            </w:r>
            <w:r>
              <w:rPr>
                <w:b/>
                <w:bCs/>
                <w:color w:val="8186EF"/>
                <w:sz w:val="20"/>
                <w:szCs w:val="20"/>
              </w:rPr>
              <w:t xml:space="preserve">   ·   </w:t>
            </w:r>
            <w:r>
              <w:rPr>
                <w:b/>
                <w:bCs/>
                <w:sz w:val="20"/>
                <w:szCs w:val="20"/>
              </w:rPr>
              <w:t xml:space="preserve">spread</w:t>
            </w:r>
            <w:r>
              <w:rPr>
                <w:b/>
                <w:bCs/>
                <w:color w:val="8186EF"/>
                <w:sz w:val="20"/>
                <w:szCs w:val="20"/>
              </w:rPr>
              <w:t xml:space="preserve">   ·   </w:t>
            </w:r>
            <w:r>
              <w:rPr>
                <w:b/>
                <w:bCs/>
                <w:sz w:val="20"/>
                <w:szCs w:val="20"/>
              </w:rPr>
              <w:t xml:space="preserve">structure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rate used to value a bond has two parts. The first is the risk-free rate for that term, which moves with inflation expectations and with what the central </w:t>
      </w:r>
      <w:r>
        <w:rPr>
          <w:vertAlign w:val="superscript"/>
          <w:color w:val="353A7C"/>
          <w:b/>
          <w:sz w:val="16"/>
        </w:rPr>
        <w:t>1</w:t>
      </w:r>
      <w:r>
        <w:rPr>
          <w:u w:val="single"/>
          <w:sz w:val="21"/>
          <w:szCs w:val="21"/>
        </w:rPr>
        <w:t xml:space="preserve">         </w:t>
      </w:r>
      <w:r>
        <w:rPr>
          <w:sz w:val="21"/>
          <w:szCs w:val="21"/>
        </w:rPr>
        <w:t xml:space="preserve"> is doing.</w:t>
      </w:r>
    </w:p>
    <w:p>
      <w:pPr>
        <w:spacing w:before="40" w:after="110" w:line="300" w:lineRule="auto"/>
      </w:pPr>
      <w:r>
        <w:rPr>
          <w:sz w:val="21"/>
          <w:szCs w:val="21"/>
        </w:rPr>
        <w:t xml:space="preserve">The second is the extra return investors require for lending to this particular company rather than to a government. That is the credit </w:t>
      </w:r>
      <w:r>
        <w:rPr>
          <w:vertAlign w:val="superscript"/>
          <w:color w:val="353A7C"/>
          <w:b/>
          <w:sz w:val="16"/>
        </w:rPr>
        <w:t>2</w:t>
      </w:r>
      <w:r>
        <w:rPr>
          <w:u w:val="single"/>
          <w:sz w:val="21"/>
          <w:szCs w:val="21"/>
        </w:rPr>
        <w:t xml:space="preserve">            </w:t>
      </w:r>
      <w:r>
        <w:rPr>
          <w:sz w:val="21"/>
          <w:szCs w:val="21"/>
        </w:rPr>
        <w:t xml:space="preserve">, and it widens when the issuer’s prospects worsen.</w:t>
      </w:r>
    </w:p>
    <w:p>
      <w:pPr>
        <w:spacing w:before="40" w:after="110" w:line="300" w:lineRule="auto"/>
      </w:pPr>
      <w:r>
        <w:rPr>
          <w:sz w:val="21"/>
          <w:szCs w:val="21"/>
        </w:rPr>
        <w:t xml:space="preserve">Either can move on its own. Northwind’s bond can fall in price on a day when interest rates do not move at all, if the market decides the company has become more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And the risk-free rate itself is not one number. It differs by term, which is what the term </w:t>
      </w:r>
      <w:r>
        <w:rPr>
          <w:vertAlign w:val="superscript"/>
          <w:color w:val="353A7C"/>
          <w:b/>
          <w:sz w:val="16"/>
        </w:rPr>
        <w:t>4</w:t>
      </w:r>
      <w:r>
        <w:rPr>
          <w:u w:val="single"/>
          <w:sz w:val="21"/>
          <w:szCs w:val="21"/>
        </w:rPr>
        <w:t xml:space="preserve">                </w:t>
      </w:r>
      <w:r>
        <w:rPr>
          <w:sz w:val="21"/>
          <w:szCs w:val="21"/>
        </w:rPr>
        <w:t xml:space="preserve"> of interest rates describes, so a ten-year bond and a two-year bond are discounted differently on the same day. Reading the term structure of interest rates off a yield curve is how a treasurer decides which maturity to issue.</w:t>
      </w:r>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2624925"/>
                    </a:xfrm>
                    <a:prstGeom prst="rect">
                      <a:avLst/>
                    </a:prstGeom>
                  </pic:spPr>
                </pic:pic>
              </a:graphicData>
            </a:graphic>
          </wp:inline>
        </w:drawing>
      </w:r>
    </w:p>
    <w:p>
      <w:pPr>
        <w:shd w:fill="353A7C" w:val="clear"/>
        <w:spacing w:after="80" w:before="230"/>
      </w:pPr>
      <w:r>
        <w:rPr>
          <w:b/>
          <w:bCs/>
          <w:color w:val="FFFFFF"/>
          <w:sz w:val="26"/>
          <w:szCs w:val="26"/>
        </w:rPr>
        <w:t xml:space="preserve">  Part 3 · Three rates with similar names</w:t>
      </w:r>
      <w:r>
        <w:rPr>
          <w:b/>
          <w:bCs/>
          <w:color w:val="FFFFFF"/>
          <w:sz w:val="16"/>
          <w:szCs w:val="16"/>
        </w:rPr>
        <w:t xml:space="preserve">    and only one of them is the yield</w:t>
      </w:r>
    </w:p>
    <w:p>
      <w:pPr>
        <w:spacing w:before="230" w:after="80"/>
        <w:pBdr>
          <w:top w:val="single" w:sz="12" w:space="7" w:color="353A7C"/>
        </w:pBdr>
      </w:pPr>
      <w:r>
        <w:rPr>
          <w:b/>
          <w:bCs/>
          <w:color w:val="353A7C"/>
          <w:sz w:val="22"/>
          <w:szCs w:val="22"/>
        </w:rPr>
        <w:t xml:space="preserve">Exercise 4C   </w:t>
      </w:r>
      <w:r>
        <w:rPr>
          <w:b/>
          <w:bCs/>
          <w:sz w:val="21"/>
          <w:szCs w:val="21"/>
        </w:rPr>
        <w:t xml:space="preserve">Sort each statement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the coupon rate, the current yield and the yield to maturity.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4B, and Handout 3 on the effective rate.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coupon rate is on the face value; the current yield is on the price. They differ whenever the bond is not at par.</w:t>
            </w:r>
          </w:p>
          <w:p>
            <w:pPr>
              <w:spacing w:after="30"/>
            </w:pPr>
            <w:r>
              <w:rPr>
                <w:color w:val="353A7C"/>
                <w:sz w:val="18"/>
                <w:szCs w:val="18"/>
              </w:rPr>
              <w:t xml:space="preserve">•  </w:t>
            </w:r>
            <w:r>
              <w:rPr>
                <w:sz w:val="18"/>
                <w:szCs w:val="18"/>
              </w:rPr>
              <w:t xml:space="preserve">With the bond at $920,146, a 6% coupon of $60,000 is a current yield of 6.52%.</w:t>
            </w:r>
          </w:p>
          <w:p>
            <w:pPr>
              <w:spacing w:after="30"/>
            </w:pPr>
            <w:r>
              <w:rPr>
                <w:color w:val="353A7C"/>
                <w:sz w:val="18"/>
                <w:szCs w:val="18"/>
              </w:rPr>
              <w:t xml:space="preserve">•  </w:t>
            </w:r>
            <w:r>
              <w:rPr>
                <w:sz w:val="18"/>
                <w:szCs w:val="18"/>
              </w:rPr>
              <w:t xml:space="preserve">Only one of the three accounts for the $79,854 that will be received at maturity.</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Statement</w:t>
            </w:r>
          </w:p>
        </w:tc>
        <w:tc>
          <w:tcPr>
            <w:shd w:fill="353A7C" w:val="clear"/>
            <w:tcMar>
              <w:top w:type="dxa" w:w="55"/>
              <w:left w:type="dxa" w:w="115"/>
              <w:bottom w:type="dxa" w:w="55"/>
              <w:right w:type="dxa" w:w="115"/>
            </w:tcMar>
          </w:tcPr>
          <w:p>
            <w:pPr>
              <w:jc w:val="center"/>
            </w:pPr>
            <w:r>
              <w:rPr>
                <w:b/>
                <w:bCs/>
                <w:color w:val="FFFFFF"/>
                <w:sz w:val="17"/>
                <w:szCs w:val="17"/>
              </w:rPr>
              <w:t xml:space="preserve">COUPON RATE</w:t>
            </w:r>
          </w:p>
        </w:tc>
        <w:tc>
          <w:tcPr>
            <w:shd w:fill="353A7C" w:val="clear"/>
            <w:tcMar>
              <w:top w:type="dxa" w:w="55"/>
              <w:left w:type="dxa" w:w="115"/>
              <w:bottom w:type="dxa" w:w="55"/>
              <w:right w:type="dxa" w:w="115"/>
            </w:tcMar>
          </w:tcPr>
          <w:p>
            <w:pPr>
              <w:jc w:val="center"/>
            </w:pPr>
            <w:r>
              <w:rPr>
                <w:b/>
                <w:bCs/>
                <w:color w:val="FFFFFF"/>
                <w:sz w:val="17"/>
                <w:szCs w:val="17"/>
              </w:rPr>
              <w:t xml:space="preserve">CURRENT YIELD</w:t>
            </w:r>
          </w:p>
        </w:tc>
        <w:tc>
          <w:tcPr>
            <w:shd w:fill="353A7C" w:val="clear"/>
            <w:tcMar>
              <w:top w:type="dxa" w:w="55"/>
              <w:left w:type="dxa" w:w="115"/>
              <w:bottom w:type="dxa" w:w="55"/>
              <w:right w:type="dxa" w:w="115"/>
            </w:tcMar>
          </w:tcPr>
          <w:p>
            <w:pPr>
              <w:jc w:val="center"/>
            </w:pPr>
            <w:r>
              <w:rPr>
                <w:b/>
                <w:bCs/>
                <w:color w:val="FFFFFF"/>
                <w:sz w:val="17"/>
                <w:szCs w:val="17"/>
              </w:rPr>
              <w:t xml:space="preserve">YIELD TO MATURITY</w:t>
            </w:r>
          </w:p>
        </w:tc>
      </w:tr>
      <w:tr>
        <w:tc>
          <w:tcPr>
            <w:tcMar>
              <w:top w:type="dxa" w:w="45"/>
              <w:left w:type="dxa" w:w="105"/>
              <w:bottom w:type="dxa" w:w="45"/>
              <w:right w:type="dxa" w:w="105"/>
            </w:tcMar>
          </w:tcPr>
          <w:p>
            <w:r>
              <w:rPr>
                <w:sz w:val="18"/>
                <w:szCs w:val="18"/>
              </w:rPr>
              <w:t xml:space="preserve">1.  Fixed in the indenture and never changes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The annual coupon divided by the current market price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The rate that discounts all the cash flows back to the price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Ignores the discount that will be received at maturity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Equals the effective rate Handout 3 used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Is 6% on Northwind’s discount bond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4 · How far the price moves</w:t>
      </w:r>
      <w:r>
        <w:rPr>
          <w:b/>
          <w:bCs/>
          <w:color w:val="FFFFFF"/>
          <w:sz w:val="16"/>
          <w:szCs w:val="16"/>
        </w:rPr>
        <w:t xml:space="preserve">    duration</w:t>
      </w:r>
    </w:p>
    <w:p>
      <w:pPr>
        <w:spacing w:before="40" w:after="110" w:line="300" w:lineRule="auto"/>
      </w:pPr>
      <w:r>
        <w:rPr>
          <w:b/>
          <w:color w:val="6D3F7E"/>
          <w:sz w:val="13"/>
        </w:rPr>
        <w:t xml:space="preserve">R3  </w:t>
      </w:r>
      <w:r>
        <w:rPr>
          <w:sz w:val="21"/>
          <w:szCs w:val="21"/>
        </w:rPr>
        <w:t xml:space="preserve">Two bonds from the same issuer do not move by the same amount when rates change. The one whose cash flows arrive later moves more, because every one of its payments is discounted over more periods. Duration measures that, and it is quoted in years.</w:t>
      </w:r>
    </w:p>
    <w:p>
      <w:pPr>
        <w:spacing w:before="230" w:after="80"/>
        <w:pBdr>
          <w:top w:val="single" w:sz="12" w:space="7" w:color="353A7C"/>
        </w:pBdr>
      </w:pPr>
      <w:r>
        <w:rPr>
          <w:b/>
          <w:bCs/>
          <w:color w:val="353A7C"/>
          <w:sz w:val="22"/>
          <w:szCs w:val="22"/>
        </w:rPr>
        <w:t xml:space="preserve">Exercise 4D   </w:t>
      </w:r>
      <w:r>
        <w:rPr>
          <w:b/>
          <w:bCs/>
          <w:sz w:val="21"/>
          <w:szCs w:val="21"/>
        </w:rPr>
        <w:t xml:space="preserve">Complete the grid, then say which bond is most sensitive.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Measure how far three bonds move when the market rate rises by one point.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4A, and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row is the same 6% coupon bond with a different term. Price each one at 8% and again at 9%.</w:t>
            </w:r>
          </w:p>
          <w:p>
            <w:pPr>
              <w:spacing w:after="30"/>
            </w:pPr>
            <w:r>
              <w:rPr>
                <w:color w:val="353A7C"/>
                <w:sz w:val="18"/>
                <w:szCs w:val="18"/>
              </w:rPr>
              <w:t xml:space="preserve">•  </w:t>
            </w:r>
            <w:r>
              <w:rPr>
                <w:sz w:val="18"/>
                <w:szCs w:val="18"/>
              </w:rPr>
              <w:t xml:space="preserve">The last column is the change as a percentage of the starting price, not in dollars.</w:t>
            </w:r>
          </w:p>
          <w:p>
            <w:pPr>
              <w:spacing w:after="30"/>
            </w:pPr>
            <w:r>
              <w:rPr>
                <w:color w:val="353A7C"/>
                <w:sz w:val="18"/>
                <w:szCs w:val="18"/>
              </w:rPr>
              <w:t xml:space="preserve">•  </w:t>
            </w:r>
            <w:r>
              <w:rPr>
                <w:sz w:val="18"/>
                <w:szCs w:val="18"/>
              </w:rPr>
              <w:t xml:space="preserve">The three answers should get larger as you go down the table, and the question is why.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24"/>
        <w:gridCol w:w="24"/>
        <w:gridCol w:w="24"/>
      </w:tblGrid>
      <w:tr>
        <w:tc>
          <w:tcPr>
            <w:shd w:fill="A05A2B" w:val="clear"/>
            <w:tcMar>
              <w:top w:type="dxa" w:w="60"/>
              <w:left w:type="dxa" w:w="120"/>
              <w:bottom w:type="dxa" w:w="60"/>
              <w:right w:type="dxa" w:w="120"/>
            </w:tcMar>
          </w:tcPr>
          <w:p>
            <w:r>
              <w:rPr>
                <w:b/>
                <w:bCs/>
                <w:color w:val="FFFFFF"/>
                <w:sz w:val="19"/>
                <w:szCs w:val="19"/>
              </w:rPr>
              <w:t xml:space="preserve">Bond</w:t>
            </w:r>
          </w:p>
        </w:tc>
        <w:tc>
          <w:tcPr>
            <w:shd w:fill="A05A2B" w:val="clear"/>
            <w:tcMar>
              <w:top w:type="dxa" w:w="60"/>
              <w:left w:type="dxa" w:w="120"/>
              <w:bottom w:type="dxa" w:w="60"/>
              <w:right w:type="dxa" w:w="120"/>
            </w:tcMar>
          </w:tcPr>
          <w:p>
            <w:r>
              <w:rPr>
                <w:b/>
                <w:bCs/>
                <w:color w:val="FFFFFF"/>
                <w:sz w:val="19"/>
                <w:szCs w:val="19"/>
              </w:rPr>
              <w:t xml:space="preserve">Price at 8%</w:t>
            </w:r>
          </w:p>
        </w:tc>
        <w:tc>
          <w:tcPr>
            <w:shd w:fill="A05A2B" w:val="clear"/>
            <w:tcMar>
              <w:top w:type="dxa" w:w="60"/>
              <w:left w:type="dxa" w:w="120"/>
              <w:bottom w:type="dxa" w:w="60"/>
              <w:right w:type="dxa" w:w="120"/>
            </w:tcMar>
          </w:tcPr>
          <w:p>
            <w:r>
              <w:rPr>
                <w:b/>
                <w:bCs/>
                <w:color w:val="FFFFFF"/>
                <w:sz w:val="19"/>
                <w:szCs w:val="19"/>
              </w:rPr>
              <w:t xml:space="preserve">Price at 9%</w:t>
            </w:r>
          </w:p>
        </w:tc>
        <w:tc>
          <w:tcPr>
            <w:shd w:fill="A05A2B" w:val="clear"/>
            <w:tcMar>
              <w:top w:type="dxa" w:w="60"/>
              <w:left w:type="dxa" w:w="120"/>
              <w:bottom w:type="dxa" w:w="60"/>
              <w:right w:type="dxa" w:w="120"/>
            </w:tcMar>
          </w:tcPr>
          <w:p>
            <w:r>
              <w:rPr>
                <w:b/>
                <w:bCs/>
                <w:color w:val="FFFFFF"/>
                <w:sz w:val="19"/>
                <w:szCs w:val="19"/>
              </w:rPr>
              <w:t xml:space="preserve">Change</w:t>
            </w:r>
          </w:p>
        </w:tc>
      </w:tr>
      <w:tr>
        <w:tc>
          <w:tcPr>
            <w:tcMar>
              <w:top w:type="dxa" w:w="60"/>
              <w:left w:type="dxa" w:w="120"/>
              <w:bottom w:type="dxa" w:w="60"/>
              <w:right w:type="dxa" w:w="120"/>
            </w:tcMar>
          </w:tcPr>
          <w:p>
            <w:r>
              <w:rPr>
                <w:sz w:val="19"/>
                <w:szCs w:val="19"/>
              </w:rPr>
              <w:t xml:space="preserve">2-year, 6% coupon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5-year, 6% coupon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10-year, 6% coupon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5 · What the market price does not touch</w:t>
      </w:r>
      <w:r>
        <w:rPr>
          <w:b/>
          <w:bCs/>
          <w:color w:val="FFFFFF"/>
          <w:sz w:val="16"/>
          <w:szCs w:val="16"/>
        </w:rPr>
        <w:t xml:space="preserve">    the books</w:t>
      </w:r>
    </w:p>
    <w:p>
      <w:pPr>
        <w:spacing w:before="230" w:after="80"/>
        <w:pBdr>
          <w:top w:val="single" w:sz="12" w:space="7" w:color="353A7C"/>
        </w:pBdr>
      </w:pPr>
      <w:r>
        <w:rPr>
          <w:b/>
          <w:bCs/>
          <w:color w:val="353A7C"/>
          <w:sz w:val="22"/>
          <w:szCs w:val="22"/>
        </w:rPr>
        <w:t xml:space="preserve">Exercise 4E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the carrying amount does not follow the market price.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4D, and Handout 3 Exercise 3B.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Handout 3 built a schedule that reached $933,758 in year one. Ask what rate that schedule used.</w:t>
            </w:r>
          </w:p>
          <w:p>
            <w:pPr>
              <w:spacing w:after="30"/>
            </w:pPr>
            <w:r>
              <w:rPr>
                <w:color w:val="353A7C"/>
                <w:sz w:val="18"/>
                <w:szCs w:val="18"/>
              </w:rPr>
              <w:t xml:space="preserve">•  </w:t>
            </w:r>
            <w:r>
              <w:rPr>
                <w:sz w:val="18"/>
                <w:szCs w:val="18"/>
              </w:rPr>
              <w:t xml:space="preserve">The effective rate was fixed at issue. Nothing in Exercise 4A changed it.</w:t>
            </w:r>
          </w:p>
          <w:p>
            <w:pPr>
              <w:spacing w:after="30"/>
            </w:pPr>
            <w:r>
              <w:rPr>
                <w:color w:val="353A7C"/>
                <w:sz w:val="18"/>
                <w:szCs w:val="18"/>
              </w:rPr>
              <w:t xml:space="preserve">•  </w:t>
            </w:r>
            <w:r>
              <w:rPr>
                <w:sz w:val="18"/>
                <w:szCs w:val="18"/>
              </w:rPr>
              <w:t xml:space="preserve">The last blank is who bears the loss when rates rise, and it is not the company that issued the bond.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w:t>
            </w:r>
            <w:r>
              <w:rPr>
                <w:b/>
                <w:bCs/>
                <w:color w:val="8186EF"/>
                <w:sz w:val="20"/>
                <w:szCs w:val="20"/>
              </w:rPr>
              <w:t xml:space="preserve">   ·   </w:t>
            </w:r>
            <w:r>
              <w:rPr>
                <w:b/>
                <w:bCs/>
                <w:sz w:val="20"/>
                <w:szCs w:val="20"/>
              </w:rPr>
              <w:t xml:space="preserve">coupon</w:t>
            </w:r>
            <w:r>
              <w:rPr>
                <w:b/>
                <w:bCs/>
                <w:color w:val="8186EF"/>
                <w:sz w:val="20"/>
                <w:szCs w:val="20"/>
              </w:rPr>
              <w:t xml:space="preserve">   ·   </w:t>
            </w:r>
            <w:r>
              <w:rPr>
                <w:b/>
                <w:bCs/>
                <w:sz w:val="20"/>
                <w:szCs w:val="20"/>
              </w:rPr>
              <w:t xml:space="preserve">issue</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maturity</w:t>
            </w:r>
            <w:r>
              <w:rPr>
                <w:b/>
                <w:bCs/>
                <w:color w:val="8186EF"/>
                <w:sz w:val="20"/>
                <w:szCs w:val="20"/>
              </w:rPr>
              <w:t xml:space="preserve">   ·   </w:t>
            </w:r>
            <w:r>
              <w:rPr>
                <w:b/>
                <w:bCs/>
                <w:sz w:val="20"/>
                <w:szCs w:val="20"/>
              </w:rPr>
              <w:t xml:space="preserve">repurchase</w:t>
            </w:r>
            <w:r>
              <w:rPr>
                <w:b/>
                <w:bCs/>
                <w:color w:val="8186EF"/>
                <w:sz w:val="20"/>
                <w:szCs w:val="20"/>
              </w:rPr>
              <w:t xml:space="preserve">   ·   </w:t>
            </w:r>
            <w:r>
              <w:rPr>
                <w:b/>
                <w:bCs/>
                <w:sz w:val="20"/>
                <w:szCs w:val="20"/>
              </w:rPr>
              <w:t xml:space="preserve">risk</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Suppose rates rise to 10% and the bond falls to $848,369 in the market. Handout 3’s schedule still shows a carrying amount of $933,758 at the end of year one, because that schedule uses the rate fixed at </w:t>
      </w:r>
      <w:r>
        <w:rPr>
          <w:vertAlign w:val="superscript"/>
          <w:color w:val="353A7C"/>
          <w:b/>
          <w:sz w:val="16"/>
        </w:rPr>
        <w:t>5</w:t>
      </w:r>
      <w:r>
        <w:rPr>
          <w:u w:val="single"/>
          <w:sz w:val="21"/>
          <w:szCs w:val="21"/>
        </w:rPr>
        <w:t xml:space="preserve">          </w:t>
      </w:r>
      <w:r>
        <w:rPr>
          <w:sz w:val="21"/>
          <w:szCs w:val="21"/>
        </w:rPr>
        <w:t xml:space="preserve">.</w:t>
      </w:r>
    </w:p>
    <w:p>
      <w:pPr>
        <w:spacing w:before="40" w:after="110" w:line="300" w:lineRule="auto"/>
      </w:pPr>
      <w:r>
        <w:rPr>
          <w:sz w:val="21"/>
          <w:szCs w:val="21"/>
        </w:rPr>
        <w:t xml:space="preserve">Northwind still owes $1,000,000 at maturity and still pays $60,000 a year. Nothing the market does changes either, so nothing about its </w:t>
      </w:r>
      <w:r>
        <w:rPr>
          <w:vertAlign w:val="superscript"/>
          <w:color w:val="353A7C"/>
          <w:b/>
          <w:sz w:val="16"/>
        </w:rPr>
        <w:t>6</w:t>
      </w:r>
      <w:r>
        <w:rPr>
          <w:u w:val="single"/>
          <w:sz w:val="21"/>
          <w:szCs w:val="21"/>
        </w:rPr>
        <w:t xml:space="preserve">                </w:t>
      </w:r>
      <w:r>
        <w:rPr>
          <w:sz w:val="21"/>
          <w:szCs w:val="21"/>
        </w:rPr>
        <w:t xml:space="preserve"> changes.</w:t>
      </w:r>
    </w:p>
    <w:p>
      <w:pPr>
        <w:spacing w:before="40" w:after="110" w:line="300" w:lineRule="auto"/>
      </w:pPr>
      <w:r>
        <w:rPr>
          <w:sz w:val="21"/>
          <w:szCs w:val="21"/>
        </w:rPr>
        <w:t xml:space="preserve">The fall is borne by whoever holds the bond. Interest rate risk is the holder’s </w:t>
      </w:r>
      <w:r>
        <w:rPr>
          <w:vertAlign w:val="superscript"/>
          <w:color w:val="353A7C"/>
          <w:b/>
          <w:sz w:val="16"/>
        </w:rPr>
        <w:t>7</w:t>
      </w:r>
      <w:r>
        <w:rPr>
          <w:u w:val="single"/>
          <w:sz w:val="21"/>
          <w:szCs w:val="21"/>
        </w:rPr>
        <w:t xml:space="preserve">         </w:t>
      </w:r>
      <w:r>
        <w:rPr>
          <w:sz w:val="21"/>
          <w:szCs w:val="21"/>
        </w:rPr>
        <w:t xml:space="preserve"> and not the issuer’s, and Volume 6 showed how a holder reports it depending on the classification.</w:t>
      </w:r>
    </w:p>
    <w:p>
      <w:pPr>
        <w:spacing w:before="40" w:after="110" w:line="300" w:lineRule="auto"/>
      </w:pPr>
      <w:r>
        <w:rPr>
          <w:sz w:val="21"/>
          <w:szCs w:val="21"/>
        </w:rPr>
        <w:t xml:space="preserve">The one case where the issuer is affected is a </w:t>
      </w:r>
      <w:r>
        <w:rPr>
          <w:vertAlign w:val="superscript"/>
          <w:color w:val="353A7C"/>
          <w:b/>
          <w:sz w:val="16"/>
        </w:rPr>
        <w:t>8</w:t>
      </w:r>
      <w:r>
        <w:rPr>
          <w:u w:val="single"/>
          <w:sz w:val="21"/>
          <w:szCs w:val="21"/>
        </w:rPr>
        <w:t xml:space="preserve">                  </w:t>
      </w:r>
      <w:r>
        <w:rPr>
          <w:sz w:val="21"/>
          <w:szCs w:val="21"/>
        </w:rPr>
        <w:t xml:space="preserve">. If Northwind buys its own bond back at $848,369 it settles a $933,758 liability for less, and Handout 5 works that entry.</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18221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Price and yield move in opposite directions, always. If a question says rates rose and offers you a higher price, it is offering a distractor; and the longer the bond, the bigger the move, which is what duration is for.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bond is valued by discounting:</w:t>
      </w:r>
    </w:p>
    <w:p>
      <w:pPr>
        <w:ind w:left="340"/>
        <w:spacing w:after="30"/>
      </w:pPr>
      <w:r>
        <w:rPr>
          <w:color w:val="6B7280"/>
          <w:sz w:val="19"/>
          <w:szCs w:val="19"/>
        </w:rPr>
        <w:t xml:space="preserve">(A)  </w:t>
      </w:r>
      <w:r>
        <w:rPr>
          <w:sz w:val="19"/>
          <w:szCs w:val="19"/>
        </w:rPr>
        <w:t xml:space="preserve">The face value only, at the coupon rate</w:t>
      </w:r>
    </w:p>
    <w:p>
      <w:pPr>
        <w:ind w:left="340"/>
        <w:spacing w:after="30"/>
      </w:pPr>
      <w:r>
        <w:rPr>
          <w:color w:val="6B7280"/>
          <w:sz w:val="19"/>
          <w:szCs w:val="19"/>
        </w:rPr>
        <w:t xml:space="preserve">(B)  </w:t>
      </w:r>
      <w:r>
        <w:rPr>
          <w:sz w:val="19"/>
          <w:szCs w:val="19"/>
        </w:rPr>
        <w:t xml:space="preserve">The coupons and the face value, at the market rate</w:t>
      </w:r>
    </w:p>
    <w:p>
      <w:pPr>
        <w:ind w:left="340"/>
        <w:spacing w:after="30"/>
      </w:pPr>
      <w:r>
        <w:rPr>
          <w:color w:val="6B7280"/>
          <w:sz w:val="19"/>
          <w:szCs w:val="19"/>
        </w:rPr>
        <w:t xml:space="preserve">(C)  </w:t>
      </w:r>
      <w:r>
        <w:rPr>
          <w:sz w:val="19"/>
          <w:szCs w:val="19"/>
        </w:rPr>
        <w:t xml:space="preserve">The coupons only, at the market rate</w:t>
      </w:r>
    </w:p>
    <w:p>
      <w:pPr>
        <w:ind w:left="340"/>
        <w:spacing w:after="30"/>
      </w:pPr>
      <w:r>
        <w:rPr>
          <w:color w:val="6B7280"/>
          <w:sz w:val="19"/>
          <w:szCs w:val="19"/>
        </w:rPr>
        <w:t xml:space="preserve">(D)  </w:t>
      </w:r>
      <w:r>
        <w:rPr>
          <w:sz w:val="19"/>
          <w:szCs w:val="19"/>
        </w:rPr>
        <w:t xml:space="preserve">The total cash the bond will pay, at the coupon rate</w:t>
      </w:r>
    </w:p>
    <w:p>
      <w:pPr>
        <w:spacing w:before="150" w:after="60"/>
      </w:pPr>
      <w:r>
        <w:rPr>
          <w:b/>
          <w:bCs/>
          <w:color w:val="353A7C"/>
          <w:sz w:val="19"/>
          <w:szCs w:val="19"/>
        </w:rPr>
        <w:t xml:space="preserve">2.  [Level A]  </w:t>
      </w:r>
      <w:r>
        <w:rPr>
          <w:b/>
          <w:bCs/>
          <w:sz w:val="19"/>
          <w:szCs w:val="19"/>
        </w:rPr>
        <w:t xml:space="preserve">If market interest rates rise, the price of an existing bond:</w:t>
      </w:r>
    </w:p>
    <w:p>
      <w:pPr>
        <w:ind w:left="340"/>
        <w:spacing w:after="30"/>
      </w:pPr>
      <w:r>
        <w:rPr>
          <w:color w:val="6B7280"/>
          <w:sz w:val="19"/>
          <w:szCs w:val="19"/>
        </w:rPr>
        <w:t xml:space="preserve">(A)  </w:t>
      </w:r>
      <w:r>
        <w:rPr>
          <w:sz w:val="19"/>
          <w:szCs w:val="19"/>
        </w:rPr>
        <w:t xml:space="preserve">Rises</w:t>
      </w:r>
    </w:p>
    <w:p>
      <w:pPr>
        <w:ind w:left="340"/>
        <w:spacing w:after="30"/>
      </w:pPr>
      <w:r>
        <w:rPr>
          <w:color w:val="6B7280"/>
          <w:sz w:val="19"/>
          <w:szCs w:val="19"/>
        </w:rPr>
        <w:t xml:space="preserve">(B)  </w:t>
      </w:r>
      <w:r>
        <w:rPr>
          <w:sz w:val="19"/>
          <w:szCs w:val="19"/>
        </w:rPr>
        <w:t xml:space="preserve">Falls</w:t>
      </w:r>
    </w:p>
    <w:p>
      <w:pPr>
        <w:ind w:left="340"/>
        <w:spacing w:after="30"/>
      </w:pPr>
      <w:r>
        <w:rPr>
          <w:color w:val="6B7280"/>
          <w:sz w:val="19"/>
          <w:szCs w:val="19"/>
        </w:rPr>
        <w:t xml:space="preserve">(C)  </w:t>
      </w:r>
      <w:r>
        <w:rPr>
          <w:sz w:val="19"/>
          <w:szCs w:val="19"/>
        </w:rPr>
        <w:t xml:space="preserve">Is unchanged</w:t>
      </w:r>
    </w:p>
    <w:p>
      <w:pPr>
        <w:ind w:left="340"/>
        <w:spacing w:after="30"/>
      </w:pPr>
      <w:r>
        <w:rPr>
          <w:color w:val="6B7280"/>
          <w:sz w:val="19"/>
          <w:szCs w:val="19"/>
        </w:rPr>
        <w:t xml:space="preserve">(D)  </w:t>
      </w:r>
      <w:r>
        <w:rPr>
          <w:sz w:val="19"/>
          <w:szCs w:val="19"/>
        </w:rPr>
        <w:t xml:space="preserve">Rises if it was issued at a discount</w:t>
      </w:r>
    </w:p>
    <w:p>
      <w:pPr>
        <w:spacing w:before="150" w:after="60"/>
      </w:pPr>
      <w:r>
        <w:rPr>
          <w:b/>
          <w:bCs/>
          <w:color w:val="353A7C"/>
          <w:sz w:val="19"/>
          <w:szCs w:val="19"/>
        </w:rPr>
        <w:t xml:space="preserve">3.  [Level B]  </w:t>
      </w:r>
      <w:r>
        <w:rPr>
          <w:b/>
          <w:bCs/>
          <w:sz w:val="19"/>
          <w:szCs w:val="19"/>
        </w:rPr>
        <w:t xml:space="preserve">A $1,000,000 bond with a 6% coupon trades at $920,146. Its current yield is:</w:t>
      </w:r>
    </w:p>
    <w:p>
      <w:pPr>
        <w:ind w:left="340"/>
        <w:spacing w:after="30"/>
      </w:pPr>
      <w:r>
        <w:rPr>
          <w:color w:val="6B7280"/>
          <w:sz w:val="19"/>
          <w:szCs w:val="19"/>
        </w:rPr>
        <w:t xml:space="preserve">(A)  </w:t>
      </w:r>
      <w:r>
        <w:rPr>
          <w:sz w:val="19"/>
          <w:szCs w:val="19"/>
        </w:rPr>
        <w:t xml:space="preserve">6%</w:t>
      </w:r>
    </w:p>
    <w:p>
      <w:pPr>
        <w:ind w:left="340"/>
        <w:spacing w:after="30"/>
      </w:pPr>
      <w:r>
        <w:rPr>
          <w:color w:val="6B7280"/>
          <w:sz w:val="19"/>
          <w:szCs w:val="19"/>
        </w:rPr>
        <w:t xml:space="preserve">(B)  </w:t>
      </w:r>
      <w:r>
        <w:rPr>
          <w:sz w:val="19"/>
          <w:szCs w:val="19"/>
        </w:rPr>
        <w:t xml:space="preserve">6.52%</w:t>
      </w:r>
    </w:p>
    <w:p>
      <w:pPr>
        <w:ind w:left="340"/>
        <w:spacing w:after="30"/>
      </w:pPr>
      <w:r>
        <w:rPr>
          <w:color w:val="6B7280"/>
          <w:sz w:val="19"/>
          <w:szCs w:val="19"/>
        </w:rPr>
        <w:t xml:space="preserve">(C)  </w:t>
      </w:r>
      <w:r>
        <w:rPr>
          <w:sz w:val="19"/>
          <w:szCs w:val="19"/>
        </w:rPr>
        <w:t xml:space="preserve">8%</w:t>
      </w:r>
    </w:p>
    <w:p>
      <w:pPr>
        <w:ind w:left="340"/>
        <w:spacing w:after="30"/>
      </w:pPr>
      <w:r>
        <w:rPr>
          <w:color w:val="6B7280"/>
          <w:sz w:val="19"/>
          <w:szCs w:val="19"/>
        </w:rPr>
        <w:t xml:space="preserve">(D)  </w:t>
      </w:r>
      <w:r>
        <w:rPr>
          <w:sz w:val="19"/>
          <w:szCs w:val="19"/>
        </w:rPr>
        <w:t xml:space="preserve">7.99%</w:t>
      </w:r>
    </w:p>
    <w:p>
      <w:pPr>
        <w:spacing w:before="150" w:after="60"/>
      </w:pPr>
      <w:r>
        <w:rPr>
          <w:b/>
          <w:bCs/>
          <w:color w:val="353A7C"/>
          <w:sz w:val="19"/>
          <w:szCs w:val="19"/>
        </w:rPr>
        <w:t xml:space="preserve">4.  [Level B]  </w:t>
      </w:r>
      <w:r>
        <w:rPr>
          <w:b/>
          <w:bCs/>
          <w:sz w:val="19"/>
          <w:szCs w:val="19"/>
        </w:rPr>
        <w:t xml:space="preserve">Duration measures:</w:t>
      </w:r>
    </w:p>
    <w:p>
      <w:pPr>
        <w:ind w:left="340"/>
        <w:spacing w:after="30"/>
      </w:pPr>
      <w:r>
        <w:rPr>
          <w:color w:val="6B7280"/>
          <w:sz w:val="19"/>
          <w:szCs w:val="19"/>
        </w:rPr>
        <w:t xml:space="preserve">(A)  </w:t>
      </w:r>
      <w:r>
        <w:rPr>
          <w:sz w:val="19"/>
          <w:szCs w:val="19"/>
        </w:rPr>
        <w:t xml:space="preserve">The number of years to maturity</w:t>
      </w:r>
    </w:p>
    <w:p>
      <w:pPr>
        <w:ind w:left="340"/>
        <w:spacing w:after="30"/>
      </w:pPr>
      <w:r>
        <w:rPr>
          <w:color w:val="6B7280"/>
          <w:sz w:val="19"/>
          <w:szCs w:val="19"/>
        </w:rPr>
        <w:t xml:space="preserve">(B)  </w:t>
      </w:r>
      <w:r>
        <w:rPr>
          <w:sz w:val="19"/>
          <w:szCs w:val="19"/>
        </w:rPr>
        <w:t xml:space="preserve">How much a bond’s price moves when interest rates change</w:t>
      </w:r>
    </w:p>
    <w:p>
      <w:pPr>
        <w:ind w:left="340"/>
        <w:spacing w:after="30"/>
      </w:pPr>
      <w:r>
        <w:rPr>
          <w:color w:val="6B7280"/>
          <w:sz w:val="19"/>
          <w:szCs w:val="19"/>
        </w:rPr>
        <w:t xml:space="preserve">(C)  </w:t>
      </w:r>
      <w:r>
        <w:rPr>
          <w:sz w:val="19"/>
          <w:szCs w:val="19"/>
        </w:rPr>
        <w:t xml:space="preserve">The credit risk of the issuer</w:t>
      </w:r>
    </w:p>
    <w:p>
      <w:pPr>
        <w:ind w:left="340"/>
        <w:spacing w:after="30"/>
      </w:pPr>
      <w:r>
        <w:rPr>
          <w:color w:val="6B7280"/>
          <w:sz w:val="19"/>
          <w:szCs w:val="19"/>
        </w:rPr>
        <w:t xml:space="preserve">(D)  </w:t>
      </w:r>
      <w:r>
        <w:rPr>
          <w:sz w:val="19"/>
          <w:szCs w:val="19"/>
        </w:rPr>
        <w:t xml:space="preserve">The total interest a bond will pay</w:t>
      </w:r>
    </w:p>
    <w:p>
      <w:pPr>
        <w:spacing w:before="150" w:after="60"/>
      </w:pPr>
      <w:r>
        <w:rPr>
          <w:b/>
          <w:bCs/>
          <w:color w:val="353A7C"/>
          <w:sz w:val="19"/>
          <w:szCs w:val="19"/>
        </w:rPr>
        <w:t xml:space="preserve">5.  [Level C]  </w:t>
      </w:r>
      <w:r>
        <w:rPr>
          <w:b/>
          <w:bCs/>
          <w:sz w:val="19"/>
          <w:szCs w:val="19"/>
        </w:rPr>
        <w:t xml:space="preserve">Of two bonds from the same issuer with the same coupon, the one with the longer maturity has:</w:t>
      </w:r>
    </w:p>
    <w:p>
      <w:pPr>
        <w:ind w:left="340"/>
        <w:spacing w:after="30"/>
      </w:pPr>
      <w:r>
        <w:rPr>
          <w:color w:val="6B7280"/>
          <w:sz w:val="19"/>
          <w:szCs w:val="19"/>
        </w:rPr>
        <w:t xml:space="preserve">(A)  </w:t>
      </w:r>
      <w:r>
        <w:rPr>
          <w:sz w:val="19"/>
          <w:szCs w:val="19"/>
        </w:rPr>
        <w:t xml:space="preserve">Lower duration and a smaller price movement</w:t>
      </w:r>
    </w:p>
    <w:p>
      <w:pPr>
        <w:ind w:left="340"/>
        <w:spacing w:after="30"/>
      </w:pPr>
      <w:r>
        <w:rPr>
          <w:color w:val="6B7280"/>
          <w:sz w:val="19"/>
          <w:szCs w:val="19"/>
        </w:rPr>
        <w:t xml:space="preserve">(B)  </w:t>
      </w:r>
      <w:r>
        <w:rPr>
          <w:sz w:val="19"/>
          <w:szCs w:val="19"/>
        </w:rPr>
        <w:t xml:space="preserve">Higher duration and a larger price movement</w:t>
      </w:r>
    </w:p>
    <w:p>
      <w:pPr>
        <w:ind w:left="340"/>
        <w:spacing w:after="30"/>
      </w:pPr>
      <w:r>
        <w:rPr>
          <w:color w:val="6B7280"/>
          <w:sz w:val="19"/>
          <w:szCs w:val="19"/>
        </w:rPr>
        <w:t xml:space="preserve">(C)  </w:t>
      </w:r>
      <w:r>
        <w:rPr>
          <w:sz w:val="19"/>
          <w:szCs w:val="19"/>
        </w:rPr>
        <w:t xml:space="preserve">The same duration</w:t>
      </w:r>
    </w:p>
    <w:p>
      <w:pPr>
        <w:ind w:left="340"/>
        <w:spacing w:after="30"/>
      </w:pPr>
      <w:r>
        <w:rPr>
          <w:color w:val="6B7280"/>
          <w:sz w:val="19"/>
          <w:szCs w:val="19"/>
        </w:rPr>
        <w:t xml:space="preserve">(D)  </w:t>
      </w:r>
      <w:r>
        <w:rPr>
          <w:sz w:val="19"/>
          <w:szCs w:val="19"/>
        </w:rPr>
        <w:t xml:space="preserve">Higher duration but a smaller price movement</w:t>
      </w:r>
    </w:p>
    <w:p>
      <w:pPr>
        <w:spacing w:before="150" w:after="60"/>
      </w:pPr>
      <w:r>
        <w:rPr>
          <w:b/>
          <w:bCs/>
          <w:color w:val="353A7C"/>
          <w:sz w:val="19"/>
          <w:szCs w:val="19"/>
        </w:rPr>
        <w:t xml:space="preserve">6.  [Level C]  </w:t>
      </w:r>
      <w:r>
        <w:rPr>
          <w:b/>
          <w:bCs/>
          <w:sz w:val="19"/>
          <w:szCs w:val="19"/>
        </w:rPr>
        <w:t xml:space="preserve">A bond falls in price on a day when risk-free rates are unchanged. The most likely cause is:</w:t>
      </w:r>
    </w:p>
    <w:p>
      <w:pPr>
        <w:ind w:left="340"/>
        <w:spacing w:after="30"/>
      </w:pPr>
      <w:r>
        <w:rPr>
          <w:color w:val="6B7280"/>
          <w:sz w:val="19"/>
          <w:szCs w:val="19"/>
        </w:rPr>
        <w:t xml:space="preserve">(A)  </w:t>
      </w:r>
      <w:r>
        <w:rPr>
          <w:sz w:val="19"/>
          <w:szCs w:val="19"/>
        </w:rPr>
        <w:t xml:space="preserve">An error in the quotation</w:t>
      </w:r>
    </w:p>
    <w:p>
      <w:pPr>
        <w:ind w:left="340"/>
        <w:spacing w:after="30"/>
      </w:pPr>
      <w:r>
        <w:rPr>
          <w:color w:val="6B7280"/>
          <w:sz w:val="19"/>
          <w:szCs w:val="19"/>
        </w:rPr>
        <w:t xml:space="preserve">(B)  </w:t>
      </w:r>
      <w:r>
        <w:rPr>
          <w:sz w:val="19"/>
          <w:szCs w:val="19"/>
        </w:rPr>
        <w:t xml:space="preserve">A widening of the issuer’s credit spread</w:t>
      </w:r>
    </w:p>
    <w:p>
      <w:pPr>
        <w:ind w:left="340"/>
        <w:spacing w:after="30"/>
      </w:pPr>
      <w:r>
        <w:rPr>
          <w:color w:val="6B7280"/>
          <w:sz w:val="19"/>
          <w:szCs w:val="19"/>
        </w:rPr>
        <w:t xml:space="preserve">(C)  </w:t>
      </w:r>
      <w:r>
        <w:rPr>
          <w:sz w:val="19"/>
          <w:szCs w:val="19"/>
        </w:rPr>
        <w:t xml:space="preserve">A change in the coupon rate</w:t>
      </w:r>
    </w:p>
    <w:p>
      <w:pPr>
        <w:ind w:left="340"/>
        <w:spacing w:after="30"/>
      </w:pPr>
      <w:r>
        <w:rPr>
          <w:color w:val="6B7280"/>
          <w:sz w:val="19"/>
          <w:szCs w:val="19"/>
        </w:rPr>
        <w:t xml:space="preserve">(D)  </w:t>
      </w:r>
      <w:r>
        <w:rPr>
          <w:sz w:val="19"/>
          <w:szCs w:val="19"/>
        </w:rPr>
        <w:t xml:space="preserve">Amortisation of the discount</w:t>
      </w:r>
    </w:p>
    <w:p>
      <w:pPr>
        <w:spacing w:before="150" w:after="60"/>
      </w:pPr>
      <w:r>
        <w:rPr>
          <w:b/>
          <w:bCs/>
          <w:color w:val="353A7C"/>
          <w:sz w:val="19"/>
          <w:szCs w:val="19"/>
        </w:rPr>
        <w:t xml:space="preserve">7.  [Level C]  </w:t>
      </w:r>
      <w:r>
        <w:rPr>
          <w:b/>
          <w:bCs/>
          <w:sz w:val="19"/>
          <w:szCs w:val="19"/>
        </w:rPr>
        <w:t xml:space="preserve">Market rates rise sharply after Northwind issues its bond. The carrying amount of the liability in Northwind’s balance sheet:</w:t>
      </w:r>
    </w:p>
    <w:p>
      <w:pPr>
        <w:ind w:left="340"/>
        <w:spacing w:after="30"/>
      </w:pPr>
      <w:r>
        <w:rPr>
          <w:color w:val="6B7280"/>
          <w:sz w:val="19"/>
          <w:szCs w:val="19"/>
        </w:rPr>
        <w:t xml:space="preserve">(A)  </w:t>
      </w:r>
      <w:r>
        <w:rPr>
          <w:sz w:val="19"/>
          <w:szCs w:val="19"/>
        </w:rPr>
        <w:t xml:space="preserve">Falls to the new market price</w:t>
      </w:r>
    </w:p>
    <w:p>
      <w:pPr>
        <w:ind w:left="340"/>
        <w:spacing w:after="30"/>
      </w:pPr>
      <w:r>
        <w:rPr>
          <w:color w:val="6B7280"/>
          <w:sz w:val="19"/>
          <w:szCs w:val="19"/>
        </w:rPr>
        <w:t xml:space="preserve">(B)  </w:t>
      </w:r>
      <w:r>
        <w:rPr>
          <w:sz w:val="19"/>
          <w:szCs w:val="19"/>
        </w:rPr>
        <w:t xml:space="preserve">Continues to follow the schedule built at the issue rate</w:t>
      </w:r>
    </w:p>
    <w:p>
      <w:pPr>
        <w:ind w:left="340"/>
        <w:spacing w:after="30"/>
      </w:pPr>
      <w:r>
        <w:rPr>
          <w:color w:val="6B7280"/>
          <w:sz w:val="19"/>
          <w:szCs w:val="19"/>
        </w:rPr>
        <w:t xml:space="preserve">(C)  </w:t>
      </w:r>
      <w:r>
        <w:rPr>
          <w:sz w:val="19"/>
          <w:szCs w:val="19"/>
        </w:rPr>
        <w:t xml:space="preserve">Is written down with a gain in profit</w:t>
      </w:r>
    </w:p>
    <w:p>
      <w:pPr>
        <w:ind w:left="340"/>
        <w:spacing w:after="30"/>
      </w:pPr>
      <w:r>
        <w:rPr>
          <w:color w:val="6B7280"/>
          <w:sz w:val="19"/>
          <w:szCs w:val="19"/>
        </w:rPr>
        <w:t xml:space="preserve">(D)  </w:t>
      </w:r>
      <w:r>
        <w:rPr>
          <w:sz w:val="19"/>
          <w:szCs w:val="19"/>
        </w:rPr>
        <w:t xml:space="preserve">Is disclosed at fair value on the face of the balance sheet</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Ask which side of the contract the question is on. The issuer’s books use the rate fixed at issue and never move; the holder’s price uses today’s rate and moves daily. Most distractors here are the right answer for the other party.</w:t>
            </w:r>
          </w:p>
        </w:tc>
      </w:tr>
    </w:tbl>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 · Retirement, Refinancing, Convertibles and Warrants</w:t>
      </w:r>
    </w:p>
    <w:p>
      <w:pPr>
        <w:spacing w:after="8"/>
      </w:pPr>
      <w:r>
        <w:rPr>
          <w:color w:val="23265A"/>
          <w:sz w:val="22"/>
          <w:szCs w:val="22"/>
        </w:rPr>
        <w:t xml:space="preserve">Northwind buys its bond back three years in, at 102 of face, and records a $55,664 loss on a deal it chose to do.</w:t>
      </w:r>
    </w:p>
    <w:p>
      <w:pPr>
        <w:spacing w:after="130"/>
      </w:pPr>
      <w:r>
        <w:rPr>
          <w:color w:val="6B7280"/>
          <w:sz w:val="20"/>
          <w:szCs w:val="20"/>
        </w:rPr>
        <w:t xml:space="preserve">Volume 14 · Long-Term Debt and Contingent Liabilities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entries, R3 for the financing comparison, which Part 2 sets as a strategy question.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extinguish a debt before maturity · call a bond at a stated premium · refinance at a lower rate · convert a bond into shares · detach a warrant and sell it · recognise a loss on extinguishment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retirement / maturity · carrying amount / cash paid · convertible / warrant · debt finance / equity finance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loss on extinguishment is not evidence of a bad decision. Refinancing at a lower rate usually produces one.  A convertible bond is not equity until it is converted. Until then it is debt, and it pays interest.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Compute the gain or loss on retiring a bond early.</w:t>
      </w:r>
    </w:p>
    <w:p>
      <w:pPr>
        <w:pStyle w:val="ListParagraph"/>
        <w:numPr>
          <w:ilvl w:val="0"/>
          <w:numId w:val="1"/>
        </w:numPr>
        <w:spacing w:after="24"/>
      </w:pPr>
      <w:r>
        <w:rPr>
          <w:sz w:val="20"/>
          <w:szCs w:val="20"/>
        </w:rPr>
        <w:t xml:space="preserve">Record an extinguishment.</w:t>
      </w:r>
    </w:p>
    <w:p>
      <w:pPr>
        <w:pStyle w:val="ListParagraph"/>
        <w:numPr>
          <w:ilvl w:val="0"/>
          <w:numId w:val="1"/>
        </w:numPr>
        <w:spacing w:after="24"/>
      </w:pPr>
      <w:r>
        <w:rPr>
          <w:sz w:val="20"/>
          <w:szCs w:val="20"/>
        </w:rPr>
        <w:t xml:space="preserve">Say when refinancing makes sense despite the loss it records.</w:t>
      </w:r>
    </w:p>
    <w:p>
      <w:pPr>
        <w:pStyle w:val="ListParagraph"/>
        <w:numPr>
          <w:ilvl w:val="0"/>
          <w:numId w:val="1"/>
        </w:numPr>
        <w:spacing w:after="24"/>
      </w:pPr>
      <w:r>
        <w:rPr>
          <w:sz w:val="20"/>
          <w:szCs w:val="20"/>
        </w:rPr>
        <w:t xml:space="preserve">Distinguish a convertible bond from a bond with warrants.</w:t>
      </w:r>
    </w:p>
    <w:p>
      <w:pPr>
        <w:pStyle w:val="ListParagraph"/>
        <w:numPr>
          <w:ilvl w:val="0"/>
          <w:numId w:val="1"/>
        </w:numPr>
        <w:spacing w:after="24"/>
      </w:pPr>
      <w:r>
        <w:rPr>
          <w:sz w:val="20"/>
          <w:szCs w:val="20"/>
        </w:rPr>
        <w:t xml:space="preserve">Compare the sources of long-term finance.</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Rates fall, and Northwind acts</w:t>
            </w:r>
          </w:p>
          <w:p>
            <w:pPr>
              <w:spacing w:after="80" w:line="290" w:lineRule="auto"/>
            </w:pPr>
            <w:r>
              <w:rPr>
                <w:sz w:val="21"/>
                <w:szCs w:val="21"/>
              </w:rPr>
              <w:t xml:space="preserve">Three years into the 6% bond, market rates have fallen. Northwind can borrow at 6% and is paying an effective 8%.</w:t>
            </w:r>
          </w:p>
          <w:p>
            <w:pPr>
              <w:spacing w:after="80" w:line="290" w:lineRule="auto"/>
            </w:pPr>
            <w:r>
              <w:rPr>
                <w:sz w:val="21"/>
                <w:szCs w:val="21"/>
              </w:rPr>
              <w:t xml:space="preserve">It buys the bond back in the market at 102 of face, paying $1,020,000 for debt standing in its books at $964,336.</w:t>
            </w:r>
          </w:p>
          <w:p>
            <w:pPr>
              <w:spacing w:after="80" w:line="290" w:lineRule="auto"/>
            </w:pPr>
            <w:r>
              <w:rPr>
                <w:sz w:val="21"/>
                <w:szCs w:val="21"/>
              </w:rPr>
              <w:t xml:space="preserve">The entry records a $55,664 loss. The decision was still the right one, and this handout explains why those two statements are not in conflict.</w:t>
            </w:r>
          </w:p>
          <w:p>
            <w:pPr>
              <w:spacing w:after="80" w:line="290" w:lineRule="auto"/>
            </w:pPr>
            <w:r>
              <w:rPr>
                <w:sz w:val="21"/>
                <w:szCs w:val="21"/>
              </w:rPr>
              <w:t xml:space="preserve">Then the instruments that are not straight debt: convertibles, warrants, and what each costs.</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Retiring a bond early</w:t>
      </w:r>
      <w:r>
        <w:rPr>
          <w:b/>
          <w:bCs/>
          <w:color w:val="FFFFFF"/>
          <w:sz w:val="16"/>
          <w:szCs w:val="16"/>
        </w:rPr>
        <w:t xml:space="preserve">    carrying amount against cash</w:t>
      </w:r>
    </w:p>
    <w:p>
      <w:pPr>
        <w:spacing w:before="230" w:after="80"/>
        <w:pBdr>
          <w:top w:val="single" w:sz="12" w:space="7" w:color="353A7C"/>
        </w:pBdr>
      </w:pPr>
      <w:r>
        <w:rPr>
          <w:b/>
          <w:bCs/>
          <w:color w:val="353A7C"/>
          <w:sz w:val="22"/>
          <w:szCs w:val="22"/>
        </w:rPr>
        <w:t xml:space="preserve">Exercise 5A   </w:t>
      </w:r>
      <w:r>
        <w:rPr>
          <w:b/>
          <w:bCs/>
          <w:sz w:val="21"/>
          <w:szCs w:val="21"/>
        </w:rPr>
        <w:t xml:space="preserve">Complete the schedule, then record the entry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loss on retiring the bond and record the entry.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3 Exercise 3B, for the carrying amount after 3 years.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Take the carrying amount from your Handout 3 schedule. At the end of year 3 it is $964,336.</w:t>
            </w:r>
          </w:p>
          <w:p>
            <w:pPr>
              <w:spacing w:after="30"/>
            </w:pPr>
            <w:r>
              <w:rPr>
                <w:color w:val="353A7C"/>
                <w:sz w:val="18"/>
                <w:szCs w:val="18"/>
              </w:rPr>
              <w:t xml:space="preserve">•  </w:t>
            </w:r>
            <w:r>
              <w:rPr>
                <w:sz w:val="18"/>
                <w:szCs w:val="18"/>
              </w:rPr>
              <w:t xml:space="preserve">The unamortised discount is the gap between that figure and the $1,000,000 face value.</w:t>
            </w:r>
          </w:p>
          <w:p>
            <w:pPr>
              <w:spacing w:after="30"/>
            </w:pPr>
            <w:r>
              <w:rPr>
                <w:color w:val="353A7C"/>
                <w:sz w:val="18"/>
                <w:szCs w:val="18"/>
              </w:rPr>
              <w:t xml:space="preserve">•  </w:t>
            </w:r>
            <w:r>
              <w:rPr>
                <w:sz w:val="18"/>
                <w:szCs w:val="18"/>
              </w:rPr>
              <w:t xml:space="preserve">The loss is the cash paid less the carrying amount, and the face value plays no part in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6D3F7E" w:val="clear"/>
            <w:tcMar>
              <w:top w:type="dxa" w:w="60"/>
              <w:left w:type="dxa" w:w="120"/>
              <w:bottom w:type="dxa" w:w="60"/>
              <w:right w:type="dxa" w:w="120"/>
            </w:tcMar>
          </w:tcPr>
          <w:p>
            <w:r>
              <w:rPr>
                <w:b/>
                <w:bCs/>
                <w:color w:val="FFFFFF"/>
                <w:sz w:val="19"/>
                <w:szCs w:val="19"/>
              </w:rPr>
              <w:t xml:space="preserve">Retiring the discount bond after 3 years</w:t>
            </w:r>
          </w:p>
        </w:tc>
        <w:tc>
          <w:tcPr>
            <w:shd w:fill="6D3F7E"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Face value of the bonds retired</w:t>
            </w:r>
          </w:p>
        </w:tc>
        <w:tc>
          <w:tcPr>
            <w:tcMar>
              <w:top w:type="dxa" w:w="60"/>
              <w:left w:type="dxa" w:w="120"/>
              <w:bottom w:type="dxa" w:w="60"/>
              <w:right w:type="dxa" w:w="120"/>
            </w:tcMar>
          </w:tcPr>
          <w:p>
            <w:r>
              <w:rPr>
                <w:sz w:val="19"/>
                <w:szCs w:val="19"/>
              </w:rPr>
              <w:t xml:space="preserve">$1,000,000</w:t>
            </w:r>
          </w:p>
        </w:tc>
      </w:tr>
      <w:tr>
        <w:tc>
          <w:tcPr>
            <w:tcMar>
              <w:top w:type="dxa" w:w="60"/>
              <w:left w:type="dxa" w:w="120"/>
              <w:bottom w:type="dxa" w:w="60"/>
              <w:right w:type="dxa" w:w="120"/>
            </w:tcMar>
          </w:tcPr>
          <w:p>
            <w:r>
              <w:rPr>
                <w:sz w:val="19"/>
                <w:szCs w:val="19"/>
              </w:rPr>
              <w:t xml:space="preserve">Less unamortised discount at that date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Carrying amount</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Cash paid at 102 of face</w:t>
            </w:r>
          </w:p>
        </w:tc>
        <w:tc>
          <w:tcPr>
            <w:tcMar>
              <w:top w:type="dxa" w:w="60"/>
              <w:left w:type="dxa" w:w="120"/>
              <w:bottom w:type="dxa" w:w="60"/>
              <w:right w:type="dxa" w:w="120"/>
            </w:tcMar>
          </w:tcPr>
          <w:p>
            <w:r>
              <w:rPr>
                <w:sz w:val="19"/>
                <w:szCs w:val="19"/>
              </w:rPr>
              <w:t xml:space="preserve">($1,020,000)</w:t>
            </w:r>
          </w:p>
        </w:tc>
      </w:tr>
      <w:tr>
        <w:tc>
          <w:tcPr>
            <w:tcMar>
              <w:top w:type="dxa" w:w="60"/>
              <w:left w:type="dxa" w:w="120"/>
              <w:bottom w:type="dxa" w:w="60"/>
              <w:right w:type="dxa" w:w="120"/>
            </w:tcMar>
          </w:tcPr>
          <w:p>
            <w:r>
              <w:rPr>
                <w:sz w:val="19"/>
                <w:szCs w:val="19"/>
              </w:rPr>
              <w:t xml:space="preserve">Loss on extinguishment</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before="140" w:after="60"/>
      </w:pPr>
      <w:r>
        <w:rPr>
          <w:b/>
          <w:bCs/>
          <w:color w:val="353A7C"/>
          <w:sz w:val="19"/>
          <w:szCs w:val="19"/>
        </w:rPr>
        <w:t xml:space="preserve">J1  </w:t>
      </w:r>
      <w:r>
        <w:rPr>
          <w:color w:val="6B7280"/>
          <w:sz w:val="19"/>
          <w:szCs w:val="19"/>
        </w:rPr>
        <w:t xml:space="preserve">The bond repurchased at 102 of face after 3 years, against a carrying amount of $964,336.</w:t>
      </w:r>
      <w:r>
        <w:rPr>
          <w:b/>
          <w:bCs/>
          <w:color w:val="C9762E"/>
          <w:sz w:val="19"/>
          <w:szCs w:val="19"/>
        </w:rPr>
        <w:t xml:space="preserve">  Four lines: the face value out, the discount out, the cash out, and the difference to profit.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Loss on Extinguishment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Discount on 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2 · Why a loss can be the right answer</w:t>
      </w:r>
      <w:r>
        <w:rPr>
          <w:b/>
          <w:bCs/>
          <w:color w:val="FFFFFF"/>
          <w:sz w:val="16"/>
          <w:szCs w:val="16"/>
        </w:rPr>
        <w:t xml:space="preserve">    the accounting and the decision</w:t>
      </w:r>
    </w:p>
    <w:p>
      <w:pPr>
        <w:spacing w:before="230" w:after="80"/>
        <w:pBdr>
          <w:top w:val="single" w:sz="12" w:space="7" w:color="353A7C"/>
        </w:pBdr>
      </w:pPr>
      <w:r>
        <w:rPr>
          <w:b/>
          <w:bCs/>
          <w:color w:val="353A7C"/>
          <w:sz w:val="22"/>
          <w:szCs w:val="22"/>
        </w:rPr>
        <w:t xml:space="preserve">Exercise 5B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refinancing can make sense despite the loss it records.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5A, and Handout 4 on what moves a bond price.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Rates fell, which is why the bond costs more than its carrying amount to buy back. Ask what else falling rates make possible.</w:t>
            </w:r>
          </w:p>
          <w:p>
            <w:pPr>
              <w:spacing w:after="30"/>
            </w:pPr>
            <w:r>
              <w:rPr>
                <w:color w:val="353A7C"/>
                <w:sz w:val="18"/>
                <w:szCs w:val="18"/>
              </w:rPr>
              <w:t xml:space="preserve">•  </w:t>
            </w:r>
            <w:r>
              <w:rPr>
                <w:sz w:val="18"/>
                <w:szCs w:val="18"/>
              </w:rPr>
              <w:t xml:space="preserve">The $55,664 loss is recognised once. The saving on a new borrowing recurs every year until maturity.</w:t>
            </w:r>
          </w:p>
          <w:p>
            <w:pPr>
              <w:spacing w:after="30"/>
            </w:pPr>
            <w:r>
              <w:rPr>
                <w:color w:val="353A7C"/>
                <w:sz w:val="18"/>
                <w:szCs w:val="18"/>
              </w:rPr>
              <w:t xml:space="preserve">•  </w:t>
            </w:r>
            <w:r>
              <w:rPr>
                <w:sz w:val="18"/>
                <w:szCs w:val="18"/>
              </w:rPr>
              <w:t xml:space="preserve">The last blank is the comparison a treasurer actually makes, and it is not between two accounting figures.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arithmetic</w:t>
            </w:r>
            <w:r>
              <w:rPr>
                <w:b/>
                <w:bCs/>
                <w:color w:val="8186EF"/>
                <w:sz w:val="20"/>
                <w:szCs w:val="20"/>
              </w:rPr>
              <w:t xml:space="preserve">   ·   </w:t>
            </w:r>
            <w:r>
              <w:rPr>
                <w:b/>
                <w:bCs/>
                <w:sz w:val="20"/>
                <w:szCs w:val="20"/>
              </w:rPr>
              <w:t xml:space="preserve">fallen</w:t>
            </w:r>
            <w:r>
              <w:rPr>
                <w:b/>
                <w:bCs/>
                <w:color w:val="8186EF"/>
                <w:sz w:val="20"/>
                <w:szCs w:val="20"/>
              </w:rPr>
              <w:t xml:space="preserve">   ·   </w:t>
            </w:r>
            <w:r>
              <w:rPr>
                <w:b/>
                <w:bCs/>
                <w:sz w:val="20"/>
                <w:szCs w:val="20"/>
              </w:rPr>
              <w:t xml:space="preserve">recurs</w:t>
            </w:r>
            <w:r>
              <w:rPr>
                <w:b/>
                <w:bCs/>
                <w:color w:val="8186EF"/>
                <w:sz w:val="20"/>
                <w:szCs w:val="20"/>
              </w:rPr>
              <w:t xml:space="preserve">   ·   </w:t>
            </w:r>
            <w:r>
              <w:rPr>
                <w:b/>
                <w:bCs/>
                <w:sz w:val="20"/>
                <w:szCs w:val="20"/>
              </w:rPr>
              <w:t xml:space="preserve">reverses</w:t>
            </w:r>
            <w:r>
              <w:rPr>
                <w:b/>
                <w:bCs/>
                <w:color w:val="8186EF"/>
                <w:sz w:val="20"/>
                <w:szCs w:val="20"/>
              </w:rPr>
              <w:t xml:space="preserve">   ·   </w:t>
            </w:r>
            <w:r>
              <w:rPr>
                <w:b/>
                <w:bCs/>
                <w:sz w:val="20"/>
                <w:szCs w:val="20"/>
              </w:rPr>
              <w:t xml:space="preserve">right</w:t>
            </w:r>
            <w:r>
              <w:rPr>
                <w:b/>
                <w:bCs/>
                <w:color w:val="8186EF"/>
                <w:sz w:val="20"/>
                <w:szCs w:val="20"/>
              </w:rPr>
              <w:t xml:space="preserve">   ·   </w:t>
            </w:r>
            <w:r>
              <w:rPr>
                <w:b/>
                <w:bCs/>
                <w:sz w:val="20"/>
                <w:szCs w:val="20"/>
              </w:rPr>
              <w:t xml:space="preserve">risen</w:t>
            </w:r>
            <w:r>
              <w:rPr>
                <w:b/>
                <w:bCs/>
                <w:color w:val="8186EF"/>
                <w:sz w:val="20"/>
                <w:szCs w:val="20"/>
              </w:rPr>
              <w:t xml:space="preserve">   ·   </w:t>
            </w:r>
            <w:r>
              <w:rPr>
                <w:b/>
                <w:bCs/>
                <w:sz w:val="20"/>
                <w:szCs w:val="20"/>
              </w:rPr>
              <w:t xml:space="preserve">wrong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bond costs $1,020,000 to retire because rates have </w:t>
      </w:r>
      <w:r>
        <w:rPr>
          <w:vertAlign w:val="superscript"/>
          <w:color w:val="353A7C"/>
          <w:b/>
          <w:sz w:val="16"/>
        </w:rPr>
        <w:t>1</w:t>
      </w:r>
      <w:r>
        <w:rPr>
          <w:u w:val="single"/>
          <w:sz w:val="21"/>
          <w:szCs w:val="21"/>
        </w:rPr>
        <w:t xml:space="preserve">            </w:t>
      </w:r>
      <w:r>
        <w:rPr>
          <w:sz w:val="21"/>
          <w:szCs w:val="21"/>
        </w:rPr>
        <w:t xml:space="preserve">: a 6% coupon is attractive when the market pays 6%, so holders want more than par for it.</w:t>
      </w:r>
    </w:p>
    <w:p>
      <w:pPr>
        <w:spacing w:before="40" w:after="110" w:line="300" w:lineRule="auto"/>
      </w:pPr>
      <w:r>
        <w:rPr>
          <w:sz w:val="21"/>
          <w:szCs w:val="21"/>
        </w:rPr>
        <w:t xml:space="preserve">The same fall is why Northwind wants out. It can borrow at 6% instead of the 8% it is effectively paying, and that saving </w:t>
      </w:r>
      <w:r>
        <w:rPr>
          <w:vertAlign w:val="superscript"/>
          <w:color w:val="353A7C"/>
          <w:b/>
          <w:sz w:val="16"/>
        </w:rPr>
        <w:t>2</w:t>
      </w:r>
      <w:r>
        <w:rPr>
          <w:u w:val="single"/>
          <w:sz w:val="21"/>
          <w:szCs w:val="21"/>
        </w:rPr>
        <w:t xml:space="preserve">            </w:t>
      </w:r>
      <w:r>
        <w:rPr>
          <w:sz w:val="21"/>
          <w:szCs w:val="21"/>
        </w:rPr>
        <w:t xml:space="preserve"> in every remaining year.</w:t>
      </w:r>
    </w:p>
    <w:p>
      <w:pPr>
        <w:spacing w:before="40" w:after="110" w:line="300" w:lineRule="auto"/>
      </w:pPr>
      <w:r>
        <w:rPr>
          <w:sz w:val="21"/>
          <w:szCs w:val="21"/>
        </w:rPr>
        <w:t xml:space="preserve">So the $55,664 loss is a one-off charge and the saving is an annuity. Comparing them means discounting the saving back, which is Volume 13’s </w:t>
      </w:r>
      <w:r>
        <w:rPr>
          <w:vertAlign w:val="superscript"/>
          <w:color w:val="353A7C"/>
          <w:b/>
          <w:sz w:val="16"/>
        </w:rPr>
        <w:t>3</w:t>
      </w:r>
      <w:r>
        <w:rPr>
          <w:u w:val="single"/>
          <w:sz w:val="21"/>
          <w:szCs w:val="21"/>
        </w:rPr>
        <w:t xml:space="preserve">                  </w:t>
      </w:r>
      <w:r>
        <w:rPr>
          <w:sz w:val="21"/>
          <w:szCs w:val="21"/>
        </w:rPr>
        <w:t xml:space="preserve"> and the whole of a refinancing decision.</w:t>
      </w:r>
    </w:p>
    <w:p>
      <w:pPr>
        <w:spacing w:before="40" w:after="110" w:line="300" w:lineRule="auto"/>
      </w:pPr>
      <w:r>
        <w:rPr>
          <w:sz w:val="21"/>
          <w:szCs w:val="21"/>
        </w:rPr>
        <w:t xml:space="preserve">The accounting records the charge in the year of the repurchase and says nothing about the saving at all, which is why a company can report a loss on a decision that was plainly </w:t>
      </w:r>
      <w:r>
        <w:rPr>
          <w:vertAlign w:val="superscript"/>
          <w:color w:val="353A7C"/>
          <w:b/>
          <w:sz w:val="16"/>
        </w:rPr>
        <w:t>4</w:t>
      </w:r>
      <w:r>
        <w:rPr>
          <w:u w:val="single"/>
          <w:sz w:val="21"/>
          <w:szCs w:val="21"/>
        </w:rPr>
        <w:t xml:space="preserve">          </w:t>
      </w:r>
      <w:r>
        <w:rPr>
          <w:sz w:val="21"/>
          <w:szCs w:val="21"/>
        </w:rPr>
        <w:t xml:space="preserv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3 · Convertibles and warrants</w:t>
      </w:r>
      <w:r>
        <w:rPr>
          <w:b/>
          <w:bCs/>
          <w:color w:val="FFFFFF"/>
          <w:sz w:val="16"/>
          <w:szCs w:val="16"/>
        </w:rPr>
        <w:t xml:space="preserve">    debt with something attached</w:t>
      </w:r>
    </w:p>
    <w:p>
      <w:pPr>
        <w:spacing w:before="40" w:after="110" w:line="300" w:lineRule="auto"/>
      </w:pPr>
      <w:r>
        <w:rPr>
          <w:b/>
          <w:color w:val="2B6CB0"/>
          <w:sz w:val="13"/>
        </w:rPr>
        <w:t xml:space="preserve">R2  </w:t>
      </w:r>
      <w:r>
        <w:rPr>
          <w:sz w:val="21"/>
          <w:szCs w:val="21"/>
        </w:rPr>
        <w:t xml:space="preserve">An issuer can lower its coupon by attaching a right to buy shares. Where the right is embedded and inseparable the instrument is a convertible bond; where it is a separately tradable certificate it is a detachable warrant, and the two are accounted for differently.</w:t>
      </w:r>
    </w:p>
    <w:p>
      <w:pPr>
        <w:spacing w:before="230" w:after="80"/>
        <w:pBdr>
          <w:top w:val="single" w:sz="12" w:space="7" w:color="353A7C"/>
        </w:pBdr>
      </w:pPr>
      <w:r>
        <w:rPr>
          <w:b/>
          <w:bCs/>
          <w:color w:val="353A7C"/>
          <w:sz w:val="22"/>
          <w:szCs w:val="22"/>
        </w:rPr>
        <w:t xml:space="preserve">Exercise 5C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a convertible bond from a bond with detachable warrants.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whether the holder can sell the share right on its own while keeping the bond.</w:t>
            </w:r>
          </w:p>
          <w:p>
            <w:pPr>
              <w:spacing w:after="30"/>
            </w:pPr>
            <w:r>
              <w:rPr>
                <w:color w:val="353A7C"/>
                <w:sz w:val="18"/>
                <w:szCs w:val="18"/>
              </w:rPr>
              <w:t xml:space="preserve">•  </w:t>
            </w:r>
            <w:r>
              <w:rPr>
                <w:sz w:val="18"/>
                <w:szCs w:val="18"/>
              </w:rPr>
              <w:t xml:space="preserve">If it can be sold separately it has an observable value of its own, which is what makes the allocation possible.</w:t>
            </w:r>
          </w:p>
          <w:p>
            <w:pPr>
              <w:spacing w:after="30"/>
            </w:pPr>
            <w:r>
              <w:rPr>
                <w:color w:val="353A7C"/>
                <w:sz w:val="18"/>
                <w:szCs w:val="18"/>
              </w:rPr>
              <w:t xml:space="preserve">•  </w:t>
            </w:r>
            <w:r>
              <w:rPr>
                <w:sz w:val="18"/>
                <w:szCs w:val="18"/>
              </w:rPr>
              <w:t xml:space="preserve">The last blank is what happens to the existing shareholders if either right is eventually used.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allocated</w:t>
            </w:r>
            <w:r>
              <w:rPr>
                <w:b/>
                <w:bCs/>
                <w:color w:val="8186EF"/>
                <w:sz w:val="20"/>
                <w:szCs w:val="20"/>
              </w:rPr>
              <w:t xml:space="preserve">   ·   </w:t>
            </w:r>
            <w:r>
              <w:rPr>
                <w:b/>
                <w:bCs/>
                <w:sz w:val="20"/>
                <w:szCs w:val="20"/>
              </w:rPr>
              <w:t xml:space="preserve">conversion</w:t>
            </w:r>
            <w:r>
              <w:rPr>
                <w:b/>
                <w:bCs/>
                <w:color w:val="8186EF"/>
                <w:sz w:val="20"/>
                <w:szCs w:val="20"/>
              </w:rPr>
              <w:t xml:space="preserve">   ·   </w:t>
            </w:r>
            <w:r>
              <w:rPr>
                <w:b/>
                <w:bCs/>
                <w:sz w:val="20"/>
                <w:szCs w:val="20"/>
              </w:rPr>
              <w:t xml:space="preserve">dilution</w:t>
            </w:r>
            <w:r>
              <w:rPr>
                <w:b/>
                <w:bCs/>
                <w:color w:val="8186EF"/>
                <w:sz w:val="20"/>
                <w:szCs w:val="20"/>
              </w:rPr>
              <w:t xml:space="preserve">   ·   </w:t>
            </w:r>
            <w:r>
              <w:rPr>
                <w:b/>
                <w:bCs/>
                <w:sz w:val="20"/>
                <w:szCs w:val="20"/>
              </w:rPr>
              <w:t xml:space="preserve">equity</w:t>
            </w:r>
            <w:r>
              <w:rPr>
                <w:b/>
                <w:bCs/>
                <w:color w:val="8186EF"/>
                <w:sz w:val="20"/>
                <w:szCs w:val="20"/>
              </w:rPr>
              <w:t xml:space="preserve">   ·   </w:t>
            </w:r>
            <w:r>
              <w:rPr>
                <w:b/>
                <w:bCs/>
                <w:sz w:val="20"/>
                <w:szCs w:val="20"/>
              </w:rPr>
              <w:t xml:space="preserve">higher</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lower</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Both instruments give the holder a right to the issuer’s shares, and both let the issuer pay a </w:t>
      </w:r>
      <w:r>
        <w:rPr>
          <w:vertAlign w:val="superscript"/>
          <w:color w:val="353A7C"/>
          <w:b/>
          <w:sz w:val="16"/>
        </w:rPr>
        <w:t>5</w:t>
      </w:r>
      <w:r>
        <w:rPr>
          <w:u w:val="single"/>
          <w:sz w:val="21"/>
          <w:szCs w:val="21"/>
        </w:rPr>
        <w:t xml:space="preserve">          </w:t>
      </w:r>
      <w:r>
        <w:rPr>
          <w:sz w:val="21"/>
          <w:szCs w:val="21"/>
        </w:rPr>
        <w:t xml:space="preserve"> coupon than straight debt would require.</w:t>
      </w:r>
    </w:p>
    <w:p>
      <w:pPr>
        <w:spacing w:before="40" w:after="110" w:line="300" w:lineRule="auto"/>
      </w:pPr>
      <w:r>
        <w:rPr>
          <w:sz w:val="21"/>
          <w:szCs w:val="21"/>
        </w:rPr>
        <w:t xml:space="preserve">A convertible bond is one instrument. The right cannot be sold apart from the bond, so under US GAAP the whole of the proceeds is usually recorded as a </w:t>
      </w:r>
      <w:r>
        <w:rPr>
          <w:vertAlign w:val="superscript"/>
          <w:color w:val="353A7C"/>
          <w:b/>
          <w:sz w:val="16"/>
        </w:rPr>
        <w:t>6</w:t>
      </w:r>
      <w:r>
        <w:rPr>
          <w:u w:val="single"/>
          <w:sz w:val="21"/>
          <w:szCs w:val="21"/>
        </w:rPr>
        <w:t xml:space="preserve">                </w:t>
      </w:r>
      <w:r>
        <w:rPr>
          <w:sz w:val="21"/>
          <w:szCs w:val="21"/>
        </w:rPr>
        <w:t xml:space="preserve"> and no part of it reaches equity at issue.</w:t>
      </w:r>
    </w:p>
    <w:p>
      <w:pPr>
        <w:spacing w:before="40" w:after="110" w:line="300" w:lineRule="auto"/>
      </w:pPr>
      <w:r>
        <w:rPr>
          <w:sz w:val="21"/>
          <w:szCs w:val="21"/>
        </w:rPr>
        <w:t xml:space="preserve">A detachable warrant can be traded on its own, so it has a value that can be observed. The proceeds are </w:t>
      </w:r>
      <w:r>
        <w:rPr>
          <w:vertAlign w:val="superscript"/>
          <w:color w:val="353A7C"/>
          <w:b/>
          <w:sz w:val="16"/>
        </w:rPr>
        <w:t>7</w:t>
      </w:r>
      <w:r>
        <w:rPr>
          <w:u w:val="single"/>
          <w:sz w:val="21"/>
          <w:szCs w:val="21"/>
        </w:rPr>
        <w:t xml:space="preserve">                </w:t>
      </w:r>
      <w:r>
        <w:rPr>
          <w:sz w:val="21"/>
          <w:szCs w:val="21"/>
        </w:rPr>
        <w:t xml:space="preserve"> between the bond and the warrants, and the warrant portion is credited to paid-in capital.</w:t>
      </w:r>
    </w:p>
    <w:p>
      <w:pPr>
        <w:spacing w:before="40" w:after="110" w:line="300" w:lineRule="auto"/>
      </w:pPr>
      <w:r>
        <w:rPr>
          <w:sz w:val="21"/>
          <w:szCs w:val="21"/>
        </w:rPr>
        <w:t xml:space="preserve">Either way, exercise or conversion issues new shares, so the existing holders own a smaller fraction of the same company. That is </w:t>
      </w:r>
      <w:r>
        <w:rPr>
          <w:vertAlign w:val="superscript"/>
          <w:color w:val="353A7C"/>
          <w:b/>
          <w:sz w:val="16"/>
        </w:rPr>
        <w:t>8</w:t>
      </w:r>
      <w:r>
        <w:rPr>
          <w:u w:val="single"/>
          <w:sz w:val="21"/>
          <w:szCs w:val="21"/>
        </w:rPr>
        <w:t xml:space="preserve">               </w:t>
      </w:r>
      <w:r>
        <w:rPr>
          <w:sz w:val="21"/>
          <w:szCs w:val="21"/>
        </w:rPr>
        <w:t xml:space="preserve">, and Volume 15 measures it.</w:t>
      </w:r>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4 · Choosing a source</w:t>
      </w:r>
      <w:r>
        <w:rPr>
          <w:b/>
          <w:bCs/>
          <w:color w:val="FFFFFF"/>
          <w:sz w:val="16"/>
          <w:szCs w:val="16"/>
        </w:rPr>
        <w:t xml:space="preserve">    what each one really costs</w:t>
      </w:r>
    </w:p>
    <w:p>
      <w:pPr>
        <w:spacing w:before="230" w:after="80"/>
        <w:pBdr>
          <w:top w:val="single" w:sz="12" w:space="7" w:color="353A7C"/>
        </w:pBdr>
      </w:pPr>
      <w:r>
        <w:rPr>
          <w:b/>
          <w:bCs/>
          <w:color w:val="353A7C"/>
          <w:sz w:val="22"/>
          <w:szCs w:val="22"/>
        </w:rPr>
        <w:t xml:space="preserve">Exercise 5D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Compare the sources of long-term finance available to Northwind.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5C, and Volume 7 Handout 5 on leases as financing.</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second column is what the provider receives, and the third is what the company gives up.</w:t>
            </w:r>
          </w:p>
          <w:p>
            <w:pPr>
              <w:spacing w:after="30"/>
            </w:pPr>
            <w:r>
              <w:rPr>
                <w:color w:val="353A7C"/>
                <w:sz w:val="18"/>
                <w:szCs w:val="18"/>
              </w:rPr>
              <w:t xml:space="preserve">•  </w:t>
            </w:r>
            <w:r>
              <w:rPr>
                <w:sz w:val="18"/>
                <w:szCs w:val="18"/>
              </w:rPr>
              <w:t xml:space="preserve">Two of the five lower the coupon by attaching a right to shares, and both therefore risk dilution.</w:t>
            </w:r>
          </w:p>
          <w:p>
            <w:pPr>
              <w:spacing w:after="30"/>
            </w:pPr>
            <w:r>
              <w:rPr>
                <w:color w:val="353A7C"/>
                <w:sz w:val="18"/>
                <w:szCs w:val="18"/>
              </w:rPr>
              <w:t xml:space="preserve">•  </w:t>
            </w:r>
            <w:r>
              <w:rPr>
                <w:sz w:val="18"/>
                <w:szCs w:val="18"/>
              </w:rPr>
              <w:t xml:space="preserve">The last row is the only one with no fixed charge at all, and that is both its advantage and its cost.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36"/>
        <w:gridCol w:w="36"/>
      </w:tblGrid>
      <w:tr>
        <w:tc>
          <w:tcPr>
            <w:shd w:fill="44506B" w:val="clear"/>
            <w:tcMar>
              <w:top w:type="dxa" w:w="60"/>
              <w:left w:type="dxa" w:w="120"/>
              <w:bottom w:type="dxa" w:w="60"/>
              <w:right w:type="dxa" w:w="120"/>
            </w:tcMar>
          </w:tcPr>
          <w:p>
            <w:r>
              <w:rPr>
                <w:b/>
                <w:bCs/>
                <w:color w:val="FFFFFF"/>
                <w:sz w:val="19"/>
                <w:szCs w:val="19"/>
              </w:rPr>
              <w:t xml:space="preserve">Source of long-term finance</w:t>
            </w:r>
          </w:p>
        </w:tc>
        <w:tc>
          <w:tcPr>
            <w:shd w:fill="44506B" w:val="clear"/>
            <w:tcMar>
              <w:top w:type="dxa" w:w="60"/>
              <w:left w:type="dxa" w:w="120"/>
              <w:bottom w:type="dxa" w:w="60"/>
              <w:right w:type="dxa" w:w="120"/>
            </w:tcMar>
          </w:tcPr>
          <w:p>
            <w:r>
              <w:rPr>
                <w:b/>
                <w:bCs/>
                <w:color w:val="FFFFFF"/>
                <w:sz w:val="19"/>
                <w:szCs w:val="19"/>
              </w:rPr>
              <w:t xml:space="preserve">What the holder gets</w:t>
            </w:r>
          </w:p>
        </w:tc>
        <w:tc>
          <w:tcPr>
            <w:shd w:fill="44506B" w:val="clear"/>
            <w:tcMar>
              <w:top w:type="dxa" w:w="60"/>
              <w:left w:type="dxa" w:w="120"/>
              <w:bottom w:type="dxa" w:w="60"/>
              <w:right w:type="dxa" w:w="120"/>
            </w:tcMar>
          </w:tcPr>
          <w:p>
            <w:r>
              <w:rPr>
                <w:b/>
                <w:bCs/>
                <w:color w:val="FFFFFF"/>
                <w:sz w:val="19"/>
                <w:szCs w:val="19"/>
              </w:rPr>
              <w:t xml:space="preserve">What it costs the issuer</w:t>
            </w:r>
          </w:p>
        </w:tc>
      </w:tr>
      <w:tr>
        <w:tc>
          <w:tcPr>
            <w:tcMar>
              <w:top w:type="dxa" w:w="60"/>
              <w:left w:type="dxa" w:w="120"/>
              <w:bottom w:type="dxa" w:w="60"/>
              <w:right w:type="dxa" w:w="120"/>
            </w:tcMar>
          </w:tcPr>
          <w:p>
            <w:r>
              <w:rPr>
                <w:sz w:val="19"/>
                <w:szCs w:val="19"/>
              </w:rPr>
              <w:t xml:space="preserve">A straight bond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convertible bond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bond with detachable warrants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lease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Ordinary shares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26249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gain or loss on extinguishment is carrying amount less cash paid, and the face value never enters it. A stem that gives you $1,000,000 of face, a call at 102 and an unamortised discount is giving you three numbers and asking for a subtraction between two of them.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gain or loss on the early extinguishment of debt is measured as:</w:t>
      </w:r>
    </w:p>
    <w:p>
      <w:pPr>
        <w:ind w:left="340"/>
        <w:spacing w:after="30"/>
      </w:pPr>
      <w:r>
        <w:rPr>
          <w:color w:val="6B7280"/>
          <w:sz w:val="19"/>
          <w:szCs w:val="19"/>
        </w:rPr>
        <w:t xml:space="preserve">(A)  </w:t>
      </w:r>
      <w:r>
        <w:rPr>
          <w:sz w:val="19"/>
          <w:szCs w:val="19"/>
        </w:rPr>
        <w:t xml:space="preserve">Face value less cash paid</w:t>
      </w:r>
    </w:p>
    <w:p>
      <w:pPr>
        <w:ind w:left="340"/>
        <w:spacing w:after="30"/>
      </w:pPr>
      <w:r>
        <w:rPr>
          <w:color w:val="6B7280"/>
          <w:sz w:val="19"/>
          <w:szCs w:val="19"/>
        </w:rPr>
        <w:t xml:space="preserve">(B)  </w:t>
      </w:r>
      <w:r>
        <w:rPr>
          <w:sz w:val="19"/>
          <w:szCs w:val="19"/>
        </w:rPr>
        <w:t xml:space="preserve">Carrying amount less cash paid</w:t>
      </w:r>
    </w:p>
    <w:p>
      <w:pPr>
        <w:ind w:left="340"/>
        <w:spacing w:after="30"/>
      </w:pPr>
      <w:r>
        <w:rPr>
          <w:color w:val="6B7280"/>
          <w:sz w:val="19"/>
          <w:szCs w:val="19"/>
        </w:rPr>
        <w:t xml:space="preserve">(C)  </w:t>
      </w:r>
      <w:r>
        <w:rPr>
          <w:sz w:val="19"/>
          <w:szCs w:val="19"/>
        </w:rPr>
        <w:t xml:space="preserve">Cash paid less the unamortised discount</w:t>
      </w:r>
    </w:p>
    <w:p>
      <w:pPr>
        <w:ind w:left="340"/>
        <w:spacing w:after="30"/>
      </w:pPr>
      <w:r>
        <w:rPr>
          <w:color w:val="6B7280"/>
          <w:sz w:val="19"/>
          <w:szCs w:val="19"/>
        </w:rPr>
        <w:t xml:space="preserve">(D)  </w:t>
      </w:r>
      <w:r>
        <w:rPr>
          <w:sz w:val="19"/>
          <w:szCs w:val="19"/>
        </w:rPr>
        <w:t xml:space="preserve">The call premium alone</w:t>
      </w:r>
    </w:p>
    <w:p>
      <w:pPr>
        <w:spacing w:before="150" w:after="60"/>
      </w:pPr>
      <w:r>
        <w:rPr>
          <w:b/>
          <w:bCs/>
          <w:color w:val="353A7C"/>
          <w:sz w:val="19"/>
          <w:szCs w:val="19"/>
        </w:rPr>
        <w:t xml:space="preserve">2.  [Level A]  </w:t>
      </w:r>
      <w:r>
        <w:rPr>
          <w:b/>
          <w:bCs/>
          <w:sz w:val="19"/>
          <w:szCs w:val="19"/>
        </w:rPr>
        <w:t xml:space="preserve">A bond with a $964,336 carrying amount is retired for $1,020,000. The result is:</w:t>
      </w:r>
    </w:p>
    <w:p>
      <w:pPr>
        <w:ind w:left="340"/>
        <w:spacing w:after="30"/>
      </w:pPr>
      <w:r>
        <w:rPr>
          <w:color w:val="6B7280"/>
          <w:sz w:val="19"/>
          <w:szCs w:val="19"/>
        </w:rPr>
        <w:t xml:space="preserve">(A)  </w:t>
      </w:r>
      <w:r>
        <w:rPr>
          <w:sz w:val="19"/>
          <w:szCs w:val="19"/>
        </w:rPr>
        <w:t xml:space="preserve">A gain of $55,664</w:t>
      </w:r>
    </w:p>
    <w:p>
      <w:pPr>
        <w:ind w:left="340"/>
        <w:spacing w:after="30"/>
      </w:pPr>
      <w:r>
        <w:rPr>
          <w:color w:val="6B7280"/>
          <w:sz w:val="19"/>
          <w:szCs w:val="19"/>
        </w:rPr>
        <w:t xml:space="preserve">(B)  </w:t>
      </w:r>
      <w:r>
        <w:rPr>
          <w:sz w:val="19"/>
          <w:szCs w:val="19"/>
        </w:rPr>
        <w:t xml:space="preserve">A loss of $55,664</w:t>
      </w:r>
    </w:p>
    <w:p>
      <w:pPr>
        <w:ind w:left="340"/>
        <w:spacing w:after="30"/>
      </w:pPr>
      <w:r>
        <w:rPr>
          <w:color w:val="6B7280"/>
          <w:sz w:val="19"/>
          <w:szCs w:val="19"/>
        </w:rPr>
        <w:t xml:space="preserve">(C)  </w:t>
      </w:r>
      <w:r>
        <w:rPr>
          <w:sz w:val="19"/>
          <w:szCs w:val="19"/>
        </w:rPr>
        <w:t xml:space="preserve">No gain or loss</w:t>
      </w:r>
    </w:p>
    <w:p>
      <w:pPr>
        <w:ind w:left="340"/>
        <w:spacing w:after="30"/>
      </w:pPr>
      <w:r>
        <w:rPr>
          <w:color w:val="6B7280"/>
          <w:sz w:val="19"/>
          <w:szCs w:val="19"/>
        </w:rPr>
        <w:t xml:space="preserve">(D)  </w:t>
      </w:r>
      <w:r>
        <w:rPr>
          <w:sz w:val="19"/>
          <w:szCs w:val="19"/>
        </w:rPr>
        <w:t xml:space="preserve">A loss of $35,664</w:t>
      </w:r>
    </w:p>
    <w:p>
      <w:pPr>
        <w:spacing w:before="150" w:after="60"/>
      </w:pPr>
      <w:r>
        <w:rPr>
          <w:b/>
          <w:bCs/>
          <w:color w:val="353A7C"/>
          <w:sz w:val="19"/>
          <w:szCs w:val="19"/>
        </w:rPr>
        <w:t xml:space="preserve">3.  [Level B]  </w:t>
      </w:r>
      <w:r>
        <w:rPr>
          <w:b/>
          <w:bCs/>
          <w:sz w:val="19"/>
          <w:szCs w:val="19"/>
        </w:rPr>
        <w:t xml:space="preserve">A loss on extinguishment is reported:</w:t>
      </w:r>
    </w:p>
    <w:p>
      <w:pPr>
        <w:ind w:left="340"/>
        <w:spacing w:after="30"/>
      </w:pPr>
      <w:r>
        <w:rPr>
          <w:color w:val="6B7280"/>
          <w:sz w:val="19"/>
          <w:szCs w:val="19"/>
        </w:rPr>
        <w:t xml:space="preserve">(A)  </w:t>
      </w:r>
      <w:r>
        <w:rPr>
          <w:sz w:val="19"/>
          <w:szCs w:val="19"/>
        </w:rPr>
        <w:t xml:space="preserve">As an extraordinary item</w:t>
      </w:r>
    </w:p>
    <w:p>
      <w:pPr>
        <w:ind w:left="340"/>
        <w:spacing w:after="30"/>
      </w:pPr>
      <w:r>
        <w:rPr>
          <w:color w:val="6B7280"/>
          <w:sz w:val="19"/>
          <w:szCs w:val="19"/>
        </w:rPr>
        <w:t xml:space="preserve">(B)  </w:t>
      </w:r>
      <w:r>
        <w:rPr>
          <w:sz w:val="19"/>
          <w:szCs w:val="19"/>
        </w:rPr>
        <w:t xml:space="preserve">In profit for the period of the extinguishment</w:t>
      </w:r>
    </w:p>
    <w:p>
      <w:pPr>
        <w:ind w:left="340"/>
        <w:spacing w:after="30"/>
      </w:pPr>
      <w:r>
        <w:rPr>
          <w:color w:val="6B7280"/>
          <w:sz w:val="19"/>
          <w:szCs w:val="19"/>
        </w:rPr>
        <w:t xml:space="preserve">(C)  </w:t>
      </w:r>
      <w:r>
        <w:rPr>
          <w:sz w:val="19"/>
          <w:szCs w:val="19"/>
        </w:rPr>
        <w:t xml:space="preserve">As an adjustment to retained earnings</w:t>
      </w:r>
    </w:p>
    <w:p>
      <w:pPr>
        <w:ind w:left="340"/>
        <w:spacing w:after="30"/>
      </w:pPr>
      <w:r>
        <w:rPr>
          <w:color w:val="6B7280"/>
          <w:sz w:val="19"/>
          <w:szCs w:val="19"/>
        </w:rPr>
        <w:t xml:space="preserve">(D)  </w:t>
      </w:r>
      <w:r>
        <w:rPr>
          <w:sz w:val="19"/>
          <w:szCs w:val="19"/>
        </w:rPr>
        <w:t xml:space="preserve">Spread over the remaining original term</w:t>
      </w:r>
    </w:p>
    <w:p>
      <w:pPr>
        <w:spacing w:before="150" w:after="60"/>
      </w:pPr>
      <w:r>
        <w:rPr>
          <w:b/>
          <w:bCs/>
          <w:color w:val="353A7C"/>
          <w:sz w:val="19"/>
          <w:szCs w:val="19"/>
        </w:rPr>
        <w:t xml:space="preserve">4.  [Level C]  </w:t>
      </w:r>
      <w:r>
        <w:rPr>
          <w:b/>
          <w:bCs/>
          <w:sz w:val="19"/>
          <w:szCs w:val="19"/>
        </w:rPr>
        <w:t xml:space="preserve">A company refinances expensive debt at a lower rate and records a loss. The decision was:</w:t>
      </w:r>
    </w:p>
    <w:p>
      <w:pPr>
        <w:ind w:left="340"/>
        <w:spacing w:after="30"/>
      </w:pPr>
      <w:r>
        <w:rPr>
          <w:color w:val="6B7280"/>
          <w:sz w:val="19"/>
          <w:szCs w:val="19"/>
        </w:rPr>
        <w:t xml:space="preserve">(A)  </w:t>
      </w:r>
      <w:r>
        <w:rPr>
          <w:sz w:val="19"/>
          <w:szCs w:val="19"/>
        </w:rPr>
        <w:t xml:space="preserve">Clearly wrong, because it produced a loss</w:t>
      </w:r>
    </w:p>
    <w:p>
      <w:pPr>
        <w:ind w:left="340"/>
        <w:spacing w:after="30"/>
      </w:pPr>
      <w:r>
        <w:rPr>
          <w:color w:val="6B7280"/>
          <w:sz w:val="19"/>
          <w:szCs w:val="19"/>
        </w:rPr>
        <w:t xml:space="preserve">(B)  </w:t>
      </w:r>
      <w:r>
        <w:rPr>
          <w:sz w:val="19"/>
          <w:szCs w:val="19"/>
        </w:rPr>
        <w:t xml:space="preserve">Possibly right, if the discounted saving exceeds the loss</w:t>
      </w:r>
    </w:p>
    <w:p>
      <w:pPr>
        <w:ind w:left="340"/>
        <w:spacing w:after="30"/>
      </w:pPr>
      <w:r>
        <w:rPr>
          <w:color w:val="6B7280"/>
          <w:sz w:val="19"/>
          <w:szCs w:val="19"/>
        </w:rPr>
        <w:t xml:space="preserve">(C)  </w:t>
      </w:r>
      <w:r>
        <w:rPr>
          <w:sz w:val="19"/>
          <w:szCs w:val="19"/>
        </w:rPr>
        <w:t xml:space="preserve">Right only if the loss is immaterial</w:t>
      </w:r>
    </w:p>
    <w:p>
      <w:pPr>
        <w:ind w:left="340"/>
        <w:spacing w:after="30"/>
      </w:pPr>
      <w:r>
        <w:rPr>
          <w:color w:val="6B7280"/>
          <w:sz w:val="19"/>
          <w:szCs w:val="19"/>
        </w:rPr>
        <w:t xml:space="preserve">(D)  </w:t>
      </w:r>
      <w:r>
        <w:rPr>
          <w:sz w:val="19"/>
          <w:szCs w:val="19"/>
        </w:rPr>
        <w:t xml:space="preserve">Not assessable from accounting information</w:t>
      </w:r>
    </w:p>
    <w:p>
      <w:pPr>
        <w:spacing w:before="150" w:after="60"/>
      </w:pPr>
      <w:r>
        <w:rPr>
          <w:b/>
          <w:bCs/>
          <w:color w:val="353A7C"/>
          <w:sz w:val="19"/>
          <w:szCs w:val="19"/>
        </w:rPr>
        <w:t xml:space="preserve">5.  [Level B]  </w:t>
      </w:r>
      <w:r>
        <w:rPr>
          <w:b/>
          <w:bCs/>
          <w:sz w:val="19"/>
          <w:szCs w:val="19"/>
        </w:rPr>
        <w:t xml:space="preserve">Proceeds from a bond issued with detachable warrants are:</w:t>
      </w:r>
    </w:p>
    <w:p>
      <w:pPr>
        <w:ind w:left="340"/>
        <w:spacing w:after="30"/>
      </w:pPr>
      <w:r>
        <w:rPr>
          <w:color w:val="6B7280"/>
          <w:sz w:val="19"/>
          <w:szCs w:val="19"/>
        </w:rPr>
        <w:t xml:space="preserve">(A)  </w:t>
      </w:r>
      <w:r>
        <w:rPr>
          <w:sz w:val="19"/>
          <w:szCs w:val="19"/>
        </w:rPr>
        <w:t xml:space="preserve">Recorded entirely as a liability</w:t>
      </w:r>
    </w:p>
    <w:p>
      <w:pPr>
        <w:ind w:left="340"/>
        <w:spacing w:after="30"/>
      </w:pPr>
      <w:r>
        <w:rPr>
          <w:color w:val="6B7280"/>
          <w:sz w:val="19"/>
          <w:szCs w:val="19"/>
        </w:rPr>
        <w:t xml:space="preserve">(B)  </w:t>
      </w:r>
      <w:r>
        <w:rPr>
          <w:sz w:val="19"/>
          <w:szCs w:val="19"/>
        </w:rPr>
        <w:t xml:space="preserve">Allocated between the bond and paid-in capital</w:t>
      </w:r>
    </w:p>
    <w:p>
      <w:pPr>
        <w:ind w:left="340"/>
        <w:spacing w:after="30"/>
      </w:pPr>
      <w:r>
        <w:rPr>
          <w:color w:val="6B7280"/>
          <w:sz w:val="19"/>
          <w:szCs w:val="19"/>
        </w:rPr>
        <w:t xml:space="preserve">(C)  </w:t>
      </w:r>
      <w:r>
        <w:rPr>
          <w:sz w:val="19"/>
          <w:szCs w:val="19"/>
        </w:rPr>
        <w:t xml:space="preserve">Recorded entirely in equity</w:t>
      </w:r>
    </w:p>
    <w:p>
      <w:pPr>
        <w:ind w:left="340"/>
        <w:spacing w:after="30"/>
      </w:pPr>
      <w:r>
        <w:rPr>
          <w:color w:val="6B7280"/>
          <w:sz w:val="19"/>
          <w:szCs w:val="19"/>
        </w:rPr>
        <w:t xml:space="preserve">(D)  </w:t>
      </w:r>
      <w:r>
        <w:rPr>
          <w:sz w:val="19"/>
          <w:szCs w:val="19"/>
        </w:rPr>
        <w:t xml:space="preserve">Deferred until the warrants are exercised</w:t>
      </w:r>
    </w:p>
    <w:p>
      <w:pPr>
        <w:spacing w:before="150" w:after="60"/>
      </w:pPr>
      <w:r>
        <w:rPr>
          <w:b/>
          <w:bCs/>
          <w:color w:val="353A7C"/>
          <w:sz w:val="19"/>
          <w:szCs w:val="19"/>
        </w:rPr>
        <w:t xml:space="preserve">6.  [Level B]  </w:t>
      </w:r>
      <w:r>
        <w:rPr>
          <w:b/>
          <w:bCs/>
          <w:sz w:val="19"/>
          <w:szCs w:val="19"/>
        </w:rPr>
        <w:t xml:space="preserve">When a convertible bond is converted into shares:</w:t>
      </w:r>
    </w:p>
    <w:p>
      <w:pPr>
        <w:ind w:left="340"/>
        <w:spacing w:after="30"/>
      </w:pPr>
      <w:r>
        <w:rPr>
          <w:color w:val="6B7280"/>
          <w:sz w:val="19"/>
          <w:szCs w:val="19"/>
        </w:rPr>
        <w:t xml:space="preserve">(A)  </w:t>
      </w:r>
      <w:r>
        <w:rPr>
          <w:sz w:val="19"/>
          <w:szCs w:val="19"/>
        </w:rPr>
        <w:t xml:space="preserve">The company receives cash for the new shares</w:t>
      </w:r>
    </w:p>
    <w:p>
      <w:pPr>
        <w:ind w:left="340"/>
        <w:spacing w:after="30"/>
      </w:pPr>
      <w:r>
        <w:rPr>
          <w:color w:val="6B7280"/>
          <w:sz w:val="19"/>
          <w:szCs w:val="19"/>
        </w:rPr>
        <w:t xml:space="preserve">(B)  </w:t>
      </w:r>
      <w:r>
        <w:rPr>
          <w:sz w:val="19"/>
          <w:szCs w:val="19"/>
        </w:rPr>
        <w:t xml:space="preserve">The liability is replaced by equity and no cash moves</w:t>
      </w:r>
    </w:p>
    <w:p>
      <w:pPr>
        <w:ind w:left="340"/>
        <w:spacing w:after="30"/>
      </w:pPr>
      <w:r>
        <w:rPr>
          <w:color w:val="6B7280"/>
          <w:sz w:val="19"/>
          <w:szCs w:val="19"/>
        </w:rPr>
        <w:t xml:space="preserve">(C)  </w:t>
      </w:r>
      <w:r>
        <w:rPr>
          <w:sz w:val="19"/>
          <w:szCs w:val="19"/>
        </w:rPr>
        <w:t xml:space="preserve">A gain is recognised in profit</w:t>
      </w:r>
    </w:p>
    <w:p>
      <w:pPr>
        <w:ind w:left="340"/>
        <w:spacing w:after="30"/>
      </w:pPr>
      <w:r>
        <w:rPr>
          <w:color w:val="6B7280"/>
          <w:sz w:val="19"/>
          <w:szCs w:val="19"/>
        </w:rPr>
        <w:t xml:space="preserve">(D)  </w:t>
      </w:r>
      <w:r>
        <w:rPr>
          <w:sz w:val="19"/>
          <w:szCs w:val="19"/>
        </w:rPr>
        <w:t xml:space="preserve">The bond remains outstanding</w:t>
      </w:r>
    </w:p>
    <w:p>
      <w:pPr>
        <w:spacing w:before="150" w:after="60"/>
      </w:pPr>
      <w:r>
        <w:rPr>
          <w:b/>
          <w:bCs/>
          <w:color w:val="353A7C"/>
          <w:sz w:val="19"/>
          <w:szCs w:val="19"/>
        </w:rPr>
        <w:t xml:space="preserve">7.  [Level C]  </w:t>
      </w:r>
      <w:r>
        <w:rPr>
          <w:b/>
          <w:bCs/>
          <w:sz w:val="19"/>
          <w:szCs w:val="19"/>
        </w:rPr>
        <w:t xml:space="preserve">The principal advantage of debt finance over equity finance is that:</w:t>
      </w:r>
    </w:p>
    <w:p>
      <w:pPr>
        <w:ind w:left="340"/>
        <w:spacing w:after="30"/>
      </w:pPr>
      <w:r>
        <w:rPr>
          <w:color w:val="6B7280"/>
          <w:sz w:val="19"/>
          <w:szCs w:val="19"/>
        </w:rPr>
        <w:t xml:space="preserve">(A)  </w:t>
      </w:r>
      <w:r>
        <w:rPr>
          <w:sz w:val="19"/>
          <w:szCs w:val="19"/>
        </w:rPr>
        <w:t xml:space="preserve">It carries no obligation to pay</w:t>
      </w:r>
    </w:p>
    <w:p>
      <w:pPr>
        <w:ind w:left="340"/>
        <w:spacing w:after="30"/>
      </w:pPr>
      <w:r>
        <w:rPr>
          <w:color w:val="6B7280"/>
          <w:sz w:val="19"/>
          <w:szCs w:val="19"/>
        </w:rPr>
        <w:t xml:space="preserve">(B)  </w:t>
      </w:r>
      <w:r>
        <w:rPr>
          <w:sz w:val="19"/>
          <w:szCs w:val="19"/>
        </w:rPr>
        <w:t xml:space="preserve">Interest is deductible for tax, while dividends are not</w:t>
      </w:r>
    </w:p>
    <w:p>
      <w:pPr>
        <w:ind w:left="340"/>
        <w:spacing w:after="30"/>
      </w:pPr>
      <w:r>
        <w:rPr>
          <w:color w:val="6B7280"/>
          <w:sz w:val="19"/>
          <w:szCs w:val="19"/>
        </w:rPr>
        <w:t xml:space="preserve">(C)  </w:t>
      </w:r>
      <w:r>
        <w:rPr>
          <w:sz w:val="19"/>
          <w:szCs w:val="19"/>
        </w:rPr>
        <w:t xml:space="preserve">It never dilutes existing shareholders</w:t>
      </w:r>
    </w:p>
    <w:p>
      <w:pPr>
        <w:ind w:left="340"/>
        <w:spacing w:after="30"/>
      </w:pPr>
      <w:r>
        <w:rPr>
          <w:color w:val="6B7280"/>
          <w:sz w:val="19"/>
          <w:szCs w:val="19"/>
        </w:rPr>
        <w:t xml:space="preserve">(D)  </w:t>
      </w:r>
      <w:r>
        <w:rPr>
          <w:sz w:val="19"/>
          <w:szCs w:val="19"/>
        </w:rPr>
        <w:t xml:space="preserve">It improves the debt-to-equity ratio</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For any extinguishment, write three numbers: the carrying amount from the schedule, the cash paid, and the difference. The face value is in the stem to be used in the entry, not in the computation of the gain or loss.</w:t>
            </w:r>
          </w:p>
        </w:tc>
      </w:tr>
    </w:tbl>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 · Contingencies: Probable, Reasonably Possible, Remote</w:t>
      </w:r>
    </w:p>
    <w:p>
      <w:pPr>
        <w:spacing w:after="8"/>
      </w:pPr>
      <w:r>
        <w:rPr>
          <w:color w:val="23265A"/>
          <w:sz w:val="22"/>
          <w:szCs w:val="22"/>
        </w:rPr>
        <w:t xml:space="preserve">A lawsuit that might cost between $200,000 and $600,000. One framework accrues $200,000 and the other accrues $400,000.</w:t>
      </w:r>
    </w:p>
    <w:p>
      <w:pPr>
        <w:spacing w:after="130"/>
      </w:pPr>
      <w:r>
        <w:rPr>
          <w:color w:val="6B7280"/>
          <w:sz w:val="20"/>
          <w:szCs w:val="20"/>
        </w:rPr>
        <w:t xml:space="preserve">Volume 14 · Long-Term Debt and Contingent Liabilities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ladder, R3 for the classification, which uses the standard’s own three words.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accrue a loss contingency · disclose a possible obligation · estimate a range of outcomes · assess the likelihood of an outflow · recognise a provision · confirm a contingency by a future event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probable / reasonably possible / remote · accrue / disclose · loss contingency / gain contingency · range / best estimate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contingency is not an estimate that happens to be uncertain. Its existence depends on a future event, not just its amount.  A gain contingency is never accrued. The asymmetry is deliberate and the exam tests it.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Define a contingency and say what makes one.</w:t>
      </w:r>
    </w:p>
    <w:p>
      <w:pPr>
        <w:pStyle w:val="ListParagraph"/>
        <w:numPr>
          <w:ilvl w:val="0"/>
          <w:numId w:val="1"/>
        </w:numPr>
        <w:spacing w:after="24"/>
      </w:pPr>
      <w:r>
        <w:rPr>
          <w:sz w:val="20"/>
          <w:szCs w:val="20"/>
        </w:rPr>
        <w:t xml:space="preserve">State the three likelihood thresholds.</w:t>
      </w:r>
    </w:p>
    <w:p>
      <w:pPr>
        <w:pStyle w:val="ListParagraph"/>
        <w:numPr>
          <w:ilvl w:val="0"/>
          <w:numId w:val="1"/>
        </w:numPr>
        <w:spacing w:after="24"/>
      </w:pPr>
      <w:r>
        <w:rPr>
          <w:sz w:val="20"/>
          <w:szCs w:val="20"/>
        </w:rPr>
        <w:t xml:space="preserve">Decide whether to accrue, disclose, or do neither.</w:t>
      </w:r>
    </w:p>
    <w:p>
      <w:pPr>
        <w:pStyle w:val="ListParagraph"/>
        <w:numPr>
          <w:ilvl w:val="0"/>
          <w:numId w:val="1"/>
        </w:numPr>
        <w:spacing w:after="24"/>
      </w:pPr>
      <w:r>
        <w:rPr>
          <w:sz w:val="20"/>
          <w:szCs w:val="20"/>
        </w:rPr>
        <w:t xml:space="preserve">Account for a range of possible losses.</w:t>
      </w:r>
    </w:p>
    <w:p>
      <w:pPr>
        <w:pStyle w:val="ListParagraph"/>
        <w:numPr>
          <w:ilvl w:val="0"/>
          <w:numId w:val="1"/>
        </w:numPr>
        <w:spacing w:after="24"/>
      </w:pPr>
      <w:r>
        <w:rPr>
          <w:sz w:val="20"/>
          <w:szCs w:val="20"/>
        </w:rPr>
        <w:t xml:space="preserve">Say why a gain contingency is treated differently.</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Four claims and a counterclaim</w:t>
            </w:r>
          </w:p>
          <w:p>
            <w:pPr>
              <w:spacing w:after="80" w:line="290" w:lineRule="auto"/>
            </w:pPr>
            <w:r>
              <w:rPr>
                <w:sz w:val="21"/>
                <w:szCs w:val="21"/>
              </w:rPr>
              <w:t xml:space="preserve">At 31 December 20X4 Northwind faces three claims and has brought one of its own.</w:t>
            </w:r>
          </w:p>
          <w:p>
            <w:pPr>
              <w:spacing w:after="80" w:line="290" w:lineRule="auto"/>
            </w:pPr>
            <w:r>
              <w:rPr>
                <w:sz w:val="21"/>
                <w:szCs w:val="21"/>
              </w:rPr>
              <w:t xml:space="preserve">The first is probable and will cost between $200,000 and $600,000, with no point in that range more likely than any other. The second is reasonably possible at about $300,000. The third is remote.</w:t>
            </w:r>
          </w:p>
          <w:p>
            <w:pPr>
              <w:spacing w:after="80" w:line="290" w:lineRule="auto"/>
            </w:pPr>
            <w:r>
              <w:rPr>
                <w:sz w:val="21"/>
                <w:szCs w:val="21"/>
              </w:rPr>
              <w:t xml:space="preserve">The counterclaim is one Northwind expects to win, for $250,000.</w:t>
            </w:r>
          </w:p>
          <w:p>
            <w:pPr>
              <w:spacing w:after="80" w:line="290" w:lineRule="auto"/>
            </w:pPr>
            <w:r>
              <w:rPr>
                <w:sz w:val="21"/>
                <w:szCs w:val="21"/>
              </w:rPr>
              <w:t xml:space="preserve">Four situations, four different answers, and the warranty provision of Volume 7 is a fifth that you have already accrued.</w:t>
            </w:r>
          </w:p>
        </w:tc>
      </w:tr>
    </w:tbl>
    <w:p/>
    <w:p>
      <w:pPr>
        <w:spacing w:after="40" w:before="90"/>
        <w:jc w:val="center"/>
      </w:pPr>
      <w:r>
        <w:drawing>
          <wp:inline distT="0" distB="0" distL="0" distR="0">
            <wp:extent cx="5734050" cy="293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2930725"/>
                    </a:xfrm>
                    <a:prstGeom prst="rect">
                      <a:avLst/>
                    </a:prstGeom>
                  </pic:spPr>
                </pic:pic>
              </a:graphicData>
            </a:graphic>
          </wp:inline>
        </w:drawing>
      </w:r>
    </w:p>
    <w:p>
      <w:pPr>
        <w:shd w:fill="353A7C" w:val="clear"/>
        <w:spacing w:after="80" w:before="230"/>
      </w:pPr>
      <w:r>
        <w:rPr>
          <w:b/>
          <w:bCs/>
          <w:color w:val="FFFFFF"/>
          <w:sz w:val="26"/>
          <w:szCs w:val="26"/>
        </w:rPr>
        <w:t xml:space="preserve">  Part 1 · What makes a contingency</w:t>
      </w:r>
      <w:r>
        <w:rPr>
          <w:b/>
          <w:bCs/>
          <w:color w:val="FFFFFF"/>
          <w:sz w:val="16"/>
          <w:szCs w:val="16"/>
        </w:rPr>
        <w:t xml:space="preserve">    uncertain existence, not uncertain amount</w:t>
      </w:r>
    </w:p>
    <w:p>
      <w:pPr>
        <w:spacing w:before="230" w:after="80"/>
        <w:pBdr>
          <w:top w:val="single" w:sz="12" w:space="7" w:color="353A7C"/>
        </w:pBdr>
      </w:pPr>
      <w:r>
        <w:rPr>
          <w:b/>
          <w:bCs/>
          <w:color w:val="353A7C"/>
          <w:sz w:val="22"/>
          <w:szCs w:val="22"/>
        </w:rPr>
        <w:t xml:space="preserve">Exercise 6A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Define a contingency and distinguish it from an ordinary estimate.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7 Handout 1, where the warranty provision was accrued. · Volume 3 Handout 2, on estimating credit losses.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Northwind’s depreciation charge is uncertain in amount and nobody calls it a contingency. Ask what is different about the lawsuit.</w:t>
            </w:r>
          </w:p>
          <w:p>
            <w:pPr>
              <w:spacing w:after="30"/>
            </w:pPr>
            <w:r>
              <w:rPr>
                <w:color w:val="353A7C"/>
                <w:sz w:val="18"/>
                <w:szCs w:val="18"/>
              </w:rPr>
              <w:t xml:space="preserve">•  </w:t>
            </w:r>
            <w:r>
              <w:rPr>
                <w:sz w:val="18"/>
                <w:szCs w:val="18"/>
              </w:rPr>
              <w:t xml:space="preserve">The lawsuit may cost nothing at all. The machine will certainly wear out.</w:t>
            </w:r>
          </w:p>
          <w:p>
            <w:pPr>
              <w:spacing w:after="30"/>
            </w:pPr>
            <w:r>
              <w:rPr>
                <w:color w:val="353A7C"/>
                <w:sz w:val="18"/>
                <w:szCs w:val="18"/>
              </w:rPr>
              <w:t xml:space="preserve">•  </w:t>
            </w:r>
            <w:r>
              <w:rPr>
                <w:sz w:val="18"/>
                <w:szCs w:val="18"/>
              </w:rPr>
              <w:t xml:space="preserve">The last blank is the event that will settle the matter, and it is not in the company’s hands.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amount</w:t>
            </w:r>
            <w:r>
              <w:rPr>
                <w:b/>
                <w:bCs/>
                <w:color w:val="8186EF"/>
                <w:sz w:val="20"/>
                <w:szCs w:val="20"/>
              </w:rPr>
              <w:t xml:space="preserve">   ·   </w:t>
            </w:r>
            <w:r>
              <w:rPr>
                <w:b/>
                <w:bCs/>
                <w:sz w:val="20"/>
                <w:szCs w:val="20"/>
              </w:rPr>
              <w:t xml:space="preserve">arise</w:t>
            </w:r>
            <w:r>
              <w:rPr>
                <w:b/>
                <w:bCs/>
                <w:color w:val="8186EF"/>
                <w:sz w:val="20"/>
                <w:szCs w:val="20"/>
              </w:rPr>
              <w:t xml:space="preserve">   ·   </w:t>
            </w:r>
            <w:r>
              <w:rPr>
                <w:b/>
                <w:bCs/>
                <w:sz w:val="20"/>
                <w:szCs w:val="20"/>
              </w:rPr>
              <w:t xml:space="preserve">event</w:t>
            </w:r>
            <w:r>
              <w:rPr>
                <w:b/>
                <w:bCs/>
                <w:color w:val="8186EF"/>
                <w:sz w:val="20"/>
                <w:szCs w:val="20"/>
              </w:rPr>
              <w:t xml:space="preserve">   ·   </w:t>
            </w:r>
            <w:r>
              <w:rPr>
                <w:b/>
                <w:bCs/>
                <w:sz w:val="20"/>
                <w:szCs w:val="20"/>
              </w:rPr>
              <w:t xml:space="preserve">exist</w:t>
            </w:r>
            <w:r>
              <w:rPr>
                <w:b/>
                <w:bCs/>
                <w:color w:val="8186EF"/>
                <w:sz w:val="20"/>
                <w:szCs w:val="20"/>
              </w:rPr>
              <w:t xml:space="preserve">   ·   </w:t>
            </w:r>
            <w:r>
              <w:rPr>
                <w:b/>
                <w:bCs/>
                <w:sz w:val="20"/>
                <w:szCs w:val="20"/>
              </w:rPr>
              <w:t xml:space="preserve">likely</w:t>
            </w:r>
            <w:r>
              <w:rPr>
                <w:b/>
                <w:bCs/>
                <w:color w:val="8186EF"/>
                <w:sz w:val="20"/>
                <w:szCs w:val="20"/>
              </w:rPr>
              <w:t xml:space="preserve">   ·   </w:t>
            </w:r>
            <w:r>
              <w:rPr>
                <w:b/>
                <w:bCs/>
                <w:sz w:val="20"/>
                <w:szCs w:val="20"/>
              </w:rPr>
              <w:t xml:space="preserve">much</w:t>
            </w:r>
            <w:r>
              <w:rPr>
                <w:b/>
                <w:bCs/>
                <w:color w:val="8186EF"/>
                <w:sz w:val="20"/>
                <w:szCs w:val="20"/>
              </w:rPr>
              <w:t xml:space="preserve">   ·   </w:t>
            </w:r>
            <w:r>
              <w:rPr>
                <w:b/>
                <w:bCs/>
                <w:sz w:val="20"/>
                <w:szCs w:val="20"/>
              </w:rPr>
              <w:t xml:space="preserve">timing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Almost every figure in these volumes is an estimate. Depreciation, the allowance for credit losses and the warranty provision are all uncertain in </w:t>
      </w:r>
      <w:r>
        <w:rPr>
          <w:vertAlign w:val="superscript"/>
          <w:color w:val="353A7C"/>
          <w:b/>
          <w:sz w:val="16"/>
        </w:rPr>
        <w:t>1</w:t>
      </w:r>
      <w:r>
        <w:rPr>
          <w:u w:val="single"/>
          <w:sz w:val="21"/>
          <w:szCs w:val="21"/>
        </w:rPr>
        <w:t xml:space="preserve">            </w:t>
      </w:r>
      <w:r>
        <w:rPr>
          <w:sz w:val="21"/>
          <w:szCs w:val="21"/>
        </w:rPr>
        <w:t xml:space="preserve">, and none of them is a contingency.</w:t>
      </w:r>
    </w:p>
    <w:p>
      <w:pPr>
        <w:spacing w:before="40" w:after="110" w:line="300" w:lineRule="auto"/>
      </w:pPr>
      <w:r>
        <w:rPr>
          <w:sz w:val="21"/>
          <w:szCs w:val="21"/>
        </w:rPr>
        <w:t xml:space="preserve">A contingency is different because the obligation may not </w:t>
      </w:r>
      <w:r>
        <w:rPr>
          <w:vertAlign w:val="superscript"/>
          <w:color w:val="353A7C"/>
          <w:b/>
          <w:sz w:val="16"/>
        </w:rPr>
        <w:t>2</w:t>
      </w:r>
      <w:r>
        <w:rPr>
          <w:u w:val="single"/>
          <w:sz w:val="21"/>
          <w:szCs w:val="21"/>
        </w:rPr>
        <w:t xml:space="preserve">          </w:t>
      </w:r>
      <w:r>
        <w:rPr>
          <w:sz w:val="21"/>
          <w:szCs w:val="21"/>
        </w:rPr>
        <w:t xml:space="preserve"> at all. Northwind may lose the lawsuit and owe $600,000, or win it and owe nothing.</w:t>
      </w:r>
    </w:p>
    <w:p>
      <w:pPr>
        <w:spacing w:before="40" w:after="110" w:line="300" w:lineRule="auto"/>
      </w:pPr>
      <w:r>
        <w:rPr>
          <w:sz w:val="21"/>
          <w:szCs w:val="21"/>
        </w:rPr>
        <w:t xml:space="preserve">What settles the question is a future </w:t>
      </w:r>
      <w:r>
        <w:rPr>
          <w:vertAlign w:val="superscript"/>
          <w:color w:val="353A7C"/>
          <w:b/>
          <w:sz w:val="16"/>
        </w:rPr>
        <w:t>3</w:t>
      </w:r>
      <w:r>
        <w:rPr>
          <w:u w:val="single"/>
          <w:sz w:val="21"/>
          <w:szCs w:val="21"/>
        </w:rPr>
        <w:t xml:space="preserve">          </w:t>
      </w:r>
      <w:r>
        <w:rPr>
          <w:sz w:val="21"/>
          <w:szCs w:val="21"/>
        </w:rPr>
        <w:t xml:space="preserve"> outside the company’s control: a judgment, a settlement, a regulator’s decision. Until it happens the position cannot be resolved by better information alone.</w:t>
      </w:r>
    </w:p>
    <w:p>
      <w:pPr>
        <w:spacing w:before="40" w:after="110" w:line="300" w:lineRule="auto"/>
      </w:pPr>
      <w:r>
        <w:rPr>
          <w:sz w:val="21"/>
          <w:szCs w:val="21"/>
        </w:rPr>
        <w:t xml:space="preserve">So the accounting asks a question it asks nowhere else. Not how much, but how </w:t>
      </w:r>
      <w:r>
        <w:rPr>
          <w:vertAlign w:val="superscript"/>
          <w:color w:val="353A7C"/>
          <w:b/>
          <w:sz w:val="16"/>
        </w:rPr>
        <w:t>4</w:t>
      </w:r>
      <w:r>
        <w:rPr>
          <w:u w:val="single"/>
          <w:sz w:val="21"/>
          <w:szCs w:val="21"/>
        </w:rPr>
        <w:t xml:space="preserve">            </w:t>
      </w:r>
      <w:r>
        <w:rPr>
          <w:sz w:val="21"/>
          <w:szCs w:val="21"/>
        </w:rPr>
        <w:t xml:space="preserve">, and the answer decides whether anything is recorded.</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2 · The three rungs</w:t>
      </w:r>
      <w:r>
        <w:rPr>
          <w:b/>
          <w:bCs/>
          <w:color w:val="FFFFFF"/>
          <w:sz w:val="16"/>
          <w:szCs w:val="16"/>
        </w:rPr>
        <w:t xml:space="preserve">    and what each one requires</w:t>
      </w:r>
    </w:p>
    <w:p>
      <w:pPr>
        <w:spacing w:before="230" w:after="80"/>
        <w:pBdr>
          <w:top w:val="single" w:sz="12" w:space="7" w:color="353A7C"/>
        </w:pBdr>
      </w:pPr>
      <w:r>
        <w:rPr>
          <w:b/>
          <w:bCs/>
          <w:color w:val="353A7C"/>
          <w:sz w:val="22"/>
          <w:szCs w:val="22"/>
        </w:rPr>
        <w:t xml:space="preserve">Exercise 6B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what each likelihood threshold requires.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conditions must both hold before anything is accrued, and the columns separate them.</w:t>
            </w:r>
          </w:p>
          <w:p>
            <w:pPr>
              <w:spacing w:after="30"/>
            </w:pPr>
            <w:r>
              <w:rPr>
                <w:color w:val="353A7C"/>
                <w:sz w:val="18"/>
                <w:szCs w:val="18"/>
              </w:rPr>
              <w:t xml:space="preserve">•  </w:t>
            </w:r>
            <w:r>
              <w:rPr>
                <w:sz w:val="18"/>
                <w:szCs w:val="18"/>
              </w:rPr>
              <w:t xml:space="preserve">The middle row is the same in both columns, which is worth noticing before you fill it in.</w:t>
            </w:r>
          </w:p>
          <w:p>
            <w:pPr>
              <w:spacing w:after="30"/>
            </w:pPr>
            <w:r>
              <w:rPr>
                <w:color w:val="353A7C"/>
                <w:sz w:val="18"/>
                <w:szCs w:val="18"/>
              </w:rPr>
              <w:t xml:space="preserve">•  </w:t>
            </w:r>
            <w:r>
              <w:rPr>
                <w:sz w:val="18"/>
                <w:szCs w:val="18"/>
              </w:rPr>
              <w:t xml:space="preserve">The bottom row is the only one where a company may say nothing at all.</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35"/>
        <w:gridCol w:w="35"/>
      </w:tblGrid>
      <w:tr>
        <w:tc>
          <w:tcPr>
            <w:shd w:fill="44506B" w:val="clear"/>
            <w:tcMar>
              <w:top w:type="dxa" w:w="60"/>
              <w:left w:type="dxa" w:w="120"/>
              <w:bottom w:type="dxa" w:w="60"/>
              <w:right w:type="dxa" w:w="120"/>
            </w:tcMar>
          </w:tcPr>
          <w:p>
            <w:r>
              <w:rPr>
                <w:b/>
                <w:bCs/>
                <w:color w:val="FFFFFF"/>
                <w:sz w:val="19"/>
                <w:szCs w:val="19"/>
              </w:rPr>
              <w:t xml:space="preserve">Likelihood of the loss</w:t>
            </w:r>
          </w:p>
        </w:tc>
        <w:tc>
          <w:tcPr>
            <w:shd w:fill="44506B" w:val="clear"/>
            <w:tcMar>
              <w:top w:type="dxa" w:w="60"/>
              <w:left w:type="dxa" w:w="120"/>
              <w:bottom w:type="dxa" w:w="60"/>
              <w:right w:type="dxa" w:w="120"/>
            </w:tcMar>
          </w:tcPr>
          <w:p>
            <w:r>
              <w:rPr>
                <w:b/>
                <w:bCs/>
                <w:color w:val="FFFFFF"/>
                <w:sz w:val="19"/>
                <w:szCs w:val="19"/>
              </w:rPr>
              <w:t xml:space="preserve">If the amount can be estimated</w:t>
            </w:r>
          </w:p>
        </w:tc>
        <w:tc>
          <w:tcPr>
            <w:shd w:fill="44506B" w:val="clear"/>
            <w:tcMar>
              <w:top w:type="dxa" w:w="60"/>
              <w:left w:type="dxa" w:w="120"/>
              <w:bottom w:type="dxa" w:w="60"/>
              <w:right w:type="dxa" w:w="120"/>
            </w:tcMar>
          </w:tcPr>
          <w:p>
            <w:r>
              <w:rPr>
                <w:b/>
                <w:bCs/>
                <w:color w:val="FFFFFF"/>
                <w:sz w:val="19"/>
                <w:szCs w:val="19"/>
              </w:rPr>
              <w:t xml:space="preserve">If it cannot</w:t>
            </w:r>
          </w:p>
        </w:tc>
      </w:tr>
      <w:tr>
        <w:tc>
          <w:tcPr>
            <w:tcMar>
              <w:top w:type="dxa" w:w="60"/>
              <w:left w:type="dxa" w:w="120"/>
              <w:bottom w:type="dxa" w:w="60"/>
              <w:right w:type="dxa" w:w="120"/>
            </w:tcMar>
          </w:tcPr>
          <w:p>
            <w:r>
              <w:rPr>
                <w:sz w:val="19"/>
                <w:szCs w:val="19"/>
              </w:rPr>
              <w:t xml:space="preserve">Probable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Reasonably possible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Remote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A range with no best estimate</w:t>
      </w:r>
      <w:r>
        <w:rPr>
          <w:b/>
          <w:bCs/>
          <w:color w:val="FFFFFF"/>
          <w:sz w:val="16"/>
          <w:szCs w:val="16"/>
        </w:rPr>
        <w:t xml:space="preserve">    where the frameworks part</w:t>
      </w:r>
    </w:p>
    <w:p>
      <w:pPr>
        <w:spacing w:before="40" w:after="110" w:line="300" w:lineRule="auto"/>
      </w:pPr>
      <w:r>
        <w:rPr>
          <w:b/>
          <w:color w:val="2B6CB0"/>
          <w:sz w:val="13"/>
        </w:rPr>
        <w:t xml:space="preserve">R2  </w:t>
      </w:r>
      <w:r>
        <w:rPr>
          <w:sz w:val="21"/>
          <w:szCs w:val="21"/>
        </w:rPr>
        <w:t xml:space="preserve">Northwind’s first lawsuit is probable and will cost somewhere between $200,000 and $600,000, with no point in the range better supported than any other. Both frameworks accrue something, and they do not accrue the same amount.</w:t>
      </w:r>
    </w:p>
    <w:p>
      <w:pPr>
        <w:spacing w:before="230" w:after="80"/>
        <w:pBdr>
          <w:top w:val="single" w:sz="12" w:space="7" w:color="353A7C"/>
        </w:pBdr>
      </w:pPr>
      <w:r>
        <w:rPr>
          <w:b/>
          <w:bCs/>
          <w:color w:val="353A7C"/>
          <w:sz w:val="22"/>
          <w:szCs w:val="22"/>
        </w:rPr>
        <w:t xml:space="preserve">Exercise 6C   </w:t>
      </w:r>
      <w:r>
        <w:rPr>
          <w:b/>
          <w:bCs/>
          <w:sz w:val="21"/>
          <w:szCs w:val="21"/>
        </w:rPr>
        <w:t xml:space="preserve">Read and complete, then record the entry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Account for a probable loss stated as a range.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6B, and Volume 12 for the US GAAP and IFRS pattern.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US GAAP takes the lowest amount in the range when no point in it is a better estimate than the others.</w:t>
            </w:r>
          </w:p>
          <w:p>
            <w:pPr>
              <w:spacing w:after="30"/>
            </w:pPr>
            <w:r>
              <w:rPr>
                <w:color w:val="353A7C"/>
                <w:sz w:val="18"/>
                <w:szCs w:val="18"/>
              </w:rPr>
              <w:t xml:space="preserve">•  </w:t>
            </w:r>
            <w:r>
              <w:rPr>
                <w:sz w:val="18"/>
                <w:szCs w:val="18"/>
              </w:rPr>
              <w:t xml:space="preserve">IFRS takes the midpoint of a continuous range, which here is $400,000.</w:t>
            </w:r>
          </w:p>
          <w:p>
            <w:pPr>
              <w:spacing w:after="30"/>
            </w:pPr>
            <w:r>
              <w:rPr>
                <w:color w:val="353A7C"/>
                <w:sz w:val="18"/>
                <w:szCs w:val="18"/>
              </w:rPr>
              <w:t xml:space="preserve">•  </w:t>
            </w:r>
            <w:r>
              <w:rPr>
                <w:sz w:val="18"/>
                <w:szCs w:val="18"/>
              </w:rPr>
              <w:t xml:space="preserve">The last blank is what both frameworks require about the rest of the range, whichever figure is accrued.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average</w:t>
            </w:r>
            <w:r>
              <w:rPr>
                <w:b/>
                <w:bCs/>
                <w:color w:val="8186EF"/>
                <w:sz w:val="20"/>
                <w:szCs w:val="20"/>
              </w:rPr>
              <w:t xml:space="preserve">   ·   </w:t>
            </w:r>
            <w:r>
              <w:rPr>
                <w:b/>
                <w:bCs/>
                <w:sz w:val="20"/>
                <w:szCs w:val="20"/>
              </w:rPr>
              <w:t xml:space="preserve">disclosed</w:t>
            </w:r>
            <w:r>
              <w:rPr>
                <w:b/>
                <w:bCs/>
                <w:color w:val="8186EF"/>
                <w:sz w:val="20"/>
                <w:szCs w:val="20"/>
              </w:rPr>
              <w:t xml:space="preserve">   ·   </w:t>
            </w:r>
            <w:r>
              <w:rPr>
                <w:b/>
                <w:bCs/>
                <w:sz w:val="20"/>
                <w:szCs w:val="20"/>
              </w:rPr>
              <w:t xml:space="preserve">highest</w:t>
            </w:r>
            <w:r>
              <w:rPr>
                <w:b/>
                <w:bCs/>
                <w:color w:val="8186EF"/>
                <w:sz w:val="20"/>
                <w:szCs w:val="20"/>
              </w:rPr>
              <w:t xml:space="preserve">   ·   </w:t>
            </w:r>
            <w:r>
              <w:rPr>
                <w:b/>
                <w:bCs/>
                <w:sz w:val="20"/>
                <w:szCs w:val="20"/>
              </w:rPr>
              <w:t xml:space="preserve">ignored</w:t>
            </w:r>
            <w:r>
              <w:rPr>
                <w:b/>
                <w:bCs/>
                <w:color w:val="8186EF"/>
                <w:sz w:val="20"/>
                <w:szCs w:val="20"/>
              </w:rPr>
              <w:t xml:space="preserve">   ·   </w:t>
            </w:r>
            <w:r>
              <w:rPr>
                <w:b/>
                <w:bCs/>
                <w:sz w:val="20"/>
                <w:szCs w:val="20"/>
              </w:rPr>
              <w:t xml:space="preserve">lowest</w:t>
            </w:r>
            <w:r>
              <w:rPr>
                <w:b/>
                <w:bCs/>
                <w:color w:val="8186EF"/>
                <w:sz w:val="20"/>
                <w:szCs w:val="20"/>
              </w:rPr>
              <w:t xml:space="preserve">   ·   </w:t>
            </w:r>
            <w:r>
              <w:rPr>
                <w:b/>
                <w:bCs/>
                <w:sz w:val="20"/>
                <w:szCs w:val="20"/>
              </w:rPr>
              <w:t xml:space="preserve">met</w:t>
            </w:r>
            <w:r>
              <w:rPr>
                <w:b/>
                <w:bCs/>
                <w:color w:val="8186EF"/>
                <w:sz w:val="20"/>
                <w:szCs w:val="20"/>
              </w:rPr>
              <w:t xml:space="preserve">   ·   </w:t>
            </w:r>
            <w:r>
              <w:rPr>
                <w:b/>
                <w:bCs/>
                <w:sz w:val="20"/>
                <w:szCs w:val="20"/>
              </w:rPr>
              <w:t xml:space="preserve">midpoint</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loss is probable and the range is $200,000 to $600,000, with no point better supported than any other. Something must be accrued, because both conditions for accrual are </w:t>
      </w:r>
      <w:r>
        <w:rPr>
          <w:vertAlign w:val="superscript"/>
          <w:color w:val="353A7C"/>
          <w:b/>
          <w:sz w:val="16"/>
        </w:rPr>
        <w:t>5</w:t>
      </w:r>
      <w:r>
        <w:rPr>
          <w:u w:val="single"/>
          <w:sz w:val="21"/>
          <w:szCs w:val="21"/>
        </w:rPr>
        <w:t xml:space="preserve">         </w:t>
      </w:r>
      <w:r>
        <w:rPr>
          <w:sz w:val="21"/>
          <w:szCs w:val="21"/>
        </w:rPr>
        <w:t xml:space="preserve">.</w:t>
      </w:r>
    </w:p>
    <w:p>
      <w:pPr>
        <w:spacing w:before="40" w:after="110" w:line="300" w:lineRule="auto"/>
      </w:pPr>
      <w:r>
        <w:rPr>
          <w:sz w:val="21"/>
          <w:szCs w:val="21"/>
        </w:rPr>
        <w:t xml:space="preserve">US GAAP accrues the </w:t>
      </w:r>
      <w:r>
        <w:rPr>
          <w:vertAlign w:val="superscript"/>
          <w:color w:val="353A7C"/>
          <w:b/>
          <w:sz w:val="16"/>
        </w:rPr>
        <w:t>6</w:t>
      </w:r>
      <w:r>
        <w:rPr>
          <w:u w:val="single"/>
          <w:sz w:val="21"/>
          <w:szCs w:val="21"/>
        </w:rPr>
        <w:t xml:space="preserve">            </w:t>
      </w:r>
      <w:r>
        <w:rPr>
          <w:sz w:val="21"/>
          <w:szCs w:val="21"/>
        </w:rPr>
        <w:t xml:space="preserve"> amount in the range, $200,000, on the ground that no greater amount has been shown to be probable.</w:t>
      </w:r>
    </w:p>
    <w:p>
      <w:pPr>
        <w:spacing w:before="40" w:after="110" w:line="300" w:lineRule="auto"/>
      </w:pPr>
      <w:r>
        <w:rPr>
          <w:sz w:val="21"/>
          <w:szCs w:val="21"/>
        </w:rPr>
        <w:t xml:space="preserve">IFRS accrues the </w:t>
      </w:r>
      <w:r>
        <w:rPr>
          <w:vertAlign w:val="superscript"/>
          <w:color w:val="353A7C"/>
          <w:b/>
          <w:sz w:val="16"/>
        </w:rPr>
        <w:t>7</w:t>
      </w:r>
      <w:r>
        <w:rPr>
          <w:u w:val="single"/>
          <w:sz w:val="21"/>
          <w:szCs w:val="21"/>
        </w:rPr>
        <w:t xml:space="preserve">               </w:t>
      </w:r>
      <w:r>
        <w:rPr>
          <w:sz w:val="21"/>
          <w:szCs w:val="21"/>
        </w:rPr>
        <w:t xml:space="preserve"> of a continuous range instead, $400,000, on the ground that it is the best single representation of the expected outflow.</w:t>
      </w:r>
    </w:p>
    <w:p>
      <w:pPr>
        <w:spacing w:before="40" w:after="110" w:line="300" w:lineRule="auto"/>
      </w:pPr>
      <w:r>
        <w:rPr>
          <w:sz w:val="21"/>
          <w:szCs w:val="21"/>
        </w:rPr>
        <w:t xml:space="preserve">Both frameworks then require the range itself to be </w:t>
      </w:r>
      <w:r>
        <w:rPr>
          <w:vertAlign w:val="superscript"/>
          <w:color w:val="353A7C"/>
          <w:b/>
          <w:sz w:val="16"/>
        </w:rPr>
        <w:t>8</w:t>
      </w:r>
      <w:r>
        <w:rPr>
          <w:u w:val="single"/>
          <w:sz w:val="21"/>
          <w:szCs w:val="21"/>
        </w:rPr>
        <w:t xml:space="preserve">                </w:t>
      </w:r>
      <w:r>
        <w:rPr>
          <w:sz w:val="21"/>
          <w:szCs w:val="21"/>
        </w:rPr>
        <w:t xml:space="preserve">, so a reader who wants the worst case can find the $600,000 whichever number is on the balance sheet.</w:t>
      </w:r>
    </w:p>
    <w:p>
      <w:pPr>
        <w:spacing w:before="140" w:after="60"/>
      </w:pPr>
      <w:r>
        <w:rPr>
          <w:b/>
          <w:bCs/>
          <w:color w:val="353A7C"/>
          <w:sz w:val="19"/>
          <w:szCs w:val="19"/>
        </w:rPr>
        <w:t xml:space="preserve">J1  </w:t>
      </w:r>
      <w:r>
        <w:rPr>
          <w:color w:val="6B7280"/>
          <w:sz w:val="19"/>
          <w:szCs w:val="19"/>
        </w:rPr>
        <w:t xml:space="preserve">The probable lawsuit accrued at the low end of the range, under US GAAP.</w:t>
      </w:r>
      <w:r>
        <w:rPr>
          <w:b/>
          <w:bCs/>
          <w:color w:val="C9762E"/>
          <w:sz w:val="19"/>
          <w:szCs w:val="19"/>
        </w:rPr>
        <w:t xml:space="preserve">  An expense now, and a liability that may never be paid.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Loss from Litigation</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Estimated Liability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4 · The asymmetry</w:t>
      </w:r>
      <w:r>
        <w:rPr>
          <w:b/>
          <w:bCs/>
          <w:color w:val="FFFFFF"/>
          <w:sz w:val="16"/>
          <w:szCs w:val="16"/>
        </w:rPr>
        <w:t xml:space="preserve">    why a likely gain is not recorded</w:t>
      </w:r>
    </w:p>
    <w:p>
      <w:pPr>
        <w:spacing w:before="230" w:after="80"/>
        <w:pBdr>
          <w:top w:val="single" w:sz="12" w:space="7" w:color="353A7C"/>
        </w:pBdr>
      </w:pPr>
      <w:r>
        <w:rPr>
          <w:b/>
          <w:bCs/>
          <w:color w:val="353A7C"/>
          <w:sz w:val="22"/>
          <w:szCs w:val="22"/>
        </w:rPr>
        <w:t xml:space="preserve">Exercise 6D   </w:t>
      </w:r>
      <w:r>
        <w:rPr>
          <w:b/>
          <w:bCs/>
          <w:sz w:val="21"/>
          <w:szCs w:val="21"/>
        </w:rPr>
        <w:t xml:space="preserve">Sort each item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a gain contingency is treated differently from a loss.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6C, and Volume 1 Handout 1 on the qualities of useful information.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 expects to win its counterclaim for $250,000. Ask whether it may record the receivable.</w:t>
            </w:r>
          </w:p>
          <w:p>
            <w:pPr>
              <w:spacing w:after="30"/>
            </w:pPr>
            <w:r>
              <w:rPr>
                <w:color w:val="353A7C"/>
                <w:sz w:val="18"/>
                <w:szCs w:val="18"/>
              </w:rPr>
              <w:t xml:space="preserve">•  </w:t>
            </w:r>
            <w:r>
              <w:rPr>
                <w:sz w:val="18"/>
                <w:szCs w:val="18"/>
              </w:rPr>
              <w:t xml:space="preserve">A company that records likely gains and likely losses alike would report a result that is right on average and never cautious.</w:t>
            </w:r>
          </w:p>
          <w:p>
            <w:pPr>
              <w:spacing w:after="30"/>
            </w:pPr>
            <w:r>
              <w:rPr>
                <w:color w:val="353A7C"/>
                <w:sz w:val="18"/>
                <w:szCs w:val="18"/>
              </w:rPr>
              <w:t xml:space="preserve">•  </w:t>
            </w:r>
            <w:r>
              <w:rPr>
                <w:sz w:val="18"/>
                <w:szCs w:val="18"/>
              </w:rPr>
              <w:t xml:space="preserve">Two of the six items are about the warranty provision, which is not a contingency at all once it is probable and estimable.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Item</w:t>
            </w:r>
          </w:p>
        </w:tc>
        <w:tc>
          <w:tcPr>
            <w:shd w:fill="353A7C" w:val="clear"/>
            <w:tcMar>
              <w:top w:type="dxa" w:w="55"/>
              <w:left w:type="dxa" w:w="115"/>
              <w:bottom w:type="dxa" w:w="55"/>
              <w:right w:type="dxa" w:w="115"/>
            </w:tcMar>
          </w:tcPr>
          <w:p>
            <w:pPr>
              <w:jc w:val="center"/>
            </w:pPr>
            <w:r>
              <w:rPr>
                <w:b/>
                <w:bCs/>
                <w:color w:val="FFFFFF"/>
                <w:sz w:val="17"/>
                <w:szCs w:val="17"/>
              </w:rPr>
              <w:t xml:space="preserve">ACCRUE</w:t>
            </w:r>
          </w:p>
        </w:tc>
        <w:tc>
          <w:tcPr>
            <w:shd w:fill="353A7C" w:val="clear"/>
            <w:tcMar>
              <w:top w:type="dxa" w:w="55"/>
              <w:left w:type="dxa" w:w="115"/>
              <w:bottom w:type="dxa" w:w="55"/>
              <w:right w:type="dxa" w:w="115"/>
            </w:tcMar>
          </w:tcPr>
          <w:p>
            <w:pPr>
              <w:jc w:val="center"/>
            </w:pPr>
            <w:r>
              <w:rPr>
                <w:b/>
                <w:bCs/>
                <w:color w:val="FFFFFF"/>
                <w:sz w:val="17"/>
                <w:szCs w:val="17"/>
              </w:rPr>
              <w:t xml:space="preserve">DISCLOSE ONLY</w:t>
            </w:r>
          </w:p>
        </w:tc>
        <w:tc>
          <w:tcPr>
            <w:shd w:fill="353A7C" w:val="clear"/>
            <w:tcMar>
              <w:top w:type="dxa" w:w="55"/>
              <w:left w:type="dxa" w:w="115"/>
              <w:bottom w:type="dxa" w:w="55"/>
              <w:right w:type="dxa" w:w="115"/>
            </w:tcMar>
          </w:tcPr>
          <w:p>
            <w:pPr>
              <w:jc w:val="center"/>
            </w:pPr>
            <w:r>
              <w:rPr>
                <w:b/>
                <w:bCs/>
                <w:color w:val="FFFFFF"/>
                <w:sz w:val="17"/>
                <w:szCs w:val="17"/>
              </w:rPr>
              <w:t xml:space="preserve">NEITHER</w:t>
            </w:r>
          </w:p>
        </w:tc>
      </w:tr>
      <w:tr>
        <w:tc>
          <w:tcPr>
            <w:tcMar>
              <w:top w:type="dxa" w:w="45"/>
              <w:left w:type="dxa" w:w="105"/>
              <w:bottom w:type="dxa" w:w="45"/>
              <w:right w:type="dxa" w:w="105"/>
            </w:tcMar>
          </w:tcPr>
          <w:p>
            <w:r>
              <w:rPr>
                <w:sz w:val="18"/>
                <w:szCs w:val="18"/>
              </w:rPr>
              <w:t xml:space="preserve">1.  A probable, estimable loss of $200,000</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 reasonably possible loss of $300,000</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 remote loss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 probable gain of $250,000 on a counterclaim</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Warranty claims expected on this year’s sales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 gain that is virtually certain and already realised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5 · Northwind’s five situations</w:t>
      </w:r>
      <w:r>
        <w:rPr>
          <w:b/>
          <w:bCs/>
          <w:color w:val="FFFFFF"/>
          <w:sz w:val="16"/>
          <w:szCs w:val="16"/>
        </w:rPr>
        <w:t xml:space="preserve">    the ladder applied</w:t>
      </w:r>
    </w:p>
    <w:p>
      <w:pPr>
        <w:spacing w:before="230" w:after="80"/>
        <w:pBdr>
          <w:top w:val="single" w:sz="12" w:space="7" w:color="353A7C"/>
        </w:pBdr>
      </w:pPr>
      <w:r>
        <w:rPr>
          <w:b/>
          <w:bCs/>
          <w:color w:val="353A7C"/>
          <w:sz w:val="22"/>
          <w:szCs w:val="22"/>
        </w:rPr>
        <w:t xml:space="preserve">Exercise 6E   </w:t>
      </w:r>
      <w:r>
        <w:rPr>
          <w:b/>
          <w:bCs/>
          <w:sz w:val="21"/>
          <w:szCs w:val="21"/>
        </w:rPr>
        <w:t xml:space="preserve">Complete the right-hand column.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the treatment of each of Northwind’s five situations.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6B, 6C and 6D.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One of the five is not a contingency at all once it has been measured, and Volume 7 already accrued it.</w:t>
            </w:r>
          </w:p>
          <w:p>
            <w:pPr>
              <w:spacing w:after="30"/>
            </w:pPr>
            <w:r>
              <w:rPr>
                <w:color w:val="353A7C"/>
                <w:sz w:val="18"/>
                <w:szCs w:val="18"/>
              </w:rPr>
              <w:t xml:space="preserve">•  </w:t>
            </w:r>
            <w:r>
              <w:rPr>
                <w:sz w:val="18"/>
                <w:szCs w:val="18"/>
              </w:rPr>
              <w:t xml:space="preserve">Two of the five reach the notes and not the balance sheet.</w:t>
            </w:r>
          </w:p>
          <w:p>
            <w:pPr>
              <w:spacing w:after="30"/>
            </w:pPr>
            <w:r>
              <w:rPr>
                <w:color w:val="353A7C"/>
                <w:sz w:val="18"/>
                <w:szCs w:val="18"/>
              </w:rPr>
              <w:t xml:space="preserve">•  </w:t>
            </w:r>
            <w:r>
              <w:rPr>
                <w:sz w:val="18"/>
                <w:szCs w:val="18"/>
              </w:rPr>
              <w:t xml:space="preserve">One of the five reaches neither, and one is the counterclaim.</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6"/>
        <w:gridCol w:w="34"/>
      </w:tblGrid>
      <w:tr>
        <w:tc>
          <w:tcPr>
            <w:shd w:fill="6D3F7E" w:val="clear"/>
            <w:tcMar>
              <w:top w:type="dxa" w:w="60"/>
              <w:left w:type="dxa" w:w="120"/>
              <w:bottom w:type="dxa" w:w="60"/>
              <w:right w:type="dxa" w:w="120"/>
            </w:tcMar>
          </w:tcPr>
          <w:p>
            <w:r>
              <w:rPr>
                <w:b/>
                <w:bCs/>
                <w:color w:val="FFFFFF"/>
                <w:sz w:val="19"/>
                <w:szCs w:val="19"/>
              </w:rPr>
              <w:t xml:space="preserve">Northwind’s 20X4 year</w:t>
            </w:r>
          </w:p>
        </w:tc>
        <w:tc>
          <w:tcPr>
            <w:shd w:fill="6D3F7E" w:val="clear"/>
            <w:tcMar>
              <w:top w:type="dxa" w:w="60"/>
              <w:left w:type="dxa" w:w="120"/>
              <w:bottom w:type="dxa" w:w="60"/>
              <w:right w:type="dxa" w:w="120"/>
            </w:tcMar>
          </w:tcPr>
          <w:p>
            <w:r>
              <w:rPr>
                <w:b/>
                <w:bCs/>
                <w:color w:val="FFFFFF"/>
                <w:sz w:val="19"/>
                <w:szCs w:val="19"/>
              </w:rPr>
              <w:t xml:space="preserve">Treatment</w:t>
            </w:r>
          </w:p>
        </w:tc>
      </w:tr>
      <w:tr>
        <w:tc>
          <w:tcPr>
            <w:tcMar>
              <w:top w:type="dxa" w:w="60"/>
              <w:left w:type="dxa" w:w="120"/>
              <w:bottom w:type="dxa" w:w="60"/>
              <w:right w:type="dxa" w:w="120"/>
            </w:tcMar>
          </w:tcPr>
          <w:p>
            <w:r>
              <w:rPr>
                <w:sz w:val="19"/>
                <w:szCs w:val="19"/>
              </w:rPr>
              <w:t xml:space="preserve">Warranty claims on $4,800,000 of sales, probable and estimable at $96,000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lawsuit, probable, with losses between $200,000 and $600,000 and no better estimate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second lawsuit, reasonably possible, estimated at $300,000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third claim, remote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counterclaim Northwind expects to win, $250,000</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r>
    </w:tbl>
    <w:p/>
    <w:p>
      <w:pPr>
        <w:spacing w:after="40" w:before="90"/>
        <w:jc w:val="center"/>
      </w:pPr>
      <w:r>
        <w:drawing>
          <wp:inline distT="0" distB="0" distL="0" distR="0">
            <wp:extent cx="5734050" cy="276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276507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gain contingency is never accrued, however probable. If a question offers you a likely recovery and an accrual, it is offering the symmetric answer, and the asymmetry is the whole point of the topic.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loss contingency is accrued when it is:</w:t>
      </w:r>
    </w:p>
    <w:p>
      <w:pPr>
        <w:ind w:left="340"/>
        <w:spacing w:after="30"/>
      </w:pPr>
      <w:r>
        <w:rPr>
          <w:color w:val="6B7280"/>
          <w:sz w:val="19"/>
          <w:szCs w:val="19"/>
        </w:rPr>
        <w:t xml:space="preserve">(A)  </w:t>
      </w:r>
      <w:r>
        <w:rPr>
          <w:sz w:val="19"/>
          <w:szCs w:val="19"/>
        </w:rPr>
        <w:t xml:space="preserve">Reasonably possible and estimable</w:t>
      </w:r>
    </w:p>
    <w:p>
      <w:pPr>
        <w:ind w:left="340"/>
        <w:spacing w:after="30"/>
      </w:pPr>
      <w:r>
        <w:rPr>
          <w:color w:val="6B7280"/>
          <w:sz w:val="19"/>
          <w:szCs w:val="19"/>
        </w:rPr>
        <w:t xml:space="preserve">(B)  </w:t>
      </w:r>
      <w:r>
        <w:rPr>
          <w:sz w:val="19"/>
          <w:szCs w:val="19"/>
        </w:rPr>
        <w:t xml:space="preserve">Probable and the amount can be reasonably estimated</w:t>
      </w:r>
    </w:p>
    <w:p>
      <w:pPr>
        <w:ind w:left="340"/>
        <w:spacing w:after="30"/>
      </w:pPr>
      <w:r>
        <w:rPr>
          <w:color w:val="6B7280"/>
          <w:sz w:val="19"/>
          <w:szCs w:val="19"/>
        </w:rPr>
        <w:t xml:space="preserve">(C)  </w:t>
      </w:r>
      <w:r>
        <w:rPr>
          <w:sz w:val="19"/>
          <w:szCs w:val="19"/>
        </w:rPr>
        <w:t xml:space="preserve">Probable, whether or not it can be estimated</w:t>
      </w:r>
    </w:p>
    <w:p>
      <w:pPr>
        <w:ind w:left="340"/>
        <w:spacing w:after="30"/>
      </w:pPr>
      <w:r>
        <w:rPr>
          <w:color w:val="6B7280"/>
          <w:sz w:val="19"/>
          <w:szCs w:val="19"/>
        </w:rPr>
        <w:t xml:space="preserve">(D)  </w:t>
      </w:r>
      <w:r>
        <w:rPr>
          <w:sz w:val="19"/>
          <w:szCs w:val="19"/>
        </w:rPr>
        <w:t xml:space="preserve">Disclosed in the notes</w:t>
      </w:r>
    </w:p>
    <w:p>
      <w:pPr>
        <w:spacing w:before="150" w:after="60"/>
      </w:pPr>
      <w:r>
        <w:rPr>
          <w:b/>
          <w:bCs/>
          <w:color w:val="353A7C"/>
          <w:sz w:val="19"/>
          <w:szCs w:val="19"/>
        </w:rPr>
        <w:t xml:space="preserve">2.  [Level A]  </w:t>
      </w:r>
      <w:r>
        <w:rPr>
          <w:b/>
          <w:bCs/>
          <w:sz w:val="19"/>
          <w:szCs w:val="19"/>
        </w:rPr>
        <w:t xml:space="preserve">A loss that is reasonably possible and can be estimated is:</w:t>
      </w:r>
    </w:p>
    <w:p>
      <w:pPr>
        <w:ind w:left="340"/>
        <w:spacing w:after="30"/>
      </w:pPr>
      <w:r>
        <w:rPr>
          <w:color w:val="6B7280"/>
          <w:sz w:val="19"/>
          <w:szCs w:val="19"/>
        </w:rPr>
        <w:t xml:space="preserve">(A)  </w:t>
      </w:r>
      <w:r>
        <w:rPr>
          <w:sz w:val="19"/>
          <w:szCs w:val="19"/>
        </w:rPr>
        <w:t xml:space="preserve">Accrued</w:t>
      </w:r>
    </w:p>
    <w:p>
      <w:pPr>
        <w:ind w:left="340"/>
        <w:spacing w:after="30"/>
      </w:pPr>
      <w:r>
        <w:rPr>
          <w:color w:val="6B7280"/>
          <w:sz w:val="19"/>
          <w:szCs w:val="19"/>
        </w:rPr>
        <w:t xml:space="preserve">(B)  </w:t>
      </w:r>
      <w:r>
        <w:rPr>
          <w:sz w:val="19"/>
          <w:szCs w:val="19"/>
        </w:rPr>
        <w:t xml:space="preserve">Disclosed in the notes</w:t>
      </w:r>
    </w:p>
    <w:p>
      <w:pPr>
        <w:ind w:left="340"/>
        <w:spacing w:after="30"/>
      </w:pPr>
      <w:r>
        <w:rPr>
          <w:color w:val="6B7280"/>
          <w:sz w:val="19"/>
          <w:szCs w:val="19"/>
        </w:rPr>
        <w:t xml:space="preserve">(C)  </w:t>
      </w:r>
      <w:r>
        <w:rPr>
          <w:sz w:val="19"/>
          <w:szCs w:val="19"/>
        </w:rPr>
        <w:t xml:space="preserve">Ignored</w:t>
      </w:r>
    </w:p>
    <w:p>
      <w:pPr>
        <w:ind w:left="340"/>
        <w:spacing w:after="30"/>
      </w:pPr>
      <w:r>
        <w:rPr>
          <w:color w:val="6B7280"/>
          <w:sz w:val="19"/>
          <w:szCs w:val="19"/>
        </w:rPr>
        <w:t xml:space="preserve">(D)  </w:t>
      </w:r>
      <w:r>
        <w:rPr>
          <w:sz w:val="19"/>
          <w:szCs w:val="19"/>
        </w:rPr>
        <w:t xml:space="preserve">Charged to retained earnings</w:t>
      </w:r>
    </w:p>
    <w:p>
      <w:pPr>
        <w:spacing w:before="150" w:after="60"/>
      </w:pPr>
      <w:r>
        <w:rPr>
          <w:b/>
          <w:bCs/>
          <w:color w:val="353A7C"/>
          <w:sz w:val="19"/>
          <w:szCs w:val="19"/>
        </w:rPr>
        <w:t xml:space="preserve">3.  [Level B]  </w:t>
      </w:r>
      <w:r>
        <w:rPr>
          <w:b/>
          <w:bCs/>
          <w:sz w:val="19"/>
          <w:szCs w:val="19"/>
        </w:rPr>
        <w:t xml:space="preserve">A probable loss is estimated at between $200,000 and $600,000, with no amount in the range a better estimate than any other. Under US GAAP the company accrues:</w:t>
      </w:r>
    </w:p>
    <w:p>
      <w:pPr>
        <w:ind w:left="340"/>
        <w:spacing w:after="30"/>
      </w:pPr>
      <w:r>
        <w:rPr>
          <w:color w:val="6B7280"/>
          <w:sz w:val="19"/>
          <w:szCs w:val="19"/>
        </w:rPr>
        <w:t xml:space="preserve">(A)  </w:t>
      </w:r>
      <w:r>
        <w:rPr>
          <w:sz w:val="19"/>
          <w:szCs w:val="19"/>
        </w:rPr>
        <w:t xml:space="preserve">$600,000</w:t>
      </w:r>
    </w:p>
    <w:p>
      <w:pPr>
        <w:ind w:left="340"/>
        <w:spacing w:after="30"/>
      </w:pPr>
      <w:r>
        <w:rPr>
          <w:color w:val="6B7280"/>
          <w:sz w:val="19"/>
          <w:szCs w:val="19"/>
        </w:rPr>
        <w:t xml:space="preserve">(B)  </w:t>
      </w:r>
      <w:r>
        <w:rPr>
          <w:sz w:val="19"/>
          <w:szCs w:val="19"/>
        </w:rPr>
        <w:t xml:space="preserve">$200,000</w:t>
      </w:r>
    </w:p>
    <w:p>
      <w:pPr>
        <w:ind w:left="340"/>
        <w:spacing w:after="30"/>
      </w:pPr>
      <w:r>
        <w:rPr>
          <w:color w:val="6B7280"/>
          <w:sz w:val="19"/>
          <w:szCs w:val="19"/>
        </w:rPr>
        <w:t xml:space="preserve">(C)  </w:t>
      </w:r>
      <w:r>
        <w:rPr>
          <w:sz w:val="19"/>
          <w:szCs w:val="19"/>
        </w:rPr>
        <w:t xml:space="preserve">$400,000</w:t>
      </w:r>
    </w:p>
    <w:p>
      <w:pPr>
        <w:ind w:left="340"/>
        <w:spacing w:after="30"/>
      </w:pPr>
      <w:r>
        <w:rPr>
          <w:color w:val="6B7280"/>
          <w:sz w:val="19"/>
          <w:szCs w:val="19"/>
        </w:rPr>
        <w:t xml:space="preserve">(D)  </w:t>
      </w:r>
      <w:r>
        <w:rPr>
          <w:sz w:val="19"/>
          <w:szCs w:val="19"/>
        </w:rPr>
        <w:t xml:space="preserve">Nothing</w:t>
      </w:r>
    </w:p>
    <w:p>
      <w:pPr>
        <w:spacing w:before="150" w:after="60"/>
      </w:pPr>
      <w:r>
        <w:rPr>
          <w:b/>
          <w:bCs/>
          <w:color w:val="353A7C"/>
          <w:sz w:val="19"/>
          <w:szCs w:val="19"/>
        </w:rPr>
        <w:t xml:space="preserve">4.  [Level B]  </w:t>
      </w:r>
      <w:r>
        <w:rPr>
          <w:b/>
          <w:bCs/>
          <w:sz w:val="19"/>
          <w:szCs w:val="19"/>
        </w:rPr>
        <w:t xml:space="preserve">Under IFRS, the same range would be accrued at:</w:t>
      </w:r>
    </w:p>
    <w:p>
      <w:pPr>
        <w:ind w:left="340"/>
        <w:spacing w:after="30"/>
      </w:pPr>
      <w:r>
        <w:rPr>
          <w:color w:val="6B7280"/>
          <w:sz w:val="19"/>
          <w:szCs w:val="19"/>
        </w:rPr>
        <w:t xml:space="preserve">(A)  </w:t>
      </w:r>
      <w:r>
        <w:rPr>
          <w:sz w:val="19"/>
          <w:szCs w:val="19"/>
        </w:rPr>
        <w:t xml:space="preserve">$200,000</w:t>
      </w:r>
    </w:p>
    <w:p>
      <w:pPr>
        <w:ind w:left="340"/>
        <w:spacing w:after="30"/>
      </w:pPr>
      <w:r>
        <w:rPr>
          <w:color w:val="6B7280"/>
          <w:sz w:val="19"/>
          <w:szCs w:val="19"/>
        </w:rPr>
        <w:t xml:space="preserve">(B)  </w:t>
      </w:r>
      <w:r>
        <w:rPr>
          <w:sz w:val="19"/>
          <w:szCs w:val="19"/>
        </w:rPr>
        <w:t xml:space="preserve">$400,000</w:t>
      </w:r>
    </w:p>
    <w:p>
      <w:pPr>
        <w:ind w:left="340"/>
        <w:spacing w:after="30"/>
      </w:pPr>
      <w:r>
        <w:rPr>
          <w:color w:val="6B7280"/>
          <w:sz w:val="19"/>
          <w:szCs w:val="19"/>
        </w:rPr>
        <w:t xml:space="preserve">(C)  </w:t>
      </w:r>
      <w:r>
        <w:rPr>
          <w:sz w:val="19"/>
          <w:szCs w:val="19"/>
        </w:rPr>
        <w:t xml:space="preserve">$600,000</w:t>
      </w:r>
    </w:p>
    <w:p>
      <w:pPr>
        <w:ind w:left="340"/>
        <w:spacing w:after="30"/>
      </w:pPr>
      <w:r>
        <w:rPr>
          <w:color w:val="6B7280"/>
          <w:sz w:val="19"/>
          <w:szCs w:val="19"/>
        </w:rPr>
        <w:t xml:space="preserve">(D)  </w:t>
      </w:r>
      <w:r>
        <w:rPr>
          <w:sz w:val="19"/>
          <w:szCs w:val="19"/>
        </w:rPr>
        <w:t xml:space="preserve">Nothing</w:t>
      </w:r>
    </w:p>
    <w:p>
      <w:pPr>
        <w:spacing w:before="150" w:after="60"/>
      </w:pPr>
      <w:r>
        <w:rPr>
          <w:b/>
          <w:bCs/>
          <w:color w:val="353A7C"/>
          <w:sz w:val="19"/>
          <w:szCs w:val="19"/>
        </w:rPr>
        <w:t xml:space="preserve">5.  [Level C]  </w:t>
      </w:r>
      <w:r>
        <w:rPr>
          <w:b/>
          <w:bCs/>
          <w:sz w:val="19"/>
          <w:szCs w:val="19"/>
        </w:rPr>
        <w:t xml:space="preserve">A company expects to win a lawsuit it has brought, for a probable $250,000. It should:</w:t>
      </w:r>
    </w:p>
    <w:p>
      <w:pPr>
        <w:ind w:left="340"/>
        <w:spacing w:after="30"/>
      </w:pPr>
      <w:r>
        <w:rPr>
          <w:color w:val="6B7280"/>
          <w:sz w:val="19"/>
          <w:szCs w:val="19"/>
        </w:rPr>
        <w:t xml:space="preserve">(A)  </w:t>
      </w:r>
      <w:r>
        <w:rPr>
          <w:sz w:val="19"/>
          <w:szCs w:val="19"/>
        </w:rPr>
        <w:t xml:space="preserve">Accrue a $250,000 receivable</w:t>
      </w:r>
    </w:p>
    <w:p>
      <w:pPr>
        <w:ind w:left="340"/>
        <w:spacing w:after="30"/>
      </w:pPr>
      <w:r>
        <w:rPr>
          <w:color w:val="6B7280"/>
          <w:sz w:val="19"/>
          <w:szCs w:val="19"/>
        </w:rPr>
        <w:t xml:space="preserve">(B)  </w:t>
      </w:r>
      <w:r>
        <w:rPr>
          <w:sz w:val="19"/>
          <w:szCs w:val="19"/>
        </w:rPr>
        <w:t xml:space="preserve">Disclose the gain contingency without accruing it</w:t>
      </w:r>
    </w:p>
    <w:p>
      <w:pPr>
        <w:ind w:left="340"/>
        <w:spacing w:after="30"/>
      </w:pPr>
      <w:r>
        <w:rPr>
          <w:color w:val="6B7280"/>
          <w:sz w:val="19"/>
          <w:szCs w:val="19"/>
        </w:rPr>
        <w:t xml:space="preserve">(C)  </w:t>
      </w:r>
      <w:r>
        <w:rPr>
          <w:sz w:val="19"/>
          <w:szCs w:val="19"/>
        </w:rPr>
        <w:t xml:space="preserve">Accrue half of it</w:t>
      </w:r>
    </w:p>
    <w:p>
      <w:pPr>
        <w:ind w:left="340"/>
        <w:spacing w:after="30"/>
      </w:pPr>
      <w:r>
        <w:rPr>
          <w:color w:val="6B7280"/>
          <w:sz w:val="19"/>
          <w:szCs w:val="19"/>
        </w:rPr>
        <w:t xml:space="preserve">(D)  </w:t>
      </w:r>
      <w:r>
        <w:rPr>
          <w:sz w:val="19"/>
          <w:szCs w:val="19"/>
        </w:rPr>
        <w:t xml:space="preserve">Do nothing at all</w:t>
      </w:r>
    </w:p>
    <w:p>
      <w:pPr>
        <w:spacing w:before="150" w:after="60"/>
      </w:pPr>
      <w:r>
        <w:rPr>
          <w:b/>
          <w:bCs/>
          <w:color w:val="353A7C"/>
          <w:sz w:val="19"/>
          <w:szCs w:val="19"/>
        </w:rPr>
        <w:t xml:space="preserve">6.  [Level A]  </w:t>
      </w:r>
      <w:r>
        <w:rPr>
          <w:b/>
          <w:bCs/>
          <w:sz w:val="19"/>
          <w:szCs w:val="19"/>
        </w:rPr>
        <w:t xml:space="preserve">A remote loss contingency requires:</w:t>
      </w:r>
    </w:p>
    <w:p>
      <w:pPr>
        <w:ind w:left="340"/>
        <w:spacing w:after="30"/>
      </w:pPr>
      <w:r>
        <w:rPr>
          <w:color w:val="6B7280"/>
          <w:sz w:val="19"/>
          <w:szCs w:val="19"/>
        </w:rPr>
        <w:t xml:space="preserve">(A)  </w:t>
      </w:r>
      <w:r>
        <w:rPr>
          <w:sz w:val="19"/>
          <w:szCs w:val="19"/>
        </w:rPr>
        <w:t xml:space="preserve">Accrual only</w:t>
      </w:r>
    </w:p>
    <w:p>
      <w:pPr>
        <w:ind w:left="340"/>
        <w:spacing w:after="30"/>
      </w:pPr>
      <w:r>
        <w:rPr>
          <w:color w:val="6B7280"/>
          <w:sz w:val="19"/>
          <w:szCs w:val="19"/>
        </w:rPr>
        <w:t xml:space="preserve">(B)  </w:t>
      </w:r>
      <w:r>
        <w:rPr>
          <w:sz w:val="19"/>
          <w:szCs w:val="19"/>
        </w:rPr>
        <w:t xml:space="preserve">Disclosure only</w:t>
      </w:r>
    </w:p>
    <w:p>
      <w:pPr>
        <w:ind w:left="340"/>
        <w:spacing w:after="30"/>
      </w:pPr>
      <w:r>
        <w:rPr>
          <w:color w:val="6B7280"/>
          <w:sz w:val="19"/>
          <w:szCs w:val="19"/>
        </w:rPr>
        <w:t xml:space="preserve">(C)  </w:t>
      </w:r>
      <w:r>
        <w:rPr>
          <w:sz w:val="19"/>
          <w:szCs w:val="19"/>
        </w:rPr>
        <w:t xml:space="preserve">Accrual and disclosure</w:t>
      </w:r>
    </w:p>
    <w:p>
      <w:pPr>
        <w:ind w:left="340"/>
        <w:spacing w:after="30"/>
      </w:pPr>
      <w:r>
        <w:rPr>
          <w:color w:val="6B7280"/>
          <w:sz w:val="19"/>
          <w:szCs w:val="19"/>
        </w:rPr>
        <w:t xml:space="preserve">(D)  </w:t>
      </w:r>
      <w:r>
        <w:rPr>
          <w:sz w:val="19"/>
          <w:szCs w:val="19"/>
        </w:rPr>
        <w:t xml:space="preserve">Neither accrual nor disclosure</w:t>
      </w:r>
    </w:p>
    <w:p>
      <w:pPr>
        <w:spacing w:before="150" w:after="60"/>
      </w:pPr>
      <w:r>
        <w:rPr>
          <w:b/>
          <w:bCs/>
          <w:color w:val="353A7C"/>
          <w:sz w:val="19"/>
          <w:szCs w:val="19"/>
        </w:rPr>
        <w:t xml:space="preserve">7.  [Level C]  </w:t>
      </w:r>
      <w:r>
        <w:rPr>
          <w:b/>
          <w:bCs/>
          <w:sz w:val="19"/>
          <w:szCs w:val="19"/>
        </w:rPr>
        <w:t xml:space="preserve">Northwind’s warranty provision of $96,000 differs from its lawsuit accrual in that:</w:t>
      </w:r>
    </w:p>
    <w:p>
      <w:pPr>
        <w:ind w:left="340"/>
        <w:spacing w:after="30"/>
      </w:pPr>
      <w:r>
        <w:rPr>
          <w:color w:val="6B7280"/>
          <w:sz w:val="19"/>
          <w:szCs w:val="19"/>
        </w:rPr>
        <w:t xml:space="preserve">(A)  </w:t>
      </w:r>
      <w:r>
        <w:rPr>
          <w:sz w:val="19"/>
          <w:szCs w:val="19"/>
        </w:rPr>
        <w:t xml:space="preserve">It is larger</w:t>
      </w:r>
    </w:p>
    <w:p>
      <w:pPr>
        <w:ind w:left="340"/>
        <w:spacing w:after="30"/>
      </w:pPr>
      <w:r>
        <w:rPr>
          <w:color w:val="6B7280"/>
          <w:sz w:val="19"/>
          <w:szCs w:val="19"/>
        </w:rPr>
        <w:t xml:space="preserve">(B)  </w:t>
      </w:r>
      <w:r>
        <w:rPr>
          <w:sz w:val="19"/>
          <w:szCs w:val="19"/>
        </w:rPr>
        <w:t xml:space="preserve">The obligation certainly exists and only its amount is estimated</w:t>
      </w:r>
    </w:p>
    <w:p>
      <w:pPr>
        <w:ind w:left="340"/>
        <w:spacing w:after="30"/>
      </w:pPr>
      <w:r>
        <w:rPr>
          <w:color w:val="6B7280"/>
          <w:sz w:val="19"/>
          <w:szCs w:val="19"/>
        </w:rPr>
        <w:t xml:space="preserve">(C)  </w:t>
      </w:r>
      <w:r>
        <w:rPr>
          <w:sz w:val="19"/>
          <w:szCs w:val="19"/>
        </w:rPr>
        <w:t xml:space="preserve">It is disclosed rather than accrued</w:t>
      </w:r>
    </w:p>
    <w:p>
      <w:pPr>
        <w:ind w:left="340"/>
        <w:spacing w:after="30"/>
      </w:pPr>
      <w:r>
        <w:rPr>
          <w:color w:val="6B7280"/>
          <w:sz w:val="19"/>
          <w:szCs w:val="19"/>
        </w:rPr>
        <w:t xml:space="preserve">(D)  </w:t>
      </w:r>
      <w:r>
        <w:rPr>
          <w:sz w:val="19"/>
          <w:szCs w:val="19"/>
        </w:rPr>
        <w:t xml:space="preserve">It is a gain contingency</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Ask the two questions in order and in the right order: how likely, then how much. Likelihood decides whether anything is recorded at all, and only then does measurement matter. Reversing them produces an accrual for a possible loss, which is the error the ladder exists to prevent.</w:t>
            </w:r>
          </w:p>
        </w:tc>
      </w:tr>
    </w:tbl>
    <w:p/>
    <w:p>
      <w:pPr>
        <w:sectPr>
          <w:headerReference w:type="default" r:id="rIdHdr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14 · Handouts 1 to 6</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What a Bond Promises: Par, Coupon, Indenture, Covenants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coincidence</w:t>
            </w:r>
          </w:p>
        </w:tc>
        <w:tc>
          <w:tcPr>
            <w:tcMar>
              <w:top w:type="dxa" w:w="40"/>
              <w:left w:type="dxa" w:w="100"/>
              <w:bottom w:type="dxa" w:w="40"/>
              <w:right w:type="dxa" w:w="100"/>
            </w:tcMar>
          </w:tcPr>
          <w:p>
            <w:r>
              <w:rPr>
                <w:sz w:val="17"/>
                <w:szCs w:val="17"/>
              </w:rPr>
              <w:t xml:space="preserve">Nothing makes them agree after issue.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price</w:t>
            </w:r>
          </w:p>
        </w:tc>
        <w:tc>
          <w:tcPr>
            <w:tcMar>
              <w:top w:type="dxa" w:w="40"/>
              <w:left w:type="dxa" w:w="100"/>
              <w:bottom w:type="dxa" w:w="40"/>
              <w:right w:type="dxa" w:w="100"/>
            </w:tcMar>
          </w:tcPr>
          <w:p>
            <w:r>
              <w:rPr>
                <w:sz w:val="17"/>
                <w:szCs w:val="17"/>
              </w:rPr>
              <w:t xml:space="preserve">The cash cannot move, so the price must.</w:t>
            </w:r>
          </w:p>
        </w:tc>
        <w:tc>
          <w:tcPr>
            <w:tcMar>
              <w:top w:type="dxa" w:w="40"/>
              <w:left w:type="dxa" w:w="100"/>
              <w:bottom w:type="dxa" w:w="40"/>
              <w:right w:type="dxa" w:w="100"/>
            </w:tcMar>
          </w:tcPr>
          <w:p>
            <w:r>
              <w:rPr>
                <w:color w:val="C0483F"/>
                <w:sz w:val="17"/>
                <w:szCs w:val="17"/>
              </w:rPr>
              <w:t xml:space="preserve">Students expect the coupon to adjust. It is a term of a signed contract and cannot.</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received</w:t>
            </w:r>
          </w:p>
        </w:tc>
        <w:tc>
          <w:tcPr>
            <w:tcMar>
              <w:top w:type="dxa" w:w="40"/>
              <w:left w:type="dxa" w:w="100"/>
              <w:bottom w:type="dxa" w:w="40"/>
              <w:right w:type="dxa" w:w="100"/>
            </w:tcMar>
          </w:tcPr>
          <w:p>
            <w:r>
              <w:rPr>
                <w:sz w:val="17"/>
                <w:szCs w:val="17"/>
              </w:rPr>
              <w:t xml:space="preserve">What the issuer got, which Handout 2 computes.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do</w:t>
            </w:r>
          </w:p>
        </w:tc>
        <w:tc>
          <w:tcPr>
            <w:tcMar>
              <w:top w:type="dxa" w:w="40"/>
              <w:left w:type="dxa" w:w="100"/>
              <w:bottom w:type="dxa" w:w="40"/>
              <w:right w:type="dxa" w:w="100"/>
            </w:tcMar>
          </w:tcPr>
          <w:p>
            <w:r>
              <w:rPr>
                <w:sz w:val="17"/>
                <w:szCs w:val="17"/>
              </w:rPr>
              <w:t xml:space="preserve">Conduct, not amounts.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affirmative</w:t>
            </w:r>
          </w:p>
        </w:tc>
        <w:tc>
          <w:tcPr>
            <w:tcMar>
              <w:top w:type="dxa" w:w="40"/>
              <w:left w:type="dxa" w:w="100"/>
              <w:bottom w:type="dxa" w:w="40"/>
              <w:right w:type="dxa" w:w="100"/>
            </w:tcMar>
          </w:tcPr>
          <w:p>
            <w:r>
              <w:rPr>
                <w:sz w:val="17"/>
                <w:szCs w:val="17"/>
              </w:rPr>
              <w:t xml:space="preserve">A promise to act.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once</w:t>
            </w:r>
          </w:p>
        </w:tc>
        <w:tc>
          <w:tcPr>
            <w:tcMar>
              <w:top w:type="dxa" w:w="40"/>
              <w:left w:type="dxa" w:w="100"/>
              <w:bottom w:type="dxa" w:w="40"/>
              <w:right w:type="dxa" w:w="100"/>
            </w:tcMar>
          </w:tcPr>
          <w:p>
            <w:r>
              <w:rPr>
                <w:sz w:val="17"/>
                <w:szCs w:val="17"/>
              </w:rPr>
              <w:t xml:space="preserve">Acceleration, and it is immediate.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cash</w:t>
            </w:r>
          </w:p>
        </w:tc>
        <w:tc>
          <w:tcPr>
            <w:tcMar>
              <w:top w:type="dxa" w:w="40"/>
              <w:left w:type="dxa" w:w="100"/>
              <w:bottom w:type="dxa" w:w="40"/>
              <w:right w:type="dxa" w:w="100"/>
            </w:tcMar>
          </w:tcPr>
          <w:p>
            <w:r>
              <w:rPr>
                <w:sz w:val="17"/>
                <w:szCs w:val="17"/>
              </w:rPr>
              <w:t xml:space="preserve">A reclassification, not a payment.</w:t>
            </w:r>
          </w:p>
        </w:tc>
        <w:tc>
          <w:tcPr>
            <w:tcMar>
              <w:top w:type="dxa" w:w="40"/>
              <w:left w:type="dxa" w:w="100"/>
              <w:bottom w:type="dxa" w:w="40"/>
              <w:right w:type="dxa" w:w="100"/>
            </w:tcMar>
          </w:tcPr>
          <w:p>
            <w:r>
              <w:rPr>
                <w:color w:val="C0483F"/>
                <w:sz w:val="17"/>
                <w:szCs w:val="17"/>
              </w:rPr>
              <w:t xml:space="preserve">Students look for a transaction. A covenant breach moves a liability between categories without anything being paid.</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waive</w:t>
            </w:r>
          </w:p>
        </w:tc>
        <w:tc>
          <w:tcPr>
            <w:tcMar>
              <w:top w:type="dxa" w:w="40"/>
              <w:left w:type="dxa" w:w="100"/>
              <w:bottom w:type="dxa" w:w="40"/>
              <w:right w:type="dxa" w:w="100"/>
            </w:tcMar>
          </w:tcPr>
          <w:p>
            <w:r>
              <w:rPr>
                <w:sz w:val="17"/>
                <w:szCs w:val="17"/>
              </w:rPr>
              <w:t xml:space="preserve">Granted by the lender, before the year end.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AFFIRMATIVE  2 NEGATIVE  3 AFFIRMATIVE  4 NEGATIVE  5 NOT A COVENANT  6 NOT A COVENANT</w:t>
            </w:r>
          </w:p>
        </w:tc>
        <w:tc>
          <w:tcPr>
            <w:tcMar>
              <w:top w:type="dxa" w:w="40"/>
              <w:left w:type="dxa" w:w="100"/>
              <w:bottom w:type="dxa" w:w="40"/>
              <w:right w:type="dxa" w:w="100"/>
            </w:tcMar>
          </w:tcPr>
          <w:p>
            <w:r>
              <w:rPr>
                <w:sz w:val="17"/>
                <w:szCs w:val="17"/>
              </w:rPr>
              <w:t xml:space="preserve">Repaying is the promise the bond is; a covenant is a promise about everything else. Acceleration is the consequence of breach, not a covenant itself.</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Is fixed in the indenture and determines the cash interest paid</w:t>
            </w:r>
          </w:p>
        </w:tc>
        <w:tc>
          <w:tcPr>
            <w:tcMar>
              <w:top w:type="dxa" w:w="40"/>
              <w:left w:type="dxa" w:w="100"/>
              <w:bottom w:type="dxa" w:w="40"/>
              <w:right w:type="dxa" w:w="100"/>
            </w:tcMar>
          </w:tcPr>
          <w:p>
            <w:r>
              <w:rPr>
                <w:sz w:val="17"/>
                <w:szCs w:val="17"/>
              </w:rPr>
              <w:t xml:space="preserve">The coupon is a contractual term and cannot move. (C) is true only on the day a bond is issued at par, which is the one case where the two rates agree.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Debenture</w:t>
            </w:r>
          </w:p>
        </w:tc>
        <w:tc>
          <w:tcPr>
            <w:tcMar>
              <w:top w:type="dxa" w:w="40"/>
              <w:left w:type="dxa" w:w="100"/>
              <w:bottom w:type="dxa" w:w="40"/>
              <w:right w:type="dxa" w:w="100"/>
            </w:tcMar>
          </w:tcPr>
          <w:p>
            <w:r>
              <w:rPr>
                <w:sz w:val="17"/>
                <w:szCs w:val="17"/>
              </w:rPr>
              <w:t xml:space="preserve">A debenture is unsecured, which is why it carries a higher coupon than a secured bond from the same issuer. (C) and (D) describe maturity and redemption, not security.</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The contract between the issuer and the bondholders</w:t>
            </w:r>
          </w:p>
        </w:tc>
        <w:tc>
          <w:tcPr>
            <w:tcMar>
              <w:top w:type="dxa" w:w="40"/>
              <w:left w:type="dxa" w:w="100"/>
              <w:bottom w:type="dxa" w:w="40"/>
              <w:right w:type="dxa" w:w="100"/>
            </w:tcMar>
          </w:tcPr>
          <w:p>
            <w:r>
              <w:rPr>
                <w:sz w:val="17"/>
                <w:szCs w:val="17"/>
              </w:rPr>
              <w:t xml:space="preserve">A contract, administered by a trustee. (A) is the distinction worth holding: a question that says "the indenture requires" is quoting the parties’ own agreement, which can require things no standard does.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 current liability</w:t>
            </w:r>
          </w:p>
        </w:tc>
        <w:tc>
          <w:tcPr>
            <w:tcMar>
              <w:top w:type="dxa" w:w="40"/>
              <w:left w:type="dxa" w:w="100"/>
              <w:bottom w:type="dxa" w:w="40"/>
              <w:right w:type="dxa" w:w="100"/>
            </w:tcMar>
          </w:tcPr>
          <w:p>
            <w:r>
              <w:rPr>
                <w:sz w:val="17"/>
                <w:szCs w:val="17"/>
              </w:rPr>
              <w:t xml:space="preserve">Breach makes the balance callable, so it is current whatever the stated maturity. (A) reads the maturity date and ignores the acceleration clause, which is exactly the trap.</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Serial bond</w:t>
            </w:r>
          </w:p>
        </w:tc>
        <w:tc>
          <w:tcPr>
            <w:tcMar>
              <w:top w:type="dxa" w:w="40"/>
              <w:left w:type="dxa" w:w="100"/>
              <w:bottom w:type="dxa" w:w="40"/>
              <w:right w:type="dxa" w:w="100"/>
            </w:tcMar>
          </w:tcPr>
          <w:p>
            <w:r>
              <w:rPr>
                <w:sz w:val="17"/>
                <w:szCs w:val="17"/>
              </w:rPr>
              <w:t xml:space="preserve">Instalment maturities make it serial, which is why part of it is a current liability every year. A term bond would show no current portion until its final year.</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issuer, who may repay early if rates fall</w:t>
            </w:r>
          </w:p>
        </w:tc>
        <w:tc>
          <w:tcPr>
            <w:tcMar>
              <w:top w:type="dxa" w:w="40"/>
              <w:left w:type="dxa" w:w="100"/>
              <w:bottom w:type="dxa" w:w="40"/>
              <w:right w:type="dxa" w:w="100"/>
            </w:tcMar>
          </w:tcPr>
          <w:p>
            <w:r>
              <w:rPr>
                <w:sz w:val="17"/>
                <w:szCs w:val="17"/>
              </w:rPr>
              <w:t xml:space="preserve">The call is the issuer’s option, exercised when replacing the debt is cheaper. (A) describes a put provision, and because the call is valuable to the issuer a callable bond carries a higher coupon.</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6%</w:t>
            </w:r>
          </w:p>
        </w:tc>
        <w:tc>
          <w:tcPr>
            <w:tcMar>
              <w:top w:type="dxa" w:w="40"/>
              <w:left w:type="dxa" w:w="100"/>
              <w:bottom w:type="dxa" w:w="40"/>
              <w:right w:type="dxa" w:w="100"/>
            </w:tcMar>
          </w:tcPr>
          <w:p>
            <w:r>
              <w:rPr>
                <w:sz w:val="17"/>
                <w:szCs w:val="17"/>
              </w:rPr>
              <w:t xml:space="preserve">$90,000 over $1,500,000 is 6%. The computation works here because the bond was issued at par; Handout 3 shows why it would not work on a bond issued at a discount.</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1A · the features, completed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4"/>
        <w:gridCol w:w="40"/>
        <w:gridCol w:w="36"/>
      </w:tblGrid>
      <w:tr>
        <w:tc>
          <w:tcPr>
            <w:shd w:fill="6D3F7E" w:val="clear"/>
            <w:tcMar>
              <w:top w:type="dxa" w:w="60"/>
              <w:left w:type="dxa" w:w="120"/>
              <w:bottom w:type="dxa" w:w="60"/>
              <w:right w:type="dxa" w:w="120"/>
            </w:tcMar>
          </w:tcPr>
          <w:p>
            <w:r>
              <w:rPr>
                <w:b/>
                <w:bCs/>
                <w:color w:val="FFFFFF"/>
                <w:sz w:val="19"/>
                <w:szCs w:val="19"/>
              </w:rPr>
              <w:t xml:space="preserve">Feature</w:t>
            </w:r>
          </w:p>
        </w:tc>
        <w:tc>
          <w:tcPr>
            <w:shd w:fill="6D3F7E" w:val="clear"/>
            <w:tcMar>
              <w:top w:type="dxa" w:w="60"/>
              <w:left w:type="dxa" w:w="120"/>
              <w:bottom w:type="dxa" w:w="60"/>
              <w:right w:type="dxa" w:w="120"/>
            </w:tcMar>
          </w:tcPr>
          <w:p>
            <w:r>
              <w:rPr>
                <w:b/>
                <w:bCs/>
                <w:color w:val="FFFFFF"/>
                <w:sz w:val="19"/>
                <w:szCs w:val="19"/>
              </w:rPr>
              <w:t xml:space="preserve">What it fixes</w:t>
            </w:r>
          </w:p>
        </w:tc>
        <w:tc>
          <w:tcPr>
            <w:shd w:fill="6D3F7E" w:val="clear"/>
            <w:tcMar>
              <w:top w:type="dxa" w:w="60"/>
              <w:left w:type="dxa" w:w="120"/>
              <w:bottom w:type="dxa" w:w="60"/>
              <w:right w:type="dxa" w:w="120"/>
            </w:tcMar>
          </w:tcPr>
          <w:p>
            <w:r>
              <w:rPr>
                <w:b/>
                <w:bCs/>
                <w:color w:val="FFFFFF"/>
                <w:sz w:val="19"/>
                <w:szCs w:val="19"/>
              </w:rPr>
              <w:t xml:space="preserve">Northwind’s serial bond</w:t>
            </w:r>
          </w:p>
        </w:tc>
      </w:tr>
      <w:tr>
        <w:tc>
          <w:tcPr>
            <w:tcMar>
              <w:top w:type="dxa" w:w="60"/>
              <w:left w:type="dxa" w:w="120"/>
              <w:bottom w:type="dxa" w:w="60"/>
              <w:right w:type="dxa" w:w="120"/>
            </w:tcMar>
          </w:tcPr>
          <w:p>
            <w:r>
              <w:rPr>
                <w:sz w:val="19"/>
                <w:szCs w:val="19"/>
              </w:rPr>
              <w:t xml:space="preserve">Face value</w:t>
            </w:r>
          </w:p>
        </w:tc>
        <w:tc>
          <w:tcPr>
            <w:tcMar>
              <w:top w:type="dxa" w:w="60"/>
              <w:left w:type="dxa" w:w="120"/>
              <w:bottom w:type="dxa" w:w="60"/>
              <w:right w:type="dxa" w:w="120"/>
            </w:tcMar>
          </w:tcPr>
          <w:p>
            <w:r>
              <w:rPr>
                <w:sz w:val="19"/>
                <w:szCs w:val="19"/>
              </w:rPr>
              <w:t xml:space="preserve">What is repaid at maturity, per bond</w:t>
            </w:r>
          </w:p>
        </w:tc>
        <w:tc>
          <w:tcPr>
            <w:tcMar>
              <w:top w:type="dxa" w:w="60"/>
              <w:left w:type="dxa" w:w="120"/>
              <w:bottom w:type="dxa" w:w="60"/>
              <w:right w:type="dxa" w:w="120"/>
            </w:tcMar>
          </w:tcPr>
          <w:p>
            <w:r>
              <w:rPr>
                <w:sz w:val="19"/>
                <w:szCs w:val="19"/>
              </w:rPr>
              <w:t xml:space="preserve">$1,500,000</w:t>
            </w:r>
          </w:p>
        </w:tc>
      </w:tr>
      <w:tr>
        <w:tc>
          <w:tcPr>
            <w:tcMar>
              <w:top w:type="dxa" w:w="60"/>
              <w:left w:type="dxa" w:w="120"/>
              <w:bottom w:type="dxa" w:w="60"/>
              <w:right w:type="dxa" w:w="120"/>
            </w:tcMar>
          </w:tcPr>
          <w:p>
            <w:r>
              <w:rPr>
                <w:sz w:val="19"/>
                <w:szCs w:val="19"/>
              </w:rPr>
              <w:t xml:space="preserve">Coupon rate</w:t>
            </w:r>
          </w:p>
        </w:tc>
        <w:tc>
          <w:tcPr>
            <w:tcMar>
              <w:top w:type="dxa" w:w="60"/>
              <w:left w:type="dxa" w:w="120"/>
              <w:bottom w:type="dxa" w:w="60"/>
              <w:right w:type="dxa" w:w="120"/>
            </w:tcMar>
          </w:tcPr>
          <w:p>
            <w:r>
              <w:rPr>
                <w:sz w:val="19"/>
                <w:szCs w:val="19"/>
              </w:rPr>
              <w:t xml:space="preserve">The cash interest, as a rate on face</w:t>
            </w:r>
          </w:p>
        </w:tc>
        <w:tc>
          <w:tcPr>
            <w:tcMar>
              <w:top w:type="dxa" w:w="60"/>
              <w:left w:type="dxa" w:w="120"/>
              <w:bottom w:type="dxa" w:w="60"/>
              <w:right w:type="dxa" w:w="120"/>
            </w:tcMar>
          </w:tcPr>
          <w:p>
            <w:r>
              <w:rPr>
                <w:sz w:val="19"/>
                <w:szCs w:val="19"/>
              </w:rPr>
              <w:t xml:space="preserve">6%</w:t>
            </w:r>
          </w:p>
        </w:tc>
      </w:tr>
      <w:tr>
        <w:tc>
          <w:tcPr>
            <w:tcMar>
              <w:top w:type="dxa" w:w="60"/>
              <w:left w:type="dxa" w:w="120"/>
              <w:bottom w:type="dxa" w:w="60"/>
              <w:right w:type="dxa" w:w="120"/>
            </w:tcMar>
          </w:tcPr>
          <w:p>
            <w:r>
              <w:rPr>
                <w:sz w:val="19"/>
                <w:szCs w:val="19"/>
              </w:rPr>
              <w:t xml:space="preserve">Maturity</w:t>
            </w:r>
          </w:p>
        </w:tc>
        <w:tc>
          <w:tcPr>
            <w:tcMar>
              <w:top w:type="dxa" w:w="60"/>
              <w:left w:type="dxa" w:w="120"/>
              <w:bottom w:type="dxa" w:w="60"/>
              <w:right w:type="dxa" w:w="120"/>
            </w:tcMar>
          </w:tcPr>
          <w:p>
            <w:r>
              <w:rPr>
                <w:sz w:val="19"/>
                <w:szCs w:val="19"/>
              </w:rPr>
              <w:t xml:space="preserve">When the face value falls due</w:t>
            </w:r>
          </w:p>
        </w:tc>
        <w:tc>
          <w:tcPr>
            <w:tcMar>
              <w:top w:type="dxa" w:w="60"/>
              <w:left w:type="dxa" w:w="120"/>
              <w:bottom w:type="dxa" w:w="60"/>
              <w:right w:type="dxa" w:w="120"/>
            </w:tcMar>
          </w:tcPr>
          <w:p>
            <w:r>
              <w:rPr>
                <w:sz w:val="19"/>
                <w:szCs w:val="19"/>
              </w:rPr>
              <w:t xml:space="preserve">In instalments of $150,000 a year</w:t>
            </w:r>
          </w:p>
        </w:tc>
      </w:tr>
      <w:tr>
        <w:tc>
          <w:tcPr>
            <w:tcMar>
              <w:top w:type="dxa" w:w="60"/>
              <w:left w:type="dxa" w:w="120"/>
              <w:bottom w:type="dxa" w:w="60"/>
              <w:right w:type="dxa" w:w="120"/>
            </w:tcMar>
          </w:tcPr>
          <w:p>
            <w:r>
              <w:rPr>
                <w:sz w:val="19"/>
                <w:szCs w:val="19"/>
              </w:rPr>
              <w:t xml:space="preserve">Indenture</w:t>
            </w:r>
          </w:p>
        </w:tc>
        <w:tc>
          <w:tcPr>
            <w:tcMar>
              <w:top w:type="dxa" w:w="60"/>
              <w:left w:type="dxa" w:w="120"/>
              <w:bottom w:type="dxa" w:w="60"/>
              <w:right w:type="dxa" w:w="120"/>
            </w:tcMar>
          </w:tcPr>
          <w:p>
            <w:r>
              <w:rPr>
                <w:sz w:val="19"/>
                <w:szCs w:val="19"/>
              </w:rPr>
              <w:t xml:space="preserve">The contract between issuer and holders</w:t>
            </w:r>
          </w:p>
        </w:tc>
        <w:tc>
          <w:tcPr>
            <w:tcMar>
              <w:top w:type="dxa" w:w="60"/>
              <w:left w:type="dxa" w:w="120"/>
              <w:bottom w:type="dxa" w:w="60"/>
              <w:right w:type="dxa" w:w="120"/>
            </w:tcMar>
          </w:tcPr>
          <w:p>
            <w:r>
              <w:rPr>
                <w:sz w:val="19"/>
                <w:szCs w:val="19"/>
              </w:rPr>
              <w:t xml:space="preserve">Names the trustee and the covenants</w:t>
            </w:r>
          </w:p>
        </w:tc>
      </w:tr>
      <w:tr>
        <w:tc>
          <w:tcPr>
            <w:tcMar>
              <w:top w:type="dxa" w:w="60"/>
              <w:left w:type="dxa" w:w="120"/>
              <w:bottom w:type="dxa" w:w="60"/>
              <w:right w:type="dxa" w:w="120"/>
            </w:tcMar>
          </w:tcPr>
          <w:p>
            <w:r>
              <w:rPr>
                <w:sz w:val="19"/>
                <w:szCs w:val="19"/>
              </w:rPr>
              <w:t xml:space="preserve">Covenants</w:t>
            </w:r>
          </w:p>
        </w:tc>
        <w:tc>
          <w:tcPr>
            <w:tcMar>
              <w:top w:type="dxa" w:w="60"/>
              <w:left w:type="dxa" w:w="120"/>
              <w:bottom w:type="dxa" w:w="60"/>
              <w:right w:type="dxa" w:w="120"/>
            </w:tcMar>
          </w:tcPr>
          <w:p>
            <w:r>
              <w:rPr>
                <w:sz w:val="19"/>
                <w:szCs w:val="19"/>
              </w:rPr>
              <w:t xml:space="preserve">What the issuer promises to do, or not do</w:t>
            </w:r>
          </w:p>
        </w:tc>
        <w:tc>
          <w:tcPr>
            <w:tcMar>
              <w:top w:type="dxa" w:w="60"/>
              <w:left w:type="dxa" w:w="120"/>
              <w:bottom w:type="dxa" w:w="60"/>
              <w:right w:type="dxa" w:w="120"/>
            </w:tcMar>
          </w:tcPr>
          <w:p>
            <w:r>
              <w:rPr>
                <w:sz w:val="19"/>
                <w:szCs w:val="19"/>
              </w:rPr>
              <w:t xml:space="preserve">A limit on further borrowing</w:t>
            </w:r>
          </w:p>
        </w:tc>
      </w:tr>
      <w:tr>
        <w:tc>
          <w:tcPr>
            <w:tcMar>
              <w:top w:type="dxa" w:w="60"/>
              <w:left w:type="dxa" w:w="120"/>
              <w:bottom w:type="dxa" w:w="60"/>
              <w:right w:type="dxa" w:w="120"/>
            </w:tcMar>
          </w:tcPr>
          <w:p>
            <w:r>
              <w:rPr>
                <w:sz w:val="19"/>
                <w:szCs w:val="19"/>
              </w:rPr>
              <w:t xml:space="preserve">Call provision</w:t>
            </w:r>
          </w:p>
        </w:tc>
        <w:tc>
          <w:tcPr>
            <w:tcMar>
              <w:top w:type="dxa" w:w="60"/>
              <w:left w:type="dxa" w:w="120"/>
              <w:bottom w:type="dxa" w:w="60"/>
              <w:right w:type="dxa" w:w="120"/>
            </w:tcMar>
          </w:tcPr>
          <w:p>
            <w:r>
              <w:rPr>
                <w:sz w:val="19"/>
                <w:szCs w:val="19"/>
              </w:rPr>
              <w:t xml:space="preserve">The issuer’s right to repay early</w:t>
            </w:r>
          </w:p>
        </w:tc>
        <w:tc>
          <w:tcPr>
            <w:tcMar>
              <w:top w:type="dxa" w:w="60"/>
              <w:left w:type="dxa" w:w="120"/>
              <w:bottom w:type="dxa" w:w="60"/>
              <w:right w:type="dxa" w:w="120"/>
            </w:tcMar>
          </w:tcPr>
          <w:p>
            <w:r>
              <w:rPr>
                <w:sz w:val="19"/>
                <w:szCs w:val="19"/>
              </w:rPr>
              <w:t xml:space="preserve">None</w:t>
            </w:r>
          </w:p>
        </w:tc>
      </w:tr>
    </w:tbl>
    <w:p/>
    <w:p>
      <w:pPr>
        <w:spacing w:after="40" w:before="130"/>
      </w:pPr>
      <w:r>
        <w:rPr>
          <w:b/>
          <w:bCs/>
          <w:color w:val="23265A"/>
          <w:sz w:val="24"/>
          <w:szCs w:val="24"/>
        </w:rPr>
        <w:t xml:space="preserve">Exercise 1D · the serial bond, rolled forward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6D3F7E" w:val="clear"/>
            <w:tcMar>
              <w:top w:type="dxa" w:w="60"/>
              <w:left w:type="dxa" w:w="120"/>
              <w:bottom w:type="dxa" w:w="60"/>
              <w:right w:type="dxa" w:w="120"/>
            </w:tcMar>
          </w:tcPr>
          <w:p>
            <w:r>
              <w:rPr>
                <w:b/>
                <w:bCs/>
                <w:color w:val="FFFFFF"/>
                <w:sz w:val="19"/>
                <w:szCs w:val="19"/>
              </w:rPr>
              <w:t xml:space="preserve">Northwind’s debt in 20X4</w:t>
            </w:r>
          </w:p>
        </w:tc>
        <w:tc>
          <w:tcPr>
            <w:shd w:fill="6D3F7E"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Outstanding at 1 January 20X4</w:t>
            </w:r>
          </w:p>
        </w:tc>
        <w:tc>
          <w:tcPr>
            <w:tcMar>
              <w:top w:type="dxa" w:w="60"/>
              <w:left w:type="dxa" w:w="120"/>
              <w:bottom w:type="dxa" w:w="60"/>
              <w:right w:type="dxa" w:w="120"/>
            </w:tcMar>
          </w:tcPr>
          <w:p>
            <w:r>
              <w:rPr>
                <w:sz w:val="19"/>
                <w:szCs w:val="19"/>
              </w:rPr>
              <w:t xml:space="preserve">$1,500,000</w:t>
            </w:r>
          </w:p>
        </w:tc>
      </w:tr>
      <w:tr>
        <w:tc>
          <w:tcPr>
            <w:tcMar>
              <w:top w:type="dxa" w:w="60"/>
              <w:left w:type="dxa" w:w="120"/>
              <w:bottom w:type="dxa" w:w="60"/>
              <w:right w:type="dxa" w:w="120"/>
            </w:tcMar>
          </w:tcPr>
          <w:p>
            <w:r>
              <w:rPr>
                <w:sz w:val="19"/>
                <w:szCs w:val="19"/>
              </w:rPr>
              <w:t xml:space="preserve">Coupon at 6% on the opening balance</w:t>
            </w:r>
          </w:p>
        </w:tc>
        <w:tc>
          <w:tcPr>
            <w:tcMar>
              <w:top w:type="dxa" w:w="60"/>
              <w:left w:type="dxa" w:w="120"/>
              <w:bottom w:type="dxa" w:w="60"/>
              <w:right w:type="dxa" w:w="120"/>
            </w:tcMar>
          </w:tcPr>
          <w:p>
            <w:r>
              <w:rPr>
                <w:sz w:val="19"/>
                <w:szCs w:val="19"/>
              </w:rPr>
              <w:t xml:space="preserve">$90,000</w:t>
            </w:r>
          </w:p>
        </w:tc>
      </w:tr>
      <w:tr>
        <w:tc>
          <w:tcPr>
            <w:tcMar>
              <w:top w:type="dxa" w:w="60"/>
              <w:left w:type="dxa" w:w="120"/>
              <w:bottom w:type="dxa" w:w="60"/>
              <w:right w:type="dxa" w:w="120"/>
            </w:tcMar>
          </w:tcPr>
          <w:p>
            <w:r>
              <w:rPr>
                <w:sz w:val="19"/>
                <w:szCs w:val="19"/>
              </w:rPr>
              <w:t xml:space="preserve">Instalment repaid during the year</w:t>
            </w:r>
          </w:p>
        </w:tc>
        <w:tc>
          <w:tcPr>
            <w:tcMar>
              <w:top w:type="dxa" w:w="60"/>
              <w:left w:type="dxa" w:w="120"/>
              <w:bottom w:type="dxa" w:w="60"/>
              <w:right w:type="dxa" w:w="120"/>
            </w:tcMar>
          </w:tcPr>
          <w:p>
            <w:r>
              <w:rPr>
                <w:sz w:val="19"/>
                <w:szCs w:val="19"/>
              </w:rPr>
              <w:t xml:space="preserve">($150,000)</w:t>
            </w:r>
          </w:p>
        </w:tc>
      </w:tr>
      <w:tr>
        <w:tc>
          <w:tcPr>
            <w:tcMar>
              <w:top w:type="dxa" w:w="60"/>
              <w:left w:type="dxa" w:w="120"/>
              <w:bottom w:type="dxa" w:w="60"/>
              <w:right w:type="dxa" w:w="120"/>
            </w:tcMar>
          </w:tcPr>
          <w:p>
            <w:r>
              <w:rPr>
                <w:sz w:val="19"/>
                <w:szCs w:val="19"/>
              </w:rPr>
              <w:t xml:space="preserve">Outstanding at 31 December 20X4</w:t>
            </w:r>
          </w:p>
        </w:tc>
        <w:tc>
          <w:tcPr>
            <w:tcMar>
              <w:top w:type="dxa" w:w="60"/>
              <w:left w:type="dxa" w:w="120"/>
              <w:bottom w:type="dxa" w:w="60"/>
              <w:right w:type="dxa" w:w="120"/>
            </w:tcMar>
          </w:tcPr>
          <w:p>
            <w:r>
              <w:rPr>
                <w:sz w:val="19"/>
                <w:szCs w:val="19"/>
              </w:rPr>
              <w:t xml:space="preserve">$1,350,000</w:t>
            </w:r>
          </w:p>
        </w:tc>
      </w:tr>
      <w:tr>
        <w:tc>
          <w:tcPr>
            <w:tcMar>
              <w:top w:type="dxa" w:w="60"/>
              <w:left w:type="dxa" w:w="120"/>
              <w:bottom w:type="dxa" w:w="60"/>
              <w:right w:type="dxa" w:w="120"/>
            </w:tcMar>
          </w:tcPr>
          <w:p>
            <w:r>
              <w:rPr>
                <w:sz w:val="19"/>
                <w:szCs w:val="19"/>
              </w:rPr>
              <w:t xml:space="preserve">   of which due within twelve months</w:t>
            </w:r>
          </w:p>
        </w:tc>
        <w:tc>
          <w:tcPr>
            <w:tcMar>
              <w:top w:type="dxa" w:w="60"/>
              <w:left w:type="dxa" w:w="120"/>
              <w:bottom w:type="dxa" w:w="60"/>
              <w:right w:type="dxa" w:w="120"/>
            </w:tcMar>
          </w:tcPr>
          <w:p>
            <w:r>
              <w:rPr>
                <w:sz w:val="19"/>
                <w:szCs w:val="19"/>
              </w:rPr>
              <w:t xml:space="preserve">$150,000</w:t>
            </w:r>
          </w:p>
        </w:tc>
      </w:tr>
      <w:tr>
        <w:tc>
          <w:tcPr>
            <w:tcMar>
              <w:top w:type="dxa" w:w="60"/>
              <w:left w:type="dxa" w:w="120"/>
              <w:bottom w:type="dxa" w:w="60"/>
              <w:right w:type="dxa" w:w="120"/>
            </w:tcMar>
          </w:tcPr>
          <w:p>
            <w:r>
              <w:rPr>
                <w:sz w:val="19"/>
                <w:szCs w:val="19"/>
              </w:rPr>
              <w:t xml:space="preserve">   of which due after twelve months</w:t>
            </w:r>
          </w:p>
        </w:tc>
        <w:tc>
          <w:tcPr>
            <w:tcMar>
              <w:top w:type="dxa" w:w="60"/>
              <w:left w:type="dxa" w:w="120"/>
              <w:bottom w:type="dxa" w:w="60"/>
              <w:right w:type="dxa" w:w="120"/>
            </w:tcMar>
          </w:tcPr>
          <w:p>
            <w:r>
              <w:rPr>
                <w:sz w:val="19"/>
                <w:szCs w:val="19"/>
              </w:rPr>
              <w:t xml:space="preserve">$1,200,000</w:t>
            </w:r>
          </w:p>
        </w:tc>
      </w:tr>
    </w:tbl>
    <w:p/>
    <w:p>
      <w:pPr>
        <w:spacing w:before="40" w:after="110" w:line="300" w:lineRule="auto"/>
      </w:pPr>
      <w:r>
        <w:rPr>
          <w:b/>
          <w:color w:val="2B6CB0"/>
          <w:sz w:val="13"/>
        </w:rPr>
        <w:t xml:space="preserve">R2  </w:t>
      </w:r>
      <w:r>
        <w:rPr>
          <w:sz w:val="21"/>
          <w:szCs w:val="21"/>
        </w:rPr>
        <w:t xml:space="preserve">Nothing in the second table is new. $90,000 of interest, $150,000 repaid and a closing balance split $150,000 current and $1,200,000 non-current are all figures Volume 1 reported, and the coupon of 6% is the only thing this handout had to solve for.</w:t>
      </w:r>
    </w:p>
    <w:p>
      <w:pPr>
        <w:spacing w:before="40" w:after="110" w:line="300" w:lineRule="auto"/>
      </w:pPr>
      <w:r>
        <w:rPr>
          <w:b/>
          <w:color w:val="2B6CB0"/>
          <w:sz w:val="13"/>
        </w:rPr>
        <w:t xml:space="preserve">R2  </w:t>
      </w:r>
      <w:r>
        <w:rPr>
          <w:sz w:val="21"/>
          <w:szCs w:val="21"/>
        </w:rPr>
        <w:t xml:space="preserve">The serial bond is a useful first case precisely because it was issued at par: the carrying amount is the face value, and the interest expense is the cash paid. Handouts 2 and 3 remove both of those conveniences.</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Issued at a Discount, at a Premium, at Par</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pay</w:t>
            </w:r>
          </w:p>
        </w:tc>
        <w:tc>
          <w:tcPr>
            <w:tcMar>
              <w:top w:type="dxa" w:w="40"/>
              <w:left w:type="dxa" w:w="100"/>
              <w:bottom w:type="dxa" w:w="40"/>
              <w:right w:type="dxa" w:w="100"/>
            </w:tcMar>
          </w:tcPr>
          <w:p>
            <w:r>
              <w:rPr>
                <w:sz w:val="17"/>
                <w:szCs w:val="17"/>
              </w:rPr>
              <w:t xml:space="preserve">The price, which is the only free variable.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discount</w:t>
            </w:r>
          </w:p>
        </w:tc>
        <w:tc>
          <w:tcPr>
            <w:tcMar>
              <w:top w:type="dxa" w:w="40"/>
              <w:left w:type="dxa" w:w="100"/>
              <w:bottom w:type="dxa" w:w="40"/>
              <w:right w:type="dxa" w:w="100"/>
            </w:tcMar>
          </w:tcPr>
          <w:p>
            <w:r>
              <w:rPr>
                <w:sz w:val="17"/>
                <w:szCs w:val="17"/>
              </w:rPr>
              <w:t xml:space="preserve">Below par, because the coupon is below the market.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interest</w:t>
            </w:r>
          </w:p>
        </w:tc>
        <w:tc>
          <w:tcPr>
            <w:tcMar>
              <w:top w:type="dxa" w:w="40"/>
              <w:left w:type="dxa" w:w="100"/>
              <w:bottom w:type="dxa" w:w="40"/>
              <w:right w:type="dxa" w:w="100"/>
            </w:tcMar>
          </w:tcPr>
          <w:p>
            <w:r>
              <w:rPr>
                <w:sz w:val="17"/>
                <w:szCs w:val="17"/>
              </w:rPr>
              <w:t xml:space="preserve">Paid at the end rather than along the way.</w:t>
            </w:r>
          </w:p>
        </w:tc>
        <w:tc>
          <w:tcPr>
            <w:tcMar>
              <w:top w:type="dxa" w:w="40"/>
              <w:left w:type="dxa" w:w="100"/>
              <w:bottom w:type="dxa" w:w="40"/>
              <w:right w:type="dxa" w:w="100"/>
            </w:tcMar>
          </w:tcPr>
          <w:p>
            <w:r>
              <w:rPr>
                <w:color w:val="C0483F"/>
                <w:sz w:val="17"/>
                <w:szCs w:val="17"/>
              </w:rPr>
              <w:t xml:space="preserve">Students read a discount as a loss on issue. The company borrowed less and will repay more; the difference is interest.</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premium</w:t>
            </w:r>
          </w:p>
        </w:tc>
        <w:tc>
          <w:tcPr>
            <w:tcMar>
              <w:top w:type="dxa" w:w="40"/>
              <w:left w:type="dxa" w:w="100"/>
              <w:bottom w:type="dxa" w:w="40"/>
              <w:right w:type="dxa" w:w="100"/>
            </w:tcMar>
          </w:tcPr>
          <w:p>
            <w:r>
              <w:rPr>
                <w:sz w:val="17"/>
                <w:szCs w:val="17"/>
              </w:rPr>
              <w:t xml:space="preserve">Above par, for a coupon above the market.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face</w:t>
            </w:r>
          </w:p>
        </w:tc>
        <w:tc>
          <w:tcPr>
            <w:tcMar>
              <w:top w:type="dxa" w:w="40"/>
              <w:left w:type="dxa" w:w="100"/>
              <w:bottom w:type="dxa" w:w="40"/>
              <w:right w:type="dxa" w:w="100"/>
            </w:tcMar>
          </w:tcPr>
          <w:p>
            <w:r>
              <w:rPr>
                <w:sz w:val="17"/>
                <w:szCs w:val="17"/>
              </w:rPr>
              <w:t xml:space="preserve">What will be repaid, not what was raised.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debited</w:t>
            </w:r>
          </w:p>
        </w:tc>
        <w:tc>
          <w:tcPr>
            <w:tcMar>
              <w:top w:type="dxa" w:w="40"/>
              <w:left w:type="dxa" w:w="100"/>
              <w:bottom w:type="dxa" w:w="40"/>
              <w:right w:type="dxa" w:w="100"/>
            </w:tcMar>
          </w:tcPr>
          <w:p>
            <w:r>
              <w:rPr>
                <w:sz w:val="17"/>
                <w:szCs w:val="17"/>
              </w:rPr>
              <w:t xml:space="preserve">A contra liability has a debit balance.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carrying</w:t>
            </w:r>
          </w:p>
        </w:tc>
        <w:tc>
          <w:tcPr>
            <w:tcMar>
              <w:top w:type="dxa" w:w="40"/>
              <w:left w:type="dxa" w:w="100"/>
              <w:bottom w:type="dxa" w:w="40"/>
              <w:right w:type="dxa" w:w="100"/>
            </w:tcMar>
          </w:tcPr>
          <w:p>
            <w:r>
              <w:rPr>
                <w:sz w:val="17"/>
                <w:szCs w:val="17"/>
              </w:rPr>
              <w:t xml:space="preserve">One figure, not two.</w:t>
            </w:r>
          </w:p>
        </w:tc>
        <w:tc>
          <w:tcPr>
            <w:tcMar>
              <w:top w:type="dxa" w:w="40"/>
              <w:left w:type="dxa" w:w="100"/>
              <w:bottom w:type="dxa" w:w="40"/>
              <w:right w:type="dxa" w:w="100"/>
            </w:tcMar>
          </w:tcPr>
          <w:p>
            <w:r>
              <w:rPr>
                <w:color w:val="C0483F"/>
                <w:sz w:val="17"/>
                <w:szCs w:val="17"/>
              </w:rPr>
              <w:t xml:space="preserve">Students report the discount as a separate line or, worse, as an asset. It belongs with the bond.</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added</w:t>
            </w:r>
          </w:p>
        </w:tc>
        <w:tc>
          <w:tcPr>
            <w:tcMar>
              <w:top w:type="dxa" w:w="40"/>
              <w:left w:type="dxa" w:w="100"/>
              <w:bottom w:type="dxa" w:w="40"/>
              <w:right w:type="dxa" w:w="100"/>
            </w:tcMar>
          </w:tcPr>
          <w:p>
            <w:r>
              <w:rPr>
                <w:sz w:val="17"/>
                <w:szCs w:val="17"/>
              </w:rPr>
              <w:t xml:space="preserve">The premium raises the carrying amount.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market</w:t>
            </w:r>
          </w:p>
        </w:tc>
        <w:tc>
          <w:tcPr>
            <w:tcMar>
              <w:top w:type="dxa" w:w="40"/>
              <w:left w:type="dxa" w:w="100"/>
              <w:bottom w:type="dxa" w:w="40"/>
              <w:right w:type="dxa" w:w="100"/>
            </w:tcMar>
          </w:tcPr>
          <w:p>
            <w:r>
              <w:rPr>
                <w:sz w:val="17"/>
                <w:szCs w:val="17"/>
              </w:rPr>
              <w:t xml:space="preserve">The rate investors required, not the one printed.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FALSE  3 TRUE  4 TRUE  5 TRUE  6 TRUE</w:t>
            </w:r>
          </w:p>
        </w:tc>
        <w:tc>
          <w:tcPr>
            <w:tcMar>
              <w:top w:type="dxa" w:w="40"/>
              <w:left w:type="dxa" w:w="100"/>
              <w:bottom w:type="dxa" w:w="40"/>
              <w:right w:type="dxa" w:w="100"/>
            </w:tcMar>
          </w:tcPr>
          <w:p>
            <w:r>
              <w:rPr>
                <w:sz w:val="17"/>
                <w:szCs w:val="17"/>
              </w:rPr>
              <w:t xml:space="preserve">The fifth surprises people. The premium bond pays $100,000 a year rather than $60,000, so it costs more in cash even though it raised more at issue.</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coupon rate is below the market rate</w:t>
            </w:r>
          </w:p>
        </w:tc>
        <w:tc>
          <w:tcPr>
            <w:tcMar>
              <w:top w:type="dxa" w:w="40"/>
              <w:left w:type="dxa" w:w="100"/>
              <w:bottom w:type="dxa" w:w="40"/>
              <w:right w:type="dxa" w:w="100"/>
            </w:tcMar>
          </w:tcPr>
          <w:p>
            <w:r>
              <w:rPr>
                <w:sz w:val="17"/>
                <w:szCs w:val="17"/>
              </w:rPr>
              <w:t xml:space="preserve">The price adjusts until the bond yields the market rate. (A) affects the market rate the bond is priced at, and a bond from a sound issuer sells at a discount whenever its coupon is below that rate.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coupons and the face value, both at 8%</w:t>
            </w:r>
          </w:p>
        </w:tc>
        <w:tc>
          <w:tcPr>
            <w:tcMar>
              <w:top w:type="dxa" w:w="40"/>
              <w:left w:type="dxa" w:w="100"/>
              <w:bottom w:type="dxa" w:w="40"/>
              <w:right w:type="dxa" w:w="100"/>
            </w:tcMar>
          </w:tcPr>
          <w:p>
            <w:r>
              <w:rPr>
                <w:sz w:val="17"/>
                <w:szCs w:val="17"/>
              </w:rPr>
              <w:t xml:space="preserve">Both promises, discounted at the rate investors require. (C) uses the coupon rate and would price every bond at par, which is the commonest error on this topic.</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$1,000,000</w:t>
            </w:r>
          </w:p>
        </w:tc>
        <w:tc>
          <w:tcPr>
            <w:tcMar>
              <w:top w:type="dxa" w:w="40"/>
              <w:left w:type="dxa" w:w="100"/>
              <w:bottom w:type="dxa" w:w="40"/>
              <w:right w:type="dxa" w:w="100"/>
            </w:tcMar>
          </w:tcPr>
          <w:p>
            <w:r>
              <w:rPr>
                <w:sz w:val="17"/>
                <w:szCs w:val="17"/>
              </w:rPr>
              <w:t xml:space="preserve">Always the face value. The $920,146 of cash and the $79,854 of discount are the two debits that balance it.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 deduction from bonds payable</w:t>
            </w:r>
          </w:p>
        </w:tc>
        <w:tc>
          <w:tcPr>
            <w:tcMar>
              <w:top w:type="dxa" w:w="40"/>
              <w:left w:type="dxa" w:w="100"/>
              <w:bottom w:type="dxa" w:w="40"/>
              <w:right w:type="dxa" w:w="100"/>
            </w:tcMar>
          </w:tcPr>
          <w:p>
            <w:r>
              <w:rPr>
                <w:sz w:val="17"/>
                <w:szCs w:val="17"/>
              </w:rPr>
              <w:t xml:space="preserve">A contra liability, so the balance sheet shows one net figure of $920,146. (C) is the error the sortgrid was built to prevent: the discount is interest, and it belongs to the whole term.</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Raises more at issue and pays more in coupons</w:t>
            </w:r>
          </w:p>
        </w:tc>
        <w:tc>
          <w:tcPr>
            <w:tcMar>
              <w:top w:type="dxa" w:w="40"/>
              <w:left w:type="dxa" w:w="100"/>
              <w:bottom w:type="dxa" w:w="40"/>
              <w:right w:type="dxa" w:w="100"/>
            </w:tcMar>
          </w:tcPr>
          <w:p>
            <w:r>
              <w:rPr>
                <w:sz w:val="17"/>
                <w:szCs w:val="17"/>
              </w:rPr>
              <w:t xml:space="preserve">Both repay $1,000,000; the premium bond raises $159,708 more and pays $40,000 more each year. (D) is the trap: both bonds were priced to yield exactly 8%, so the effective rates are identical.</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coupon rate equals the market rate at issue</w:t>
            </w:r>
          </w:p>
        </w:tc>
        <w:tc>
          <w:tcPr>
            <w:tcMar>
              <w:top w:type="dxa" w:w="40"/>
              <w:left w:type="dxa" w:w="100"/>
              <w:bottom w:type="dxa" w:w="40"/>
              <w:right w:type="dxa" w:w="100"/>
            </w:tcMar>
          </w:tcPr>
          <w:p>
            <w:r>
              <w:rPr>
                <w:sz w:val="17"/>
                <w:szCs w:val="17"/>
              </w:rPr>
              <w:t xml:space="preserve">Par is the one case where the two rates agree, which is why Northwind’s serial bond in Handout 1 needed no discount account at all.</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The present value of Volume 7’s finance lease</w:t>
            </w:r>
          </w:p>
        </w:tc>
        <w:tc>
          <w:tcPr>
            <w:tcMar>
              <w:top w:type="dxa" w:w="40"/>
              <w:left w:type="dxa" w:w="100"/>
              <w:bottom w:type="dxa" w:w="40"/>
              <w:right w:type="dxa" w:w="100"/>
            </w:tcMar>
          </w:tcPr>
          <w:p>
            <w:r>
              <w:rPr>
                <w:sz w:val="17"/>
                <w:szCs w:val="17"/>
              </w:rPr>
              <w:t xml:space="preserve">Five payments of $60,000 at 8% is one calculation, whether the payments are lease instalments or bond coupons. Recognising that a bond is an annuity plus a single sum is most of what Part 2 B.2(e) asks for.</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2B · both bonds, priced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27"/>
        <w:gridCol w:w="27"/>
      </w:tblGrid>
      <w:tr>
        <w:tc>
          <w:tcPr>
            <w:shd w:fill="1F6F8F" w:val="clear"/>
            <w:tcMar>
              <w:top w:type="dxa" w:w="60"/>
              <w:left w:type="dxa" w:w="120"/>
              <w:bottom w:type="dxa" w:w="60"/>
              <w:right w:type="dxa" w:w="120"/>
            </w:tcMar>
          </w:tcPr>
          <w:p>
            <w:r>
              <w:rPr>
                <w:b/>
                <w:bCs/>
                <w:color w:val="FFFFFF"/>
                <w:sz w:val="19"/>
                <w:szCs w:val="19"/>
              </w:rPr>
              <w:t xml:space="preserve">Pricing the $1,000,000 bond</w:t>
            </w:r>
          </w:p>
        </w:tc>
        <w:tc>
          <w:tcPr>
            <w:shd w:fill="1F6F8F" w:val="clear"/>
            <w:tcMar>
              <w:top w:type="dxa" w:w="60"/>
              <w:left w:type="dxa" w:w="120"/>
              <w:bottom w:type="dxa" w:w="60"/>
              <w:right w:type="dxa" w:w="120"/>
            </w:tcMar>
          </w:tcPr>
          <w:p>
            <w:r>
              <w:rPr>
                <w:b/>
                <w:bCs/>
                <w:color w:val="FFFFFF"/>
                <w:sz w:val="19"/>
                <w:szCs w:val="19"/>
              </w:rPr>
              <w:t xml:space="preserve">Discount bond</w:t>
            </w:r>
          </w:p>
        </w:tc>
        <w:tc>
          <w:tcPr>
            <w:shd w:fill="1F6F8F" w:val="clear"/>
            <w:tcMar>
              <w:top w:type="dxa" w:w="60"/>
              <w:left w:type="dxa" w:w="120"/>
              <w:bottom w:type="dxa" w:w="60"/>
              <w:right w:type="dxa" w:w="120"/>
            </w:tcMar>
          </w:tcPr>
          <w:p>
            <w:r>
              <w:rPr>
                <w:b/>
                <w:bCs/>
                <w:color w:val="FFFFFF"/>
                <w:sz w:val="19"/>
                <w:szCs w:val="19"/>
              </w:rPr>
              <w:t xml:space="preserve">Premium bond</w:t>
            </w:r>
          </w:p>
        </w:tc>
      </w:tr>
      <w:tr>
        <w:tc>
          <w:tcPr>
            <w:tcMar>
              <w:top w:type="dxa" w:w="60"/>
              <w:left w:type="dxa" w:w="120"/>
              <w:bottom w:type="dxa" w:w="60"/>
              <w:right w:type="dxa" w:w="120"/>
            </w:tcMar>
          </w:tcPr>
          <w:p>
            <w:r>
              <w:rPr>
                <w:sz w:val="19"/>
                <w:szCs w:val="19"/>
              </w:rPr>
              <w:t xml:space="preserve">Coupon rate written in the indenture</w:t>
            </w:r>
          </w:p>
        </w:tc>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10%</w:t>
            </w:r>
          </w:p>
        </w:tc>
      </w:tr>
      <w:tr>
        <w:tc>
          <w:tcPr>
            <w:tcMar>
              <w:top w:type="dxa" w:w="60"/>
              <w:left w:type="dxa" w:w="120"/>
              <w:bottom w:type="dxa" w:w="60"/>
              <w:right w:type="dxa" w:w="120"/>
            </w:tcMar>
          </w:tcPr>
          <w:p>
            <w:r>
              <w:rPr>
                <w:sz w:val="19"/>
                <w:szCs w:val="19"/>
              </w:rPr>
              <w:t xml:space="preserve">Cash coupon, each year</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$100,000</w:t>
            </w:r>
          </w:p>
        </w:tc>
      </w:tr>
      <w:tr>
        <w:tc>
          <w:tcPr>
            <w:tcMar>
              <w:top w:type="dxa" w:w="60"/>
              <w:left w:type="dxa" w:w="120"/>
              <w:bottom w:type="dxa" w:w="60"/>
              <w:right w:type="dxa" w:w="120"/>
            </w:tcMar>
          </w:tcPr>
          <w:p>
            <w:r>
              <w:rPr>
                <w:sz w:val="19"/>
                <w:szCs w:val="19"/>
              </w:rPr>
              <w:t xml:space="preserve">Present value of the coupons at 8%</w:t>
            </w:r>
          </w:p>
        </w:tc>
        <w:tc>
          <w:tcPr>
            <w:tcMar>
              <w:top w:type="dxa" w:w="60"/>
              <w:left w:type="dxa" w:w="120"/>
              <w:bottom w:type="dxa" w:w="60"/>
              <w:right w:type="dxa" w:w="120"/>
            </w:tcMar>
          </w:tcPr>
          <w:p>
            <w:r>
              <w:rPr>
                <w:sz w:val="19"/>
                <w:szCs w:val="19"/>
              </w:rPr>
              <w:t xml:space="preserve">$239,563</w:t>
            </w:r>
          </w:p>
        </w:tc>
        <w:tc>
          <w:tcPr>
            <w:tcMar>
              <w:top w:type="dxa" w:w="60"/>
              <w:left w:type="dxa" w:w="120"/>
              <w:bottom w:type="dxa" w:w="60"/>
              <w:right w:type="dxa" w:w="120"/>
            </w:tcMar>
          </w:tcPr>
          <w:p>
            <w:r>
              <w:rPr>
                <w:sz w:val="19"/>
                <w:szCs w:val="19"/>
              </w:rPr>
              <w:t xml:space="preserve">$399,271</w:t>
            </w:r>
          </w:p>
        </w:tc>
      </w:tr>
      <w:tr>
        <w:tc>
          <w:tcPr>
            <w:tcMar>
              <w:top w:type="dxa" w:w="60"/>
              <w:left w:type="dxa" w:w="120"/>
              <w:bottom w:type="dxa" w:w="60"/>
              <w:right w:type="dxa" w:w="120"/>
            </w:tcMar>
          </w:tcPr>
          <w:p>
            <w:r>
              <w:rPr>
                <w:sz w:val="19"/>
                <w:szCs w:val="19"/>
              </w:rPr>
              <w:t xml:space="preserve">Present value of the $1,000,000 repaid at maturity</w:t>
            </w:r>
          </w:p>
        </w:tc>
        <w:tc>
          <w:tcPr>
            <w:tcMar>
              <w:top w:type="dxa" w:w="60"/>
              <w:left w:type="dxa" w:w="120"/>
              <w:bottom w:type="dxa" w:w="60"/>
              <w:right w:type="dxa" w:w="120"/>
            </w:tcMar>
          </w:tcPr>
          <w:p>
            <w:r>
              <w:rPr>
                <w:sz w:val="19"/>
                <w:szCs w:val="19"/>
              </w:rPr>
              <w:t xml:space="preserve">$680,583</w:t>
            </w:r>
          </w:p>
        </w:tc>
        <w:tc>
          <w:tcPr>
            <w:tcMar>
              <w:top w:type="dxa" w:w="60"/>
              <w:left w:type="dxa" w:w="120"/>
              <w:bottom w:type="dxa" w:w="60"/>
              <w:right w:type="dxa" w:w="120"/>
            </w:tcMar>
          </w:tcPr>
          <w:p>
            <w:r>
              <w:rPr>
                <w:sz w:val="19"/>
                <w:szCs w:val="19"/>
              </w:rPr>
              <w:t xml:space="preserve">$680,583</w:t>
            </w:r>
          </w:p>
        </w:tc>
      </w:tr>
      <w:tr>
        <w:tc>
          <w:tcPr>
            <w:tcMar>
              <w:top w:type="dxa" w:w="60"/>
              <w:left w:type="dxa" w:w="120"/>
              <w:bottom w:type="dxa" w:w="60"/>
              <w:right w:type="dxa" w:w="120"/>
            </w:tcMar>
          </w:tcPr>
          <w:p>
            <w:r>
              <w:rPr>
                <w:sz w:val="19"/>
                <w:szCs w:val="19"/>
              </w:rPr>
              <w:t xml:space="preserve">Issue price</w:t>
            </w:r>
          </w:p>
        </w:tc>
        <w:tc>
          <w:tcPr>
            <w:tcMar>
              <w:top w:type="dxa" w:w="60"/>
              <w:left w:type="dxa" w:w="120"/>
              <w:bottom w:type="dxa" w:w="60"/>
              <w:right w:type="dxa" w:w="120"/>
            </w:tcMar>
          </w:tcPr>
          <w:p>
            <w:r>
              <w:rPr>
                <w:sz w:val="19"/>
                <w:szCs w:val="19"/>
              </w:rPr>
              <w:t xml:space="preserve">$920,146</w:t>
            </w:r>
          </w:p>
        </w:tc>
        <w:tc>
          <w:tcPr>
            <w:tcMar>
              <w:top w:type="dxa" w:w="60"/>
              <w:left w:type="dxa" w:w="120"/>
              <w:bottom w:type="dxa" w:w="60"/>
              <w:right w:type="dxa" w:w="120"/>
            </w:tcMar>
          </w:tcPr>
          <w:p>
            <w:r>
              <w:rPr>
                <w:sz w:val="19"/>
                <w:szCs w:val="19"/>
              </w:rPr>
              <w:t xml:space="preserve">$1,079,854</w:t>
            </w:r>
          </w:p>
        </w:tc>
      </w:tr>
      <w:tr>
        <w:tc>
          <w:tcPr>
            <w:tcMar>
              <w:top w:type="dxa" w:w="60"/>
              <w:left w:type="dxa" w:w="120"/>
              <w:bottom w:type="dxa" w:w="60"/>
              <w:right w:type="dxa" w:w="120"/>
            </w:tcMar>
          </w:tcPr>
          <w:p>
            <w:r>
              <w:rPr>
                <w:sz w:val="19"/>
                <w:szCs w:val="19"/>
              </w:rPr>
              <w:t xml:space="preserve">Discount or premium</w:t>
            </w:r>
          </w:p>
        </w:tc>
        <w:tc>
          <w:tcPr>
            <w:tcMar>
              <w:top w:type="dxa" w:w="60"/>
              <w:left w:type="dxa" w:w="120"/>
              <w:bottom w:type="dxa" w:w="60"/>
              <w:right w:type="dxa" w:w="120"/>
            </w:tcMar>
          </w:tcPr>
          <w:p>
            <w:r>
              <w:rPr>
                <w:sz w:val="19"/>
                <w:szCs w:val="19"/>
              </w:rPr>
              <w:t xml:space="preserve">($79,854)</w:t>
            </w:r>
          </w:p>
        </w:tc>
        <w:tc>
          <w:tcPr>
            <w:tcMar>
              <w:top w:type="dxa" w:w="60"/>
              <w:left w:type="dxa" w:w="120"/>
              <w:bottom w:type="dxa" w:w="60"/>
              <w:right w:type="dxa" w:w="120"/>
            </w:tcMar>
          </w:tcPr>
          <w:p>
            <w:r>
              <w:rPr>
                <w:sz w:val="19"/>
                <w:szCs w:val="19"/>
              </w:rPr>
              <w:t xml:space="preserve">$79,854</w:t>
            </w:r>
          </w:p>
        </w:tc>
      </w:tr>
    </w:tbl>
    <w:p/>
    <w:p>
      <w:pPr>
        <w:spacing w:after="40" w:before="130"/>
      </w:pPr>
      <w:r>
        <w:rPr>
          <w:b/>
          <w:bCs/>
          <w:color w:val="23265A"/>
          <w:sz w:val="24"/>
          <w:szCs w:val="24"/>
        </w:rPr>
        <w:t xml:space="preserve">Exercise 2C · the balance sheet at issue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27"/>
        <w:gridCol w:w="27"/>
      </w:tblGrid>
      <w:tr>
        <w:tc>
          <w:tcPr>
            <w:shd w:fill="6D3F7E" w:val="clear"/>
            <w:tcMar>
              <w:top w:type="dxa" w:w="60"/>
              <w:left w:type="dxa" w:w="120"/>
              <w:bottom w:type="dxa" w:w="60"/>
              <w:right w:type="dxa" w:w="120"/>
            </w:tcMar>
          </w:tcPr>
          <w:p>
            <w:r>
              <w:rPr>
                <w:b/>
                <w:bCs/>
                <w:color w:val="FFFFFF"/>
                <w:sz w:val="19"/>
                <w:szCs w:val="19"/>
              </w:rPr>
              <w:t xml:space="preserve">On the balance sheet at issue</w:t>
            </w:r>
          </w:p>
        </w:tc>
        <w:tc>
          <w:tcPr>
            <w:shd w:fill="6D3F7E" w:val="clear"/>
            <w:tcMar>
              <w:top w:type="dxa" w:w="60"/>
              <w:left w:type="dxa" w:w="120"/>
              <w:bottom w:type="dxa" w:w="60"/>
              <w:right w:type="dxa" w:w="120"/>
            </w:tcMar>
          </w:tcPr>
          <w:p>
            <w:r>
              <w:rPr>
                <w:b/>
                <w:bCs/>
                <w:color w:val="FFFFFF"/>
                <w:sz w:val="19"/>
                <w:szCs w:val="19"/>
              </w:rPr>
              <w:t xml:space="preserve">Discount bond</w:t>
            </w:r>
          </w:p>
        </w:tc>
        <w:tc>
          <w:tcPr>
            <w:shd w:fill="6D3F7E" w:val="clear"/>
            <w:tcMar>
              <w:top w:type="dxa" w:w="60"/>
              <w:left w:type="dxa" w:w="120"/>
              <w:bottom w:type="dxa" w:w="60"/>
              <w:right w:type="dxa" w:w="120"/>
            </w:tcMar>
          </w:tcPr>
          <w:p>
            <w:r>
              <w:rPr>
                <w:b/>
                <w:bCs/>
                <w:color w:val="FFFFFF"/>
                <w:sz w:val="19"/>
                <w:szCs w:val="19"/>
              </w:rPr>
              <w:t xml:space="preserve">Premium bond</w:t>
            </w:r>
          </w:p>
        </w:tc>
      </w:tr>
      <w:tr>
        <w:tc>
          <w:tcPr>
            <w:tcMar>
              <w:top w:type="dxa" w:w="60"/>
              <w:left w:type="dxa" w:w="120"/>
              <w:bottom w:type="dxa" w:w="60"/>
              <w:right w:type="dxa" w:w="120"/>
            </w:tcMar>
          </w:tcPr>
          <w:p>
            <w:r>
              <w:rPr>
                <w:sz w:val="19"/>
                <w:szCs w:val="19"/>
              </w:rPr>
              <w:t xml:space="preserve">Bonds payable, at face value</w:t>
            </w:r>
          </w:p>
        </w:tc>
        <w:tc>
          <w:tcPr>
            <w:tcMar>
              <w:top w:type="dxa" w:w="60"/>
              <w:left w:type="dxa" w:w="120"/>
              <w:bottom w:type="dxa" w:w="60"/>
              <w:right w:type="dxa" w:w="120"/>
            </w:tcMar>
          </w:tcPr>
          <w:p>
            <w:r>
              <w:rPr>
                <w:sz w:val="19"/>
                <w:szCs w:val="19"/>
              </w:rPr>
              <w:t xml:space="preserve">$1,000,000</w:t>
            </w:r>
          </w:p>
        </w:tc>
        <w:tc>
          <w:tcPr>
            <w:tcMar>
              <w:top w:type="dxa" w:w="60"/>
              <w:left w:type="dxa" w:w="120"/>
              <w:bottom w:type="dxa" w:w="60"/>
              <w:right w:type="dxa" w:w="120"/>
            </w:tcMar>
          </w:tcPr>
          <w:p>
            <w:r>
              <w:rPr>
                <w:sz w:val="19"/>
                <w:szCs w:val="19"/>
              </w:rPr>
              <w:t xml:space="preserve">$1,000,000</w:t>
            </w:r>
          </w:p>
        </w:tc>
      </w:tr>
      <w:tr>
        <w:tc>
          <w:tcPr>
            <w:tcMar>
              <w:top w:type="dxa" w:w="60"/>
              <w:left w:type="dxa" w:w="120"/>
              <w:bottom w:type="dxa" w:w="60"/>
              <w:right w:type="dxa" w:w="120"/>
            </w:tcMar>
          </w:tcPr>
          <w:p>
            <w:r>
              <w:rPr>
                <w:sz w:val="19"/>
                <w:szCs w:val="19"/>
              </w:rPr>
              <w:t xml:space="preserve">Less discount on bonds payable</w:t>
            </w:r>
          </w:p>
        </w:tc>
        <w:tc>
          <w:tcPr>
            <w:tcMar>
              <w:top w:type="dxa" w:w="60"/>
              <w:left w:type="dxa" w:w="120"/>
              <w:bottom w:type="dxa" w:w="60"/>
              <w:right w:type="dxa" w:w="120"/>
            </w:tcMar>
          </w:tcPr>
          <w:p>
            <w:r>
              <w:rPr>
                <w:sz w:val="19"/>
                <w:szCs w:val="19"/>
              </w:rPr>
              <w:t xml:space="preserve">($79,854)</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Plus premium on bonds payable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$79,854</w:t>
            </w:r>
          </w:p>
        </w:tc>
      </w:tr>
      <w:tr>
        <w:tc>
          <w:tcPr>
            <w:tcMar>
              <w:top w:type="dxa" w:w="60"/>
              <w:left w:type="dxa" w:w="120"/>
              <w:bottom w:type="dxa" w:w="60"/>
              <w:right w:type="dxa" w:w="120"/>
            </w:tcMar>
          </w:tcPr>
          <w:p>
            <w:r>
              <w:rPr>
                <w:sz w:val="19"/>
                <w:szCs w:val="19"/>
              </w:rPr>
              <w:t xml:space="preserve">Carrying amount</w:t>
            </w:r>
          </w:p>
        </w:tc>
        <w:tc>
          <w:tcPr>
            <w:tcMar>
              <w:top w:type="dxa" w:w="60"/>
              <w:left w:type="dxa" w:w="120"/>
              <w:bottom w:type="dxa" w:w="60"/>
              <w:right w:type="dxa" w:w="120"/>
            </w:tcMar>
          </w:tcPr>
          <w:p>
            <w:r>
              <w:rPr>
                <w:sz w:val="19"/>
                <w:szCs w:val="19"/>
              </w:rPr>
              <w:t xml:space="preserve">$920,146</w:t>
            </w:r>
          </w:p>
        </w:tc>
        <w:tc>
          <w:tcPr>
            <w:tcMar>
              <w:top w:type="dxa" w:w="60"/>
              <w:left w:type="dxa" w:w="120"/>
              <w:bottom w:type="dxa" w:w="60"/>
              <w:right w:type="dxa" w:w="120"/>
            </w:tcMar>
          </w:tcPr>
          <w:p>
            <w:r>
              <w:rPr>
                <w:sz w:val="19"/>
                <w:szCs w:val="19"/>
              </w:rPr>
              <w:t xml:space="preserve">$1,079,854</w:t>
            </w:r>
          </w:p>
        </w:tc>
      </w:tr>
    </w:tbl>
    <w:p/>
    <w:p>
      <w:pPr>
        <w:spacing w:after="40" w:before="130"/>
      </w:pPr>
      <w:r>
        <w:rPr>
          <w:b/>
          <w:bCs/>
          <w:color w:val="23265A"/>
          <w:sz w:val="24"/>
          <w:szCs w:val="24"/>
        </w:rPr>
        <w:t xml:space="preserve">The two issue entries, completed</w:t>
      </w:r>
    </w:p>
    <w:p>
      <w:pPr>
        <w:spacing w:before="140" w:after="60"/>
      </w:pPr>
      <w:r>
        <w:rPr>
          <w:b/>
          <w:bCs/>
          <w:color w:val="353A7C"/>
          <w:sz w:val="19"/>
          <w:szCs w:val="19"/>
        </w:rPr>
        <w:t xml:space="preserve">J1  </w:t>
      </w:r>
      <w:r>
        <w:rPr>
          <w:color w:val="6B7280"/>
          <w:sz w:val="19"/>
          <w:szCs w:val="19"/>
        </w:rPr>
        <w:t xml:space="preserve">The 6% bond issued at a discount.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$920,146</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Discount on Bonds Payable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$79,854</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$1,000,000</w:t>
            </w:r>
          </w:p>
        </w:tc>
      </w:tr>
    </w:tbl>
    <w:p>
      <w:pPr>
        <w:spacing w:before="140" w:after="60"/>
      </w:pPr>
      <w:r>
        <w:rPr>
          <w:b/>
          <w:bCs/>
          <w:color w:val="353A7C"/>
          <w:sz w:val="19"/>
          <w:szCs w:val="19"/>
        </w:rPr>
        <w:t xml:space="preserve">J2  </w:t>
      </w:r>
      <w:r>
        <w:rPr>
          <w:color w:val="6B7280"/>
          <w:sz w:val="19"/>
          <w:szCs w:val="19"/>
        </w:rPr>
        <w:t xml:space="preserve">The 10% bond issued at a premium.</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$1,079,854</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$1,000,000</w:t>
            </w:r>
          </w:p>
        </w:tc>
      </w:tr>
      <w:tr>
        <w:tc>
          <w:tcPr>
            <w:tcW w:type="pct" w:w="2800"/>
            <w:tcMar>
              <w:top w:type="dxa" w:w="50"/>
              <w:left w:type="dxa" w:w="110"/>
              <w:bottom w:type="dxa" w:w="50"/>
              <w:right w:type="dxa" w:w="110"/>
            </w:tcMar>
          </w:tcPr>
          <w:p>
            <w:pPr>
              <w:ind w:left="260"/>
            </w:pPr>
            <w:r>
              <w:rPr>
                <w:sz w:val="19"/>
                <w:szCs w:val="19"/>
              </w:rPr>
              <w:t xml:space="preserve">Premium on 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$79,854</w:t>
            </w:r>
          </w:p>
        </w:tc>
      </w:tr>
    </w:tbl>
    <w:p/>
    <w:p>
      <w:pPr>
        <w:spacing w:before="40" w:after="110" w:line="300" w:lineRule="auto"/>
      </w:pPr>
      <w:r>
        <w:rPr>
          <w:b/>
          <w:color w:val="2B6CB0"/>
          <w:sz w:val="13"/>
        </w:rPr>
        <w:t xml:space="preserve">R2  </w:t>
      </w:r>
      <w:r>
        <w:rPr>
          <w:sz w:val="21"/>
          <w:szCs w:val="21"/>
        </w:rPr>
        <w:t xml:space="preserve">The discount and the premium are equal at $79,854, and that is not a coincidence. Both coupons sit 2% away from the 8% market rate, so each is $20,000 of face a year for 5 years, discounted at 8% — the same annuity in both directions.</w:t>
      </w:r>
    </w:p>
    <w:p>
      <w:pPr>
        <w:spacing w:before="40" w:after="110" w:line="300" w:lineRule="auto"/>
      </w:pPr>
      <w:r>
        <w:rPr>
          <w:b/>
          <w:color w:val="2B6CB0"/>
          <w:sz w:val="13"/>
        </w:rPr>
        <w:t xml:space="preserve">R2  </w:t>
      </w:r>
      <w:r>
        <w:rPr>
          <w:sz w:val="21"/>
          <w:szCs w:val="21"/>
        </w:rPr>
        <w:t xml:space="preserve">Note where the $239,563 of coupons on the discount bond came from. It is $60,000 a year for five years at 8%, which is the figure Volume 7 opened its lease schedule with and Volume 13 derived. A lease and a bond are the same arithmetic wearing different contracts.</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The Effective Interest Method, Period by Period</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carrying</w:t>
            </w:r>
          </w:p>
        </w:tc>
        <w:tc>
          <w:tcPr>
            <w:tcMar>
              <w:top w:type="dxa" w:w="40"/>
              <w:left w:type="dxa" w:w="100"/>
              <w:bottom w:type="dxa" w:w="40"/>
              <w:right w:type="dxa" w:w="100"/>
            </w:tcMar>
          </w:tcPr>
          <w:p>
            <w:r>
              <w:rPr>
                <w:sz w:val="17"/>
                <w:szCs w:val="17"/>
              </w:rPr>
              <w:t xml:space="preserve">What the company actually has the use of.</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paid</w:t>
            </w:r>
          </w:p>
        </w:tc>
        <w:tc>
          <w:tcPr>
            <w:tcMar>
              <w:top w:type="dxa" w:w="40"/>
              <w:left w:type="dxa" w:w="100"/>
              <w:bottom w:type="dxa" w:w="40"/>
              <w:right w:type="dxa" w:w="100"/>
            </w:tcMar>
          </w:tcPr>
          <w:p>
            <w:r>
              <w:rPr>
                <w:sz w:val="17"/>
                <w:szCs w:val="17"/>
              </w:rPr>
              <w:t xml:space="preserve">Incurred now, settled at maturity.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rises</w:t>
            </w:r>
          </w:p>
        </w:tc>
        <w:tc>
          <w:tcPr>
            <w:tcMar>
              <w:top w:type="dxa" w:w="40"/>
              <w:left w:type="dxa" w:w="100"/>
              <w:bottom w:type="dxa" w:w="40"/>
              <w:right w:type="dxa" w:w="100"/>
            </w:tcMar>
          </w:tcPr>
          <w:p>
            <w:r>
              <w:rPr>
                <w:sz w:val="17"/>
                <w:szCs w:val="17"/>
              </w:rPr>
              <w:t xml:space="preserve">Toward par, because the discount is unwinding.</w:t>
            </w:r>
          </w:p>
        </w:tc>
        <w:tc>
          <w:tcPr>
            <w:tcMar>
              <w:top w:type="dxa" w:w="40"/>
              <w:left w:type="dxa" w:w="100"/>
              <w:bottom w:type="dxa" w:w="40"/>
              <w:right w:type="dxa" w:w="100"/>
            </w:tcMar>
          </w:tcPr>
          <w:p>
            <w:r>
              <w:rPr>
                <w:color w:val="C0483F"/>
                <w:sz w:val="17"/>
                <w:szCs w:val="17"/>
              </w:rPr>
              <w:t xml:space="preserve">Students expect a liability to fall as it is serviced. A discount bond is being serviced at less than its cost, so it grows.</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$1,000,000</w:t>
            </w:r>
          </w:p>
        </w:tc>
        <w:tc>
          <w:tcPr>
            <w:tcMar>
              <w:top w:type="dxa" w:w="40"/>
              <w:left w:type="dxa" w:w="100"/>
              <w:bottom w:type="dxa" w:w="40"/>
              <w:right w:type="dxa" w:w="100"/>
            </w:tcMar>
          </w:tcPr>
          <w:p>
            <w:r>
              <w:rPr>
                <w:sz w:val="17"/>
                <w:szCs w:val="17"/>
              </w:rPr>
              <w:t xml:space="preserve">The face value, exactly.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move</w:t>
            </w:r>
          </w:p>
        </w:tc>
        <w:tc>
          <w:tcPr>
            <w:tcMar>
              <w:top w:type="dxa" w:w="40"/>
              <w:left w:type="dxa" w:w="100"/>
              <w:bottom w:type="dxa" w:w="40"/>
              <w:right w:type="dxa" w:w="100"/>
            </w:tcMar>
          </w:tcPr>
          <w:p>
            <w:r>
              <w:rPr>
                <w:sz w:val="17"/>
                <w:szCs w:val="17"/>
              </w:rPr>
              <w:t xml:space="preserve">Fixed at issue, whatever happens later.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bears</w:t>
            </w:r>
          </w:p>
        </w:tc>
        <w:tc>
          <w:tcPr>
            <w:tcMar>
              <w:top w:type="dxa" w:w="40"/>
              <w:left w:type="dxa" w:w="100"/>
              <w:bottom w:type="dxa" w:w="40"/>
              <w:right w:type="dxa" w:w="100"/>
            </w:tcMar>
          </w:tcPr>
          <w:p>
            <w:r>
              <w:rPr>
                <w:sz w:val="17"/>
                <w:szCs w:val="17"/>
              </w:rPr>
              <w:t xml:space="preserve">The issuer’s cost is the investor’s return.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$15,971</w:t>
            </w:r>
          </w:p>
        </w:tc>
        <w:tc>
          <w:tcPr>
            <w:tcMar>
              <w:top w:type="dxa" w:w="40"/>
              <w:left w:type="dxa" w:w="100"/>
              <w:bottom w:type="dxa" w:w="40"/>
              <w:right w:type="dxa" w:w="100"/>
            </w:tcMar>
          </w:tcPr>
          <w:p>
            <w:r>
              <w:rPr>
                <w:sz w:val="17"/>
                <w:szCs w:val="17"/>
              </w:rPr>
              <w:t xml:space="preserve">$79,854 over 5 years.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all</w:t>
            </w:r>
          </w:p>
        </w:tc>
        <w:tc>
          <w:tcPr>
            <w:tcMar>
              <w:top w:type="dxa" w:w="40"/>
              <w:left w:type="dxa" w:w="100"/>
              <w:bottom w:type="dxa" w:w="40"/>
              <w:right w:type="dxa" w:w="100"/>
            </w:tcMar>
          </w:tcPr>
          <w:p>
            <w:r>
              <w:rPr>
                <w:sz w:val="17"/>
                <w:szCs w:val="17"/>
              </w:rPr>
              <w:t xml:space="preserve">Prohibited, not merely discouraged.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years</w:t>
            </w:r>
          </w:p>
        </w:tc>
        <w:tc>
          <w:tcPr>
            <w:tcMar>
              <w:top w:type="dxa" w:w="40"/>
              <w:left w:type="dxa" w:w="100"/>
              <w:bottom w:type="dxa" w:w="40"/>
              <w:right w:type="dxa" w:w="100"/>
            </w:tcMar>
          </w:tcPr>
          <w:p>
            <w:r>
              <w:rPr>
                <w:sz w:val="17"/>
                <w:szCs w:val="17"/>
              </w:rPr>
              <w:t xml:space="preserve">The pattern, not the total.</w:t>
            </w:r>
          </w:p>
        </w:tc>
        <w:tc>
          <w:tcPr>
            <w:tcMar>
              <w:top w:type="dxa" w:w="40"/>
              <w:left w:type="dxa" w:w="100"/>
              <w:bottom w:type="dxa" w:w="40"/>
              <w:right w:type="dxa" w:w="100"/>
            </w:tcMar>
          </w:tcPr>
          <w:p>
            <w:r>
              <w:rPr>
                <w:color w:val="C0483F"/>
                <w:sz w:val="17"/>
                <w:szCs w:val="17"/>
              </w:rPr>
              <w:t xml:space="preserve">Students expect the two methods to differ in total. They differ only in timing, and the exam asks about that.</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effective rate times the opening carrying amount</w:t>
            </w:r>
          </w:p>
        </w:tc>
        <w:tc>
          <w:tcPr>
            <w:tcMar>
              <w:top w:type="dxa" w:w="40"/>
              <w:left w:type="dxa" w:w="100"/>
              <w:bottom w:type="dxa" w:w="40"/>
              <w:right w:type="dxa" w:w="100"/>
            </w:tcMar>
          </w:tcPr>
          <w:p>
            <w:r>
              <w:rPr>
                <w:sz w:val="17"/>
                <w:szCs w:val="17"/>
              </w:rPr>
              <w:t xml:space="preserve">The rate the borrowing really costs, applied to what is really owed. (A) is the cash coupon, which is the figure the question usually offers first.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Greater than the cash coupon</w:t>
            </w:r>
          </w:p>
        </w:tc>
        <w:tc>
          <w:tcPr>
            <w:tcMar>
              <w:top w:type="dxa" w:w="40"/>
              <w:left w:type="dxa" w:w="100"/>
              <w:bottom w:type="dxa" w:w="40"/>
              <w:right w:type="dxa" w:w="100"/>
            </w:tcMar>
          </w:tcPr>
          <w:p>
            <w:r>
              <w:rPr>
                <w:sz w:val="17"/>
                <w:szCs w:val="17"/>
              </w:rPr>
              <w:t xml:space="preserve">The company borrowed less than it will repay, so the cost exceeds the cash. (C) is true of a premium bond, and the pair is the distinction being tested.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Increases the carrying amount</w:t>
            </w:r>
          </w:p>
        </w:tc>
        <w:tc>
          <w:tcPr>
            <w:tcMar>
              <w:top w:type="dxa" w:w="40"/>
              <w:left w:type="dxa" w:w="100"/>
              <w:bottom w:type="dxa" w:w="40"/>
              <w:right w:type="dxa" w:w="100"/>
            </w:tcMar>
          </w:tcPr>
          <w:p>
            <w:r>
              <w:rPr>
                <w:sz w:val="17"/>
                <w:szCs w:val="17"/>
              </w:rPr>
              <w:t xml:space="preserve">The unpaid part of the cost is added to the liability, which climbs toward par. (D) is the misreading the word amortisation invites: no cash moves on that line at all.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$73,612</w:t>
            </w:r>
          </w:p>
        </w:tc>
        <w:tc>
          <w:tcPr>
            <w:tcMar>
              <w:top w:type="dxa" w:w="40"/>
              <w:left w:type="dxa" w:w="100"/>
              <w:bottom w:type="dxa" w:w="40"/>
              <w:right w:type="dxa" w:w="100"/>
            </w:tcMar>
          </w:tcPr>
          <w:p>
            <w:r>
              <w:rPr>
                <w:sz w:val="17"/>
                <w:szCs w:val="17"/>
              </w:rPr>
              <w:t xml:space="preserve">8% of $920,146 is $73,612. (C) applies the effective rate to the face value, which is the one combination the method never uses.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The same</w:t>
            </w:r>
          </w:p>
        </w:tc>
        <w:tc>
          <w:tcPr>
            <w:tcMar>
              <w:top w:type="dxa" w:w="40"/>
              <w:left w:type="dxa" w:w="100"/>
              <w:bottom w:type="dxa" w:w="40"/>
              <w:right w:type="dxa" w:w="100"/>
            </w:tcMar>
          </w:tcPr>
          <w:p>
            <w:r>
              <w:rPr>
                <w:sz w:val="17"/>
                <w:szCs w:val="17"/>
              </w:rPr>
              <w:t xml:space="preserve">Both methods charge the coupons plus the whole $79,854 discount; only the pattern differs. (A) is the answer the rising schedule suggests and confuses timing with amount.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Permitted under US GAAP only where the result is not materially different from the effective interest method</w:t>
            </w:r>
          </w:p>
        </w:tc>
        <w:tc>
          <w:tcPr>
            <w:tcMar>
              <w:top w:type="dxa" w:w="40"/>
              <w:left w:type="dxa" w:w="100"/>
              <w:bottom w:type="dxa" w:w="40"/>
              <w:right w:type="dxa" w:w="100"/>
            </w:tcMar>
          </w:tcPr>
          <w:p>
            <w:r>
              <w:rPr>
                <w:sz w:val="17"/>
                <w:szCs w:val="17"/>
              </w:rPr>
              <w:t xml:space="preserve">A materiality accommodation under US GAAP, and not available under IFRS at all. (A) inverts the position, and IFRS requires the effective interest method without exception.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Falls to the face value</w:t>
            </w:r>
          </w:p>
        </w:tc>
        <w:tc>
          <w:tcPr>
            <w:tcMar>
              <w:top w:type="dxa" w:w="40"/>
              <w:left w:type="dxa" w:w="100"/>
              <w:bottom w:type="dxa" w:w="40"/>
              <w:right w:type="dxa" w:w="100"/>
            </w:tcMar>
          </w:tcPr>
          <w:p>
            <w:r>
              <w:rPr>
                <w:sz w:val="17"/>
                <w:szCs w:val="17"/>
              </w:rPr>
              <w:t xml:space="preserve">The coupon exceeds the cost, so the excess reduces the liability until it reaches $1,000,000 at maturity. (D) confuses the carrying amount with the balance after repayment.</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3B · the discount bond schedule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8"/>
        <w:gridCol w:w="20"/>
        <w:gridCol w:w="20"/>
        <w:gridCol w:w="18"/>
        <w:gridCol w:w="16"/>
        <w:gridCol w:w="18"/>
      </w:tblGrid>
      <w:tr>
        <w:tc>
          <w:tcPr>
            <w:shd w:fill="6D3F7E" w:val="clear"/>
            <w:tcMar>
              <w:top w:type="dxa" w:w="60"/>
              <w:left w:type="dxa" w:w="120"/>
              <w:bottom w:type="dxa" w:w="60"/>
              <w:right w:type="dxa" w:w="120"/>
            </w:tcMar>
          </w:tcPr>
          <w:p>
            <w:r>
              <w:rPr>
                <w:b/>
                <w:bCs/>
                <w:color w:val="FFFFFF"/>
                <w:sz w:val="19"/>
                <w:szCs w:val="19"/>
              </w:rPr>
              <w:t xml:space="preserve">Year</w:t>
            </w:r>
          </w:p>
        </w:tc>
        <w:tc>
          <w:tcPr>
            <w:shd w:fill="6D3F7E" w:val="clear"/>
            <w:tcMar>
              <w:top w:type="dxa" w:w="60"/>
              <w:left w:type="dxa" w:w="120"/>
              <w:bottom w:type="dxa" w:w="60"/>
              <w:right w:type="dxa" w:w="120"/>
            </w:tcMar>
          </w:tcPr>
          <w:p>
            <w:r>
              <w:rPr>
                <w:b/>
                <w:bCs/>
                <w:color w:val="FFFFFF"/>
                <w:sz w:val="19"/>
                <w:szCs w:val="19"/>
              </w:rPr>
              <w:t xml:space="preserve">Opening</w:t>
            </w:r>
          </w:p>
        </w:tc>
        <w:tc>
          <w:tcPr>
            <w:shd w:fill="6D3F7E" w:val="clear"/>
            <w:tcMar>
              <w:top w:type="dxa" w:w="60"/>
              <w:left w:type="dxa" w:w="120"/>
              <w:bottom w:type="dxa" w:w="60"/>
              <w:right w:type="dxa" w:w="120"/>
            </w:tcMar>
          </w:tcPr>
          <w:p>
            <w:r>
              <w:rPr>
                <w:b/>
                <w:bCs/>
                <w:color w:val="FFFFFF"/>
                <w:sz w:val="19"/>
                <w:szCs w:val="19"/>
              </w:rPr>
              <w:t xml:space="preserve">Interest at 8%</w:t>
            </w:r>
          </w:p>
        </w:tc>
        <w:tc>
          <w:tcPr>
            <w:shd w:fill="6D3F7E" w:val="clear"/>
            <w:tcMar>
              <w:top w:type="dxa" w:w="60"/>
              <w:left w:type="dxa" w:w="120"/>
              <w:bottom w:type="dxa" w:w="60"/>
              <w:right w:type="dxa" w:w="120"/>
            </w:tcMar>
          </w:tcPr>
          <w:p>
            <w:r>
              <w:rPr>
                <w:b/>
                <w:bCs/>
                <w:color w:val="FFFFFF"/>
                <w:sz w:val="19"/>
                <w:szCs w:val="19"/>
              </w:rPr>
              <w:t xml:space="preserve">Coupon paid</w:t>
            </w:r>
          </w:p>
        </w:tc>
        <w:tc>
          <w:tcPr>
            <w:shd w:fill="6D3F7E" w:val="clear"/>
            <w:tcMar>
              <w:top w:type="dxa" w:w="60"/>
              <w:left w:type="dxa" w:w="120"/>
              <w:bottom w:type="dxa" w:w="60"/>
              <w:right w:type="dxa" w:w="120"/>
            </w:tcMar>
          </w:tcPr>
          <w:p>
            <w:r>
              <w:rPr>
                <w:b/>
                <w:bCs/>
                <w:color w:val="FFFFFF"/>
                <w:sz w:val="19"/>
                <w:szCs w:val="19"/>
              </w:rPr>
              <w:t xml:space="preserve">Amortised</w:t>
            </w:r>
          </w:p>
        </w:tc>
        <w:tc>
          <w:tcPr>
            <w:shd w:fill="6D3F7E" w:val="clear"/>
            <w:tcMar>
              <w:top w:type="dxa" w:w="60"/>
              <w:left w:type="dxa" w:w="120"/>
              <w:bottom w:type="dxa" w:w="60"/>
              <w:right w:type="dxa" w:w="120"/>
            </w:tcMar>
          </w:tcPr>
          <w:p>
            <w:r>
              <w:rPr>
                <w:b/>
                <w:bCs/>
                <w:color w:val="FFFFFF"/>
                <w:sz w:val="19"/>
                <w:szCs w:val="19"/>
              </w:rPr>
              <w:t xml:space="preserve">Closing</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$920,146</w:t>
            </w:r>
          </w:p>
        </w:tc>
        <w:tc>
          <w:tcPr>
            <w:tcMar>
              <w:top w:type="dxa" w:w="60"/>
              <w:left w:type="dxa" w:w="120"/>
              <w:bottom w:type="dxa" w:w="60"/>
              <w:right w:type="dxa" w:w="120"/>
            </w:tcMar>
          </w:tcPr>
          <w:p>
            <w:r>
              <w:rPr>
                <w:sz w:val="19"/>
                <w:szCs w:val="19"/>
              </w:rPr>
              <w:t xml:space="preserve">$73,612</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$13,612</w:t>
            </w:r>
          </w:p>
        </w:tc>
        <w:tc>
          <w:tcPr>
            <w:tcMar>
              <w:top w:type="dxa" w:w="60"/>
              <w:left w:type="dxa" w:w="120"/>
              <w:bottom w:type="dxa" w:w="60"/>
              <w:right w:type="dxa" w:w="120"/>
            </w:tcMar>
          </w:tcPr>
          <w:p>
            <w:r>
              <w:rPr>
                <w:sz w:val="19"/>
                <w:szCs w:val="19"/>
              </w:rPr>
              <w:t xml:space="preserve">$933,758</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$933,758</w:t>
            </w:r>
          </w:p>
        </w:tc>
        <w:tc>
          <w:tcPr>
            <w:tcMar>
              <w:top w:type="dxa" w:w="60"/>
              <w:left w:type="dxa" w:w="120"/>
              <w:bottom w:type="dxa" w:w="60"/>
              <w:right w:type="dxa" w:w="120"/>
            </w:tcMar>
          </w:tcPr>
          <w:p>
            <w:r>
              <w:rPr>
                <w:sz w:val="19"/>
                <w:szCs w:val="19"/>
              </w:rPr>
              <w:t xml:space="preserve">$74,701</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$14,701</w:t>
            </w:r>
          </w:p>
        </w:tc>
        <w:tc>
          <w:tcPr>
            <w:tcMar>
              <w:top w:type="dxa" w:w="60"/>
              <w:left w:type="dxa" w:w="120"/>
              <w:bottom w:type="dxa" w:w="60"/>
              <w:right w:type="dxa" w:w="120"/>
            </w:tcMar>
          </w:tcPr>
          <w:p>
            <w:r>
              <w:rPr>
                <w:sz w:val="19"/>
                <w:szCs w:val="19"/>
              </w:rPr>
              <w:t xml:space="preserve">$948,459</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$948,459</w:t>
            </w:r>
          </w:p>
        </w:tc>
        <w:tc>
          <w:tcPr>
            <w:tcMar>
              <w:top w:type="dxa" w:w="60"/>
              <w:left w:type="dxa" w:w="120"/>
              <w:bottom w:type="dxa" w:w="60"/>
              <w:right w:type="dxa" w:w="120"/>
            </w:tcMar>
          </w:tcPr>
          <w:p>
            <w:r>
              <w:rPr>
                <w:sz w:val="19"/>
                <w:szCs w:val="19"/>
              </w:rPr>
              <w:t xml:space="preserve">$75,877</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$15,877</w:t>
            </w:r>
          </w:p>
        </w:tc>
        <w:tc>
          <w:tcPr>
            <w:tcMar>
              <w:top w:type="dxa" w:w="60"/>
              <w:left w:type="dxa" w:w="120"/>
              <w:bottom w:type="dxa" w:w="60"/>
              <w:right w:type="dxa" w:w="120"/>
            </w:tcMar>
          </w:tcPr>
          <w:p>
            <w:r>
              <w:rPr>
                <w:sz w:val="19"/>
                <w:szCs w:val="19"/>
              </w:rPr>
              <w:t xml:space="preserve">$964,336</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$964,336</w:t>
            </w:r>
          </w:p>
        </w:tc>
        <w:tc>
          <w:tcPr>
            <w:tcMar>
              <w:top w:type="dxa" w:w="60"/>
              <w:left w:type="dxa" w:w="120"/>
              <w:bottom w:type="dxa" w:w="60"/>
              <w:right w:type="dxa" w:w="120"/>
            </w:tcMar>
          </w:tcPr>
          <w:p>
            <w:r>
              <w:rPr>
                <w:sz w:val="19"/>
                <w:szCs w:val="19"/>
              </w:rPr>
              <w:t xml:space="preserve">$77,147</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$17,147</w:t>
            </w:r>
          </w:p>
        </w:tc>
        <w:tc>
          <w:tcPr>
            <w:tcMar>
              <w:top w:type="dxa" w:w="60"/>
              <w:left w:type="dxa" w:w="120"/>
              <w:bottom w:type="dxa" w:w="60"/>
              <w:right w:type="dxa" w:w="120"/>
            </w:tcMar>
          </w:tcPr>
          <w:p>
            <w:r>
              <w:rPr>
                <w:sz w:val="19"/>
                <w:szCs w:val="19"/>
              </w:rPr>
              <w:t xml:space="preserve">$981,483</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$981,483</w:t>
            </w:r>
          </w:p>
        </w:tc>
        <w:tc>
          <w:tcPr>
            <w:tcMar>
              <w:top w:type="dxa" w:w="60"/>
              <w:left w:type="dxa" w:w="120"/>
              <w:bottom w:type="dxa" w:w="60"/>
              <w:right w:type="dxa" w:w="120"/>
            </w:tcMar>
          </w:tcPr>
          <w:p>
            <w:r>
              <w:rPr>
                <w:sz w:val="19"/>
                <w:szCs w:val="19"/>
              </w:rPr>
              <w:t xml:space="preserve">$78,517</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$18,517</w:t>
            </w:r>
          </w:p>
        </w:tc>
        <w:tc>
          <w:tcPr>
            <w:tcMar>
              <w:top w:type="dxa" w:w="60"/>
              <w:left w:type="dxa" w:w="120"/>
              <w:bottom w:type="dxa" w:w="60"/>
              <w:right w:type="dxa" w:w="120"/>
            </w:tcMar>
          </w:tcPr>
          <w:p>
            <w:r>
              <w:rPr>
                <w:sz w:val="19"/>
                <w:szCs w:val="19"/>
              </w:rPr>
              <w:t xml:space="preserve">$1,000,000</w:t>
            </w:r>
          </w:p>
        </w:tc>
      </w:tr>
    </w:tbl>
    <w:p/>
    <w:p>
      <w:pPr>
        <w:spacing w:after="40" w:before="130"/>
      </w:pPr>
      <w:r>
        <w:rPr>
          <w:b/>
          <w:bCs/>
          <w:color w:val="23265A"/>
          <w:sz w:val="24"/>
          <w:szCs w:val="24"/>
        </w:rPr>
        <w:t xml:space="preserve">Exercise 3C · the premium bond schedule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8"/>
        <w:gridCol w:w="20"/>
        <w:gridCol w:w="20"/>
        <w:gridCol w:w="18"/>
        <w:gridCol w:w="16"/>
        <w:gridCol w:w="18"/>
      </w:tblGrid>
      <w:tr>
        <w:tc>
          <w:tcPr>
            <w:shd w:fill="1F6F8F" w:val="clear"/>
            <w:tcMar>
              <w:top w:type="dxa" w:w="60"/>
              <w:left w:type="dxa" w:w="120"/>
              <w:bottom w:type="dxa" w:w="60"/>
              <w:right w:type="dxa" w:w="120"/>
            </w:tcMar>
          </w:tcPr>
          <w:p>
            <w:r>
              <w:rPr>
                <w:b/>
                <w:bCs/>
                <w:color w:val="FFFFFF"/>
                <w:sz w:val="19"/>
                <w:szCs w:val="19"/>
              </w:rPr>
              <w:t xml:space="preserve">Year</w:t>
            </w:r>
          </w:p>
        </w:tc>
        <w:tc>
          <w:tcPr>
            <w:shd w:fill="1F6F8F" w:val="clear"/>
            <w:tcMar>
              <w:top w:type="dxa" w:w="60"/>
              <w:left w:type="dxa" w:w="120"/>
              <w:bottom w:type="dxa" w:w="60"/>
              <w:right w:type="dxa" w:w="120"/>
            </w:tcMar>
          </w:tcPr>
          <w:p>
            <w:r>
              <w:rPr>
                <w:b/>
                <w:bCs/>
                <w:color w:val="FFFFFF"/>
                <w:sz w:val="19"/>
                <w:szCs w:val="19"/>
              </w:rPr>
              <w:t xml:space="preserve">Opening</w:t>
            </w:r>
          </w:p>
        </w:tc>
        <w:tc>
          <w:tcPr>
            <w:shd w:fill="1F6F8F" w:val="clear"/>
            <w:tcMar>
              <w:top w:type="dxa" w:w="60"/>
              <w:left w:type="dxa" w:w="120"/>
              <w:bottom w:type="dxa" w:w="60"/>
              <w:right w:type="dxa" w:w="120"/>
            </w:tcMar>
          </w:tcPr>
          <w:p>
            <w:r>
              <w:rPr>
                <w:b/>
                <w:bCs/>
                <w:color w:val="FFFFFF"/>
                <w:sz w:val="19"/>
                <w:szCs w:val="19"/>
              </w:rPr>
              <w:t xml:space="preserve">Interest at 8%</w:t>
            </w:r>
          </w:p>
        </w:tc>
        <w:tc>
          <w:tcPr>
            <w:shd w:fill="1F6F8F" w:val="clear"/>
            <w:tcMar>
              <w:top w:type="dxa" w:w="60"/>
              <w:left w:type="dxa" w:w="120"/>
              <w:bottom w:type="dxa" w:w="60"/>
              <w:right w:type="dxa" w:w="120"/>
            </w:tcMar>
          </w:tcPr>
          <w:p>
            <w:r>
              <w:rPr>
                <w:b/>
                <w:bCs/>
                <w:color w:val="FFFFFF"/>
                <w:sz w:val="19"/>
                <w:szCs w:val="19"/>
              </w:rPr>
              <w:t xml:space="preserve">Coupon paid</w:t>
            </w:r>
          </w:p>
        </w:tc>
        <w:tc>
          <w:tcPr>
            <w:shd w:fill="1F6F8F" w:val="clear"/>
            <w:tcMar>
              <w:top w:type="dxa" w:w="60"/>
              <w:left w:type="dxa" w:w="120"/>
              <w:bottom w:type="dxa" w:w="60"/>
              <w:right w:type="dxa" w:w="120"/>
            </w:tcMar>
          </w:tcPr>
          <w:p>
            <w:r>
              <w:rPr>
                <w:b/>
                <w:bCs/>
                <w:color w:val="FFFFFF"/>
                <w:sz w:val="19"/>
                <w:szCs w:val="19"/>
              </w:rPr>
              <w:t xml:space="preserve">Amortised</w:t>
            </w:r>
          </w:p>
        </w:tc>
        <w:tc>
          <w:tcPr>
            <w:shd w:fill="1F6F8F" w:val="clear"/>
            <w:tcMar>
              <w:top w:type="dxa" w:w="60"/>
              <w:left w:type="dxa" w:w="120"/>
              <w:bottom w:type="dxa" w:w="60"/>
              <w:right w:type="dxa" w:w="120"/>
            </w:tcMar>
          </w:tcPr>
          <w:p>
            <w:r>
              <w:rPr>
                <w:b/>
                <w:bCs/>
                <w:color w:val="FFFFFF"/>
                <w:sz w:val="19"/>
                <w:szCs w:val="19"/>
              </w:rPr>
              <w:t xml:space="preserve">Closing</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$1,079,854</w:t>
            </w:r>
          </w:p>
        </w:tc>
        <w:tc>
          <w:tcPr>
            <w:tcMar>
              <w:top w:type="dxa" w:w="60"/>
              <w:left w:type="dxa" w:w="120"/>
              <w:bottom w:type="dxa" w:w="60"/>
              <w:right w:type="dxa" w:w="120"/>
            </w:tcMar>
          </w:tcPr>
          <w:p>
            <w:r>
              <w:rPr>
                <w:sz w:val="19"/>
                <w:szCs w:val="19"/>
              </w:rPr>
              <w:t xml:space="preserve">$86,388</w:t>
            </w:r>
          </w:p>
        </w:tc>
        <w:tc>
          <w:tcPr>
            <w:tcMar>
              <w:top w:type="dxa" w:w="60"/>
              <w:left w:type="dxa" w:w="120"/>
              <w:bottom w:type="dxa" w:w="60"/>
              <w:right w:type="dxa" w:w="120"/>
            </w:tcMar>
          </w:tcPr>
          <w:p>
            <w:r>
              <w:rPr>
                <w:sz w:val="19"/>
                <w:szCs w:val="19"/>
              </w:rPr>
              <w:t xml:space="preserve">$100,000</w:t>
            </w:r>
          </w:p>
        </w:tc>
        <w:tc>
          <w:tcPr>
            <w:tcMar>
              <w:top w:type="dxa" w:w="60"/>
              <w:left w:type="dxa" w:w="120"/>
              <w:bottom w:type="dxa" w:w="60"/>
              <w:right w:type="dxa" w:w="120"/>
            </w:tcMar>
          </w:tcPr>
          <w:p>
            <w:r>
              <w:rPr>
                <w:sz w:val="19"/>
                <w:szCs w:val="19"/>
              </w:rPr>
              <w:t xml:space="preserve">($13,612)</w:t>
            </w:r>
          </w:p>
        </w:tc>
        <w:tc>
          <w:tcPr>
            <w:tcMar>
              <w:top w:type="dxa" w:w="60"/>
              <w:left w:type="dxa" w:w="120"/>
              <w:bottom w:type="dxa" w:w="60"/>
              <w:right w:type="dxa" w:w="120"/>
            </w:tcMar>
          </w:tcPr>
          <w:p>
            <w:r>
              <w:rPr>
                <w:sz w:val="19"/>
                <w:szCs w:val="19"/>
              </w:rPr>
              <w:t xml:space="preserve">$1,066,242</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$1,066,242</w:t>
            </w:r>
          </w:p>
        </w:tc>
        <w:tc>
          <w:tcPr>
            <w:tcMar>
              <w:top w:type="dxa" w:w="60"/>
              <w:left w:type="dxa" w:w="120"/>
              <w:bottom w:type="dxa" w:w="60"/>
              <w:right w:type="dxa" w:w="120"/>
            </w:tcMar>
          </w:tcPr>
          <w:p>
            <w:r>
              <w:rPr>
                <w:sz w:val="19"/>
                <w:szCs w:val="19"/>
              </w:rPr>
              <w:t xml:space="preserve">$85,299</w:t>
            </w:r>
          </w:p>
        </w:tc>
        <w:tc>
          <w:tcPr>
            <w:tcMar>
              <w:top w:type="dxa" w:w="60"/>
              <w:left w:type="dxa" w:w="120"/>
              <w:bottom w:type="dxa" w:w="60"/>
              <w:right w:type="dxa" w:w="120"/>
            </w:tcMar>
          </w:tcPr>
          <w:p>
            <w:r>
              <w:rPr>
                <w:sz w:val="19"/>
                <w:szCs w:val="19"/>
              </w:rPr>
              <w:t xml:space="preserve">$100,000</w:t>
            </w:r>
          </w:p>
        </w:tc>
        <w:tc>
          <w:tcPr>
            <w:tcMar>
              <w:top w:type="dxa" w:w="60"/>
              <w:left w:type="dxa" w:w="120"/>
              <w:bottom w:type="dxa" w:w="60"/>
              <w:right w:type="dxa" w:w="120"/>
            </w:tcMar>
          </w:tcPr>
          <w:p>
            <w:r>
              <w:rPr>
                <w:sz w:val="19"/>
                <w:szCs w:val="19"/>
              </w:rPr>
              <w:t xml:space="preserve">($14,701)</w:t>
            </w:r>
          </w:p>
        </w:tc>
        <w:tc>
          <w:tcPr>
            <w:tcMar>
              <w:top w:type="dxa" w:w="60"/>
              <w:left w:type="dxa" w:w="120"/>
              <w:bottom w:type="dxa" w:w="60"/>
              <w:right w:type="dxa" w:w="120"/>
            </w:tcMar>
          </w:tcPr>
          <w:p>
            <w:r>
              <w:rPr>
                <w:sz w:val="19"/>
                <w:szCs w:val="19"/>
              </w:rPr>
              <w:t xml:space="preserve">$1,051,541</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$1,051,541</w:t>
            </w:r>
          </w:p>
        </w:tc>
        <w:tc>
          <w:tcPr>
            <w:tcMar>
              <w:top w:type="dxa" w:w="60"/>
              <w:left w:type="dxa" w:w="120"/>
              <w:bottom w:type="dxa" w:w="60"/>
              <w:right w:type="dxa" w:w="120"/>
            </w:tcMar>
          </w:tcPr>
          <w:p>
            <w:r>
              <w:rPr>
                <w:sz w:val="19"/>
                <w:szCs w:val="19"/>
              </w:rPr>
              <w:t xml:space="preserve">$84,123</w:t>
            </w:r>
          </w:p>
        </w:tc>
        <w:tc>
          <w:tcPr>
            <w:tcMar>
              <w:top w:type="dxa" w:w="60"/>
              <w:left w:type="dxa" w:w="120"/>
              <w:bottom w:type="dxa" w:w="60"/>
              <w:right w:type="dxa" w:w="120"/>
            </w:tcMar>
          </w:tcPr>
          <w:p>
            <w:r>
              <w:rPr>
                <w:sz w:val="19"/>
                <w:szCs w:val="19"/>
              </w:rPr>
              <w:t xml:space="preserve">$100,000</w:t>
            </w:r>
          </w:p>
        </w:tc>
        <w:tc>
          <w:tcPr>
            <w:tcMar>
              <w:top w:type="dxa" w:w="60"/>
              <w:left w:type="dxa" w:w="120"/>
              <w:bottom w:type="dxa" w:w="60"/>
              <w:right w:type="dxa" w:w="120"/>
            </w:tcMar>
          </w:tcPr>
          <w:p>
            <w:r>
              <w:rPr>
                <w:sz w:val="19"/>
                <w:szCs w:val="19"/>
              </w:rPr>
              <w:t xml:space="preserve">($15,877)</w:t>
            </w:r>
          </w:p>
        </w:tc>
        <w:tc>
          <w:tcPr>
            <w:tcMar>
              <w:top w:type="dxa" w:w="60"/>
              <w:left w:type="dxa" w:w="120"/>
              <w:bottom w:type="dxa" w:w="60"/>
              <w:right w:type="dxa" w:w="120"/>
            </w:tcMar>
          </w:tcPr>
          <w:p>
            <w:r>
              <w:rPr>
                <w:sz w:val="19"/>
                <w:szCs w:val="19"/>
              </w:rPr>
              <w:t xml:space="preserve">$1,035,664</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$1,035,664</w:t>
            </w:r>
          </w:p>
        </w:tc>
        <w:tc>
          <w:tcPr>
            <w:tcMar>
              <w:top w:type="dxa" w:w="60"/>
              <w:left w:type="dxa" w:w="120"/>
              <w:bottom w:type="dxa" w:w="60"/>
              <w:right w:type="dxa" w:w="120"/>
            </w:tcMar>
          </w:tcPr>
          <w:p>
            <w:r>
              <w:rPr>
                <w:sz w:val="19"/>
                <w:szCs w:val="19"/>
              </w:rPr>
              <w:t xml:space="preserve">$82,853</w:t>
            </w:r>
          </w:p>
        </w:tc>
        <w:tc>
          <w:tcPr>
            <w:tcMar>
              <w:top w:type="dxa" w:w="60"/>
              <w:left w:type="dxa" w:w="120"/>
              <w:bottom w:type="dxa" w:w="60"/>
              <w:right w:type="dxa" w:w="120"/>
            </w:tcMar>
          </w:tcPr>
          <w:p>
            <w:r>
              <w:rPr>
                <w:sz w:val="19"/>
                <w:szCs w:val="19"/>
              </w:rPr>
              <w:t xml:space="preserve">$100,000</w:t>
            </w:r>
          </w:p>
        </w:tc>
        <w:tc>
          <w:tcPr>
            <w:tcMar>
              <w:top w:type="dxa" w:w="60"/>
              <w:left w:type="dxa" w:w="120"/>
              <w:bottom w:type="dxa" w:w="60"/>
              <w:right w:type="dxa" w:w="120"/>
            </w:tcMar>
          </w:tcPr>
          <w:p>
            <w:r>
              <w:rPr>
                <w:sz w:val="19"/>
                <w:szCs w:val="19"/>
              </w:rPr>
              <w:t xml:space="preserve">($17,147)</w:t>
            </w:r>
          </w:p>
        </w:tc>
        <w:tc>
          <w:tcPr>
            <w:tcMar>
              <w:top w:type="dxa" w:w="60"/>
              <w:left w:type="dxa" w:w="120"/>
              <w:bottom w:type="dxa" w:w="60"/>
              <w:right w:type="dxa" w:w="120"/>
            </w:tcMar>
          </w:tcPr>
          <w:p>
            <w:r>
              <w:rPr>
                <w:sz w:val="19"/>
                <w:szCs w:val="19"/>
              </w:rPr>
              <w:t xml:space="preserve">$1,018,517</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$1,018,517</w:t>
            </w:r>
          </w:p>
        </w:tc>
        <w:tc>
          <w:tcPr>
            <w:tcMar>
              <w:top w:type="dxa" w:w="60"/>
              <w:left w:type="dxa" w:w="120"/>
              <w:bottom w:type="dxa" w:w="60"/>
              <w:right w:type="dxa" w:w="120"/>
            </w:tcMar>
          </w:tcPr>
          <w:p>
            <w:r>
              <w:rPr>
                <w:sz w:val="19"/>
                <w:szCs w:val="19"/>
              </w:rPr>
              <w:t xml:space="preserve">$81,483</w:t>
            </w:r>
          </w:p>
        </w:tc>
        <w:tc>
          <w:tcPr>
            <w:tcMar>
              <w:top w:type="dxa" w:w="60"/>
              <w:left w:type="dxa" w:w="120"/>
              <w:bottom w:type="dxa" w:w="60"/>
              <w:right w:type="dxa" w:w="120"/>
            </w:tcMar>
          </w:tcPr>
          <w:p>
            <w:r>
              <w:rPr>
                <w:sz w:val="19"/>
                <w:szCs w:val="19"/>
              </w:rPr>
              <w:t xml:space="preserve">$100,000</w:t>
            </w:r>
          </w:p>
        </w:tc>
        <w:tc>
          <w:tcPr>
            <w:tcMar>
              <w:top w:type="dxa" w:w="60"/>
              <w:left w:type="dxa" w:w="120"/>
              <w:bottom w:type="dxa" w:w="60"/>
              <w:right w:type="dxa" w:w="120"/>
            </w:tcMar>
          </w:tcPr>
          <w:p>
            <w:r>
              <w:rPr>
                <w:sz w:val="19"/>
                <w:szCs w:val="19"/>
              </w:rPr>
              <w:t xml:space="preserve">($18,517)</w:t>
            </w:r>
          </w:p>
        </w:tc>
        <w:tc>
          <w:tcPr>
            <w:tcMar>
              <w:top w:type="dxa" w:w="60"/>
              <w:left w:type="dxa" w:w="120"/>
              <w:bottom w:type="dxa" w:w="60"/>
              <w:right w:type="dxa" w:w="120"/>
            </w:tcMar>
          </w:tcPr>
          <w:p>
            <w:r>
              <w:rPr>
                <w:sz w:val="19"/>
                <w:szCs w:val="19"/>
              </w:rPr>
              <w:t xml:space="preserve">$1,000,000</w:t>
            </w:r>
          </w:p>
        </w:tc>
      </w:tr>
    </w:tbl>
    <w:p/>
    <w:p>
      <w:pPr>
        <w:spacing w:after="40" w:before="130"/>
      </w:pPr>
      <w:r>
        <w:rPr>
          <w:b/>
          <w:bCs/>
          <w:color w:val="23265A"/>
          <w:sz w:val="24"/>
          <w:szCs w:val="24"/>
        </w:rPr>
        <w:t xml:space="preserve">Exercise 3D · the two methods compared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35"/>
        <w:gridCol w:w="35"/>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Effective interest method</w:t>
            </w:r>
          </w:p>
        </w:tc>
        <w:tc>
          <w:tcPr>
            <w:shd w:fill="44506B" w:val="clear"/>
            <w:tcMar>
              <w:top w:type="dxa" w:w="60"/>
              <w:left w:type="dxa" w:w="120"/>
              <w:bottom w:type="dxa" w:w="60"/>
              <w:right w:type="dxa" w:w="120"/>
            </w:tcMar>
          </w:tcPr>
          <w:p>
            <w:r>
              <w:rPr>
                <w:b/>
                <w:bCs/>
                <w:color w:val="FFFFFF"/>
                <w:sz w:val="19"/>
                <w:szCs w:val="19"/>
              </w:rPr>
              <w:t xml:space="preserve">Straight-line</w:t>
            </w:r>
          </w:p>
        </w:tc>
      </w:tr>
      <w:tr>
        <w:tc>
          <w:tcPr>
            <w:tcMar>
              <w:top w:type="dxa" w:w="60"/>
              <w:left w:type="dxa" w:w="120"/>
              <w:bottom w:type="dxa" w:w="60"/>
              <w:right w:type="dxa" w:w="120"/>
            </w:tcMar>
          </w:tcPr>
          <w:p>
            <w:r>
              <w:rPr>
                <w:sz w:val="19"/>
                <w:szCs w:val="19"/>
              </w:rPr>
              <w:t xml:space="preserve">Year 1 amortisation</w:t>
            </w:r>
          </w:p>
        </w:tc>
        <w:tc>
          <w:tcPr>
            <w:tcMar>
              <w:top w:type="dxa" w:w="60"/>
              <w:left w:type="dxa" w:w="120"/>
              <w:bottom w:type="dxa" w:w="60"/>
              <w:right w:type="dxa" w:w="120"/>
            </w:tcMar>
          </w:tcPr>
          <w:p>
            <w:r>
              <w:rPr>
                <w:sz w:val="19"/>
                <w:szCs w:val="19"/>
              </w:rPr>
              <w:t xml:space="preserve">$13,612</w:t>
            </w:r>
          </w:p>
        </w:tc>
        <w:tc>
          <w:tcPr>
            <w:tcMar>
              <w:top w:type="dxa" w:w="60"/>
              <w:left w:type="dxa" w:w="120"/>
              <w:bottom w:type="dxa" w:w="60"/>
              <w:right w:type="dxa" w:w="120"/>
            </w:tcMar>
          </w:tcPr>
          <w:p>
            <w:r>
              <w:rPr>
                <w:sz w:val="19"/>
                <w:szCs w:val="19"/>
              </w:rPr>
              <w:t xml:space="preserve">$15,971</w:t>
            </w:r>
          </w:p>
        </w:tc>
      </w:tr>
      <w:tr>
        <w:tc>
          <w:tcPr>
            <w:tcMar>
              <w:top w:type="dxa" w:w="60"/>
              <w:left w:type="dxa" w:w="120"/>
              <w:bottom w:type="dxa" w:w="60"/>
              <w:right w:type="dxa" w:w="120"/>
            </w:tcMar>
          </w:tcPr>
          <w:p>
            <w:r>
              <w:rPr>
                <w:sz w:val="19"/>
                <w:szCs w:val="19"/>
              </w:rPr>
              <w:t xml:space="preserve">Year 5 amortisation</w:t>
            </w:r>
          </w:p>
        </w:tc>
        <w:tc>
          <w:tcPr>
            <w:tcMar>
              <w:top w:type="dxa" w:w="60"/>
              <w:left w:type="dxa" w:w="120"/>
              <w:bottom w:type="dxa" w:w="60"/>
              <w:right w:type="dxa" w:w="120"/>
            </w:tcMar>
          </w:tcPr>
          <w:p>
            <w:r>
              <w:rPr>
                <w:sz w:val="19"/>
                <w:szCs w:val="19"/>
              </w:rPr>
              <w:t xml:space="preserve">$18,517</w:t>
            </w:r>
          </w:p>
        </w:tc>
        <w:tc>
          <w:tcPr>
            <w:tcMar>
              <w:top w:type="dxa" w:w="60"/>
              <w:left w:type="dxa" w:w="120"/>
              <w:bottom w:type="dxa" w:w="60"/>
              <w:right w:type="dxa" w:w="120"/>
            </w:tcMar>
          </w:tcPr>
          <w:p>
            <w:r>
              <w:rPr>
                <w:sz w:val="19"/>
                <w:szCs w:val="19"/>
              </w:rPr>
              <w:t xml:space="preserve">$15,971</w:t>
            </w:r>
          </w:p>
        </w:tc>
      </w:tr>
      <w:tr>
        <w:tc>
          <w:tcPr>
            <w:tcMar>
              <w:top w:type="dxa" w:w="60"/>
              <w:left w:type="dxa" w:w="120"/>
              <w:bottom w:type="dxa" w:w="60"/>
              <w:right w:type="dxa" w:w="120"/>
            </w:tcMar>
          </w:tcPr>
          <w:p>
            <w:r>
              <w:rPr>
                <w:sz w:val="19"/>
                <w:szCs w:val="19"/>
              </w:rPr>
              <w:t xml:space="preserve">Year 1 interest expense</w:t>
            </w:r>
          </w:p>
        </w:tc>
        <w:tc>
          <w:tcPr>
            <w:tcMar>
              <w:top w:type="dxa" w:w="60"/>
              <w:left w:type="dxa" w:w="120"/>
              <w:bottom w:type="dxa" w:w="60"/>
              <w:right w:type="dxa" w:w="120"/>
            </w:tcMar>
          </w:tcPr>
          <w:p>
            <w:r>
              <w:rPr>
                <w:sz w:val="19"/>
                <w:szCs w:val="19"/>
              </w:rPr>
              <w:t xml:space="preserve">$73,612</w:t>
            </w:r>
          </w:p>
        </w:tc>
        <w:tc>
          <w:tcPr>
            <w:tcMar>
              <w:top w:type="dxa" w:w="60"/>
              <w:left w:type="dxa" w:w="120"/>
              <w:bottom w:type="dxa" w:w="60"/>
              <w:right w:type="dxa" w:w="120"/>
            </w:tcMar>
          </w:tcPr>
          <w:p>
            <w:r>
              <w:rPr>
                <w:sz w:val="19"/>
                <w:szCs w:val="19"/>
              </w:rPr>
              <w:t xml:space="preserve">$75,971</w:t>
            </w:r>
          </w:p>
        </w:tc>
      </w:tr>
      <w:tr>
        <w:tc>
          <w:tcPr>
            <w:tcMar>
              <w:top w:type="dxa" w:w="60"/>
              <w:left w:type="dxa" w:w="120"/>
              <w:bottom w:type="dxa" w:w="60"/>
              <w:right w:type="dxa" w:w="120"/>
            </w:tcMar>
          </w:tcPr>
          <w:p>
            <w:r>
              <w:rPr>
                <w:sz w:val="19"/>
                <w:szCs w:val="19"/>
              </w:rPr>
              <w:t xml:space="preserve">Total over five years</w:t>
            </w:r>
          </w:p>
        </w:tc>
        <w:tc>
          <w:tcPr>
            <w:tcMar>
              <w:top w:type="dxa" w:w="60"/>
              <w:left w:type="dxa" w:w="120"/>
              <w:bottom w:type="dxa" w:w="60"/>
              <w:right w:type="dxa" w:w="120"/>
            </w:tcMar>
          </w:tcPr>
          <w:p>
            <w:r>
              <w:rPr>
                <w:sz w:val="19"/>
                <w:szCs w:val="19"/>
              </w:rPr>
              <w:t xml:space="preserve">$79,854</w:t>
            </w:r>
          </w:p>
        </w:tc>
        <w:tc>
          <w:tcPr>
            <w:tcMar>
              <w:top w:type="dxa" w:w="60"/>
              <w:left w:type="dxa" w:w="120"/>
              <w:bottom w:type="dxa" w:w="60"/>
              <w:right w:type="dxa" w:w="120"/>
            </w:tcMar>
          </w:tcPr>
          <w:p>
            <w:r>
              <w:rPr>
                <w:sz w:val="19"/>
                <w:szCs w:val="19"/>
              </w:rPr>
              <w:t xml:space="preserve">$79,854</w:t>
            </w:r>
          </w:p>
        </w:tc>
      </w:tr>
      <w:tr>
        <w:tc>
          <w:tcPr>
            <w:tcMar>
              <w:top w:type="dxa" w:w="60"/>
              <w:left w:type="dxa" w:w="120"/>
              <w:bottom w:type="dxa" w:w="60"/>
              <w:right w:type="dxa" w:w="120"/>
            </w:tcMar>
          </w:tcPr>
          <w:p>
            <w:r>
              <w:rPr>
                <w:sz w:val="19"/>
                <w:szCs w:val="19"/>
              </w:rPr>
              <w:t xml:space="preserve">Permitted under US GAAP</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Only if not materially different</w:t>
            </w:r>
          </w:p>
        </w:tc>
      </w:tr>
    </w:tbl>
    <w:p/>
    <w:p>
      <w:pPr>
        <w:spacing w:after="40" w:before="130"/>
      </w:pPr>
      <w:r>
        <w:rPr>
          <w:b/>
          <w:bCs/>
          <w:color w:val="23265A"/>
          <w:sz w:val="24"/>
          <w:szCs w:val="24"/>
        </w:rPr>
        <w:t xml:space="preserve">The two interest entries, completed</w:t>
      </w:r>
    </w:p>
    <w:p>
      <w:pPr>
        <w:spacing w:before="140" w:after="60"/>
      </w:pPr>
      <w:r>
        <w:rPr>
          <w:b/>
          <w:bCs/>
          <w:color w:val="353A7C"/>
          <w:sz w:val="19"/>
          <w:szCs w:val="19"/>
        </w:rPr>
        <w:t xml:space="preserve">J1  </w:t>
      </w:r>
      <w:r>
        <w:rPr>
          <w:color w:val="6B7280"/>
          <w:sz w:val="19"/>
          <w:szCs w:val="19"/>
        </w:rPr>
        <w:t xml:space="preserve">Year one interest on the discount bond.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Interest Expense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$73,612</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Discount on 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$13,612</w:t>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$60,000</w:t>
            </w:r>
          </w:p>
        </w:tc>
      </w:tr>
    </w:tbl>
    <w:p>
      <w:pPr>
        <w:spacing w:before="140" w:after="60"/>
      </w:pPr>
      <w:r>
        <w:rPr>
          <w:b/>
          <w:bCs/>
          <w:color w:val="353A7C"/>
          <w:sz w:val="19"/>
          <w:szCs w:val="19"/>
        </w:rPr>
        <w:t xml:space="preserve">J2  </w:t>
      </w:r>
      <w:r>
        <w:rPr>
          <w:color w:val="6B7280"/>
          <w:sz w:val="19"/>
          <w:szCs w:val="19"/>
        </w:rPr>
        <w:t xml:space="preserve">Year one interest on the premium bond.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Interest Expense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$86,388</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Premium on Bonds Payable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$13,612</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$100,000</w:t>
            </w:r>
          </w:p>
        </w:tc>
      </w:tr>
    </w:tbl>
    <w:p/>
    <w:p>
      <w:pPr>
        <w:spacing w:before="40" w:after="110" w:line="300" w:lineRule="auto"/>
      </w:pPr>
      <w:r>
        <w:rPr>
          <w:b/>
          <w:color w:val="2B6CB0"/>
          <w:sz w:val="13"/>
        </w:rPr>
        <w:t xml:space="preserve">R2  </w:t>
      </w:r>
      <w:r>
        <w:rPr>
          <w:sz w:val="21"/>
          <w:szCs w:val="21"/>
        </w:rPr>
        <w:t xml:space="preserve">The two amortisation columns are exact mirrors: $13,612 and ($13,612) in year one, $18,517 and ($18,517) in year five. Both coupons sit the same distance from the 8% market rate, so the schedules differ only in sign.</w:t>
      </w:r>
    </w:p>
    <w:p>
      <w:pPr>
        <w:spacing w:before="40" w:after="110" w:line="300" w:lineRule="auto"/>
      </w:pPr>
      <w:r>
        <w:rPr>
          <w:b/>
          <w:color w:val="2B6CB0"/>
          <w:sz w:val="13"/>
        </w:rPr>
        <w:t xml:space="preserve">R2  </w:t>
      </w:r>
      <w:r>
        <w:rPr>
          <w:sz w:val="21"/>
          <w:szCs w:val="21"/>
        </w:rPr>
        <w:t xml:space="preserve">Both schedules close on $1,000,000 exactly, which is the check worth running before anything else. A schedule that misses par has an arithmetic error in it, and the same test caught a real one in Volume 7’s lease.</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4 · Valuing a Bond, and What Moves Its Price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bank</w:t>
            </w:r>
          </w:p>
        </w:tc>
        <w:tc>
          <w:tcPr>
            <w:tcMar>
              <w:top w:type="dxa" w:w="40"/>
              <w:left w:type="dxa" w:w="100"/>
              <w:bottom w:type="dxa" w:w="40"/>
              <w:right w:type="dxa" w:w="100"/>
            </w:tcMar>
          </w:tcPr>
          <w:p>
            <w:r>
              <w:rPr>
                <w:sz w:val="17"/>
                <w:szCs w:val="17"/>
              </w:rPr>
              <w:t xml:space="preserve">Policy and inflation, mostly.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spread</w:t>
            </w:r>
          </w:p>
        </w:tc>
        <w:tc>
          <w:tcPr>
            <w:tcMar>
              <w:top w:type="dxa" w:w="40"/>
              <w:left w:type="dxa" w:w="100"/>
              <w:bottom w:type="dxa" w:w="40"/>
              <w:right w:type="dxa" w:w="100"/>
            </w:tcMar>
          </w:tcPr>
          <w:p>
            <w:r>
              <w:rPr>
                <w:sz w:val="17"/>
                <w:szCs w:val="17"/>
              </w:rPr>
              <w:t xml:space="preserve">The price of this borrower’s credit.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risky</w:t>
            </w:r>
          </w:p>
        </w:tc>
        <w:tc>
          <w:tcPr>
            <w:tcMar>
              <w:top w:type="dxa" w:w="40"/>
              <w:left w:type="dxa" w:w="100"/>
              <w:bottom w:type="dxa" w:w="40"/>
              <w:right w:type="dxa" w:w="100"/>
            </w:tcMar>
          </w:tcPr>
          <w:p>
            <w:r>
              <w:rPr>
                <w:sz w:val="17"/>
                <w:szCs w:val="17"/>
              </w:rPr>
              <w:t xml:space="preserve">Credit can move when rates do not.</w:t>
            </w:r>
          </w:p>
        </w:tc>
        <w:tc>
          <w:tcPr>
            <w:tcMar>
              <w:top w:type="dxa" w:w="40"/>
              <w:left w:type="dxa" w:w="100"/>
              <w:bottom w:type="dxa" w:w="40"/>
              <w:right w:type="dxa" w:w="100"/>
            </w:tcMar>
          </w:tcPr>
          <w:p>
            <w:r>
              <w:rPr>
                <w:color w:val="C0483F"/>
                <w:sz w:val="17"/>
                <w:szCs w:val="17"/>
              </w:rPr>
              <w:t xml:space="preserve">Students treat a bond price as a pure interest rate story. Half the movement in corporate bonds is credit.</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structure</w:t>
            </w:r>
          </w:p>
        </w:tc>
        <w:tc>
          <w:tcPr>
            <w:tcMar>
              <w:top w:type="dxa" w:w="40"/>
              <w:left w:type="dxa" w:w="100"/>
              <w:bottom w:type="dxa" w:w="40"/>
              <w:right w:type="dxa" w:w="100"/>
            </w:tcMar>
          </w:tcPr>
          <w:p>
            <w:r>
              <w:rPr>
                <w:sz w:val="17"/>
                <w:szCs w:val="17"/>
              </w:rPr>
              <w:t xml:space="preserve">A curve, not a point.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COUPON RATE  2 CURRENT YIELD  3 YIELD TO MATURITY  4 CURRENT YIELD  5 YIELD TO MATURITY  6 COUPON RATE</w:t>
            </w:r>
          </w:p>
        </w:tc>
        <w:tc>
          <w:tcPr>
            <w:tcMar>
              <w:top w:type="dxa" w:w="40"/>
              <w:left w:type="dxa" w:w="100"/>
              <w:bottom w:type="dxa" w:w="40"/>
              <w:right w:type="dxa" w:w="100"/>
            </w:tcMar>
          </w:tcPr>
          <w:p>
            <w:r>
              <w:rPr>
                <w:sz w:val="17"/>
                <w:szCs w:val="17"/>
              </w:rPr>
              <w:t xml:space="preserve">Only the yield to maturity accounts for everything the investor will receive, which is why it is the one the exam means by yield.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issue</w:t>
            </w:r>
          </w:p>
        </w:tc>
        <w:tc>
          <w:tcPr>
            <w:tcMar>
              <w:top w:type="dxa" w:w="40"/>
              <w:left w:type="dxa" w:w="100"/>
              <w:bottom w:type="dxa" w:w="40"/>
              <w:right w:type="dxa" w:w="100"/>
            </w:tcMar>
          </w:tcPr>
          <w:p>
            <w:r>
              <w:rPr>
                <w:sz w:val="17"/>
                <w:szCs w:val="17"/>
              </w:rPr>
              <w:t xml:space="preserve">Fixed then, and not revisited.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liability</w:t>
            </w:r>
          </w:p>
        </w:tc>
        <w:tc>
          <w:tcPr>
            <w:tcMar>
              <w:top w:type="dxa" w:w="40"/>
              <w:left w:type="dxa" w:w="100"/>
              <w:bottom w:type="dxa" w:w="40"/>
              <w:right w:type="dxa" w:w="100"/>
            </w:tcMar>
          </w:tcPr>
          <w:p>
            <w:r>
              <w:rPr>
                <w:sz w:val="17"/>
                <w:szCs w:val="17"/>
              </w:rPr>
              <w:t xml:space="preserve">The contract did not change.</w:t>
            </w:r>
          </w:p>
        </w:tc>
        <w:tc>
          <w:tcPr>
            <w:tcMar>
              <w:top w:type="dxa" w:w="40"/>
              <w:left w:type="dxa" w:w="100"/>
              <w:bottom w:type="dxa" w:w="40"/>
              <w:right w:type="dxa" w:w="100"/>
            </w:tcMar>
          </w:tcPr>
          <w:p>
            <w:r>
              <w:rPr>
                <w:color w:val="C0483F"/>
                <w:sz w:val="17"/>
                <w:szCs w:val="17"/>
              </w:rPr>
              <w:t xml:space="preserve">Students mark the liability to market. A bond payable is carried at amortised cost, not at fair value.</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risk</w:t>
            </w:r>
          </w:p>
        </w:tc>
        <w:tc>
          <w:tcPr>
            <w:tcMar>
              <w:top w:type="dxa" w:w="40"/>
              <w:left w:type="dxa" w:w="100"/>
              <w:bottom w:type="dxa" w:w="40"/>
              <w:right w:type="dxa" w:w="100"/>
            </w:tcMar>
          </w:tcPr>
          <w:p>
            <w:r>
              <w:rPr>
                <w:sz w:val="17"/>
                <w:szCs w:val="17"/>
              </w:rPr>
              <w:t xml:space="preserve">Borne by the holder.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repurchase</w:t>
            </w:r>
          </w:p>
        </w:tc>
        <w:tc>
          <w:tcPr>
            <w:tcMar>
              <w:top w:type="dxa" w:w="40"/>
              <w:left w:type="dxa" w:w="100"/>
              <w:bottom w:type="dxa" w:w="40"/>
              <w:right w:type="dxa" w:w="100"/>
            </w:tcMar>
          </w:tcPr>
          <w:p>
            <w:r>
              <w:rPr>
                <w:sz w:val="17"/>
                <w:szCs w:val="17"/>
              </w:rPr>
              <w:t xml:space="preserve">Buying the debt back realises the difference.</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coupons and the face value, at the market rate</w:t>
            </w:r>
          </w:p>
        </w:tc>
        <w:tc>
          <w:tcPr>
            <w:tcMar>
              <w:top w:type="dxa" w:w="40"/>
              <w:left w:type="dxa" w:w="100"/>
              <w:bottom w:type="dxa" w:w="40"/>
              <w:right w:type="dxa" w:w="100"/>
            </w:tcMar>
          </w:tcPr>
          <w:p>
            <w:r>
              <w:rPr>
                <w:sz w:val="17"/>
                <w:szCs w:val="17"/>
              </w:rPr>
              <w:t xml:space="preserve">Both cash flows, at the rate investors require. (D) discounts at the coupon rate, which would price every bond at par whatever the market was doing.</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Falls</w:t>
            </w:r>
          </w:p>
        </w:tc>
        <w:tc>
          <w:tcPr>
            <w:tcMar>
              <w:top w:type="dxa" w:w="40"/>
              <w:left w:type="dxa" w:w="100"/>
              <w:bottom w:type="dxa" w:w="40"/>
              <w:right w:type="dxa" w:w="100"/>
            </w:tcMar>
          </w:tcPr>
          <w:p>
            <w:r>
              <w:rPr>
                <w:sz w:val="17"/>
                <w:szCs w:val="17"/>
              </w:rPr>
              <w:t xml:space="preserve">The cash flows are fixed, so a higher required return can only come from a lower price. (D) invents a dependence on the issue price that does not exist.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6.52%</w:t>
            </w:r>
          </w:p>
        </w:tc>
        <w:tc>
          <w:tcPr>
            <w:tcMar>
              <w:top w:type="dxa" w:w="40"/>
              <w:left w:type="dxa" w:w="100"/>
              <w:bottom w:type="dxa" w:w="40"/>
              <w:right w:type="dxa" w:w="100"/>
            </w:tcMar>
          </w:tcPr>
          <w:p>
            <w:r>
              <w:rPr>
                <w:sz w:val="17"/>
                <w:szCs w:val="17"/>
              </w:rPr>
              <w:t xml:space="preserve">$60,000 of coupon over the $920,146 price. (C) is the yield to maturity, which is higher because it also counts the $79,854 received at maturity.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How much a bond’s price moves when interest rates change</w:t>
            </w:r>
          </w:p>
        </w:tc>
        <w:tc>
          <w:tcPr>
            <w:tcMar>
              <w:top w:type="dxa" w:w="40"/>
              <w:left w:type="dxa" w:w="100"/>
              <w:bottom w:type="dxa" w:w="40"/>
              <w:right w:type="dxa" w:w="100"/>
            </w:tcMar>
          </w:tcPr>
          <w:p>
            <w:r>
              <w:rPr>
                <w:sz w:val="17"/>
                <w:szCs w:val="17"/>
              </w:rPr>
              <w:t xml:space="preserve">Interest rate sensitivity, quoted in years. (A) is the confusion the unit invites: two bonds maturing on the same day have different durations if their coupons differ.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Higher duration and a larger price movement</w:t>
            </w:r>
          </w:p>
        </w:tc>
        <w:tc>
          <w:tcPr>
            <w:tcMar>
              <w:top w:type="dxa" w:w="40"/>
              <w:left w:type="dxa" w:w="100"/>
              <w:bottom w:type="dxa" w:w="40"/>
              <w:right w:type="dxa" w:w="100"/>
            </w:tcMar>
          </w:tcPr>
          <w:p>
            <w:r>
              <w:rPr>
                <w:sz w:val="17"/>
                <w:szCs w:val="17"/>
              </w:rPr>
              <w:t xml:space="preserve">Later cash flows are discounted over more periods, so they move more: 6.74% against 1.77% for a one-point rise on Northwind’s figures. (D) states the measure and then contradicts what it measures.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widening of the issuer’s credit spread</w:t>
            </w:r>
          </w:p>
        </w:tc>
        <w:tc>
          <w:tcPr>
            <w:tcMar>
              <w:top w:type="dxa" w:w="40"/>
              <w:left w:type="dxa" w:w="100"/>
              <w:bottom w:type="dxa" w:w="40"/>
              <w:right w:type="dxa" w:w="100"/>
            </w:tcMar>
          </w:tcPr>
          <w:p>
            <w:r>
              <w:rPr>
                <w:sz w:val="17"/>
                <w:szCs w:val="17"/>
              </w:rPr>
              <w:t xml:space="preserve">Credit and rates move independently, and corporate bond prices respond to both. (C) is impossible: the coupon is a term of the indenture, and (D) affects the issuer’s books rather than the market.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Continues to follow the schedule built at the issue rate</w:t>
            </w:r>
          </w:p>
        </w:tc>
        <w:tc>
          <w:tcPr>
            <w:tcMar>
              <w:top w:type="dxa" w:w="40"/>
              <w:left w:type="dxa" w:w="100"/>
              <w:bottom w:type="dxa" w:w="40"/>
              <w:right w:type="dxa" w:w="100"/>
            </w:tcMar>
          </w:tcPr>
          <w:p>
            <w:r>
              <w:rPr>
                <w:sz w:val="17"/>
                <w:szCs w:val="17"/>
              </w:rPr>
              <w:t xml:space="preserve">A bond payable is carried at amortised cost using the rate fixed at issue. (A) and (C) would let a company report a gain because its own credit worsened, which is exactly what amortised cost avoids.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4A · the bond at five market rates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38"/>
        <w:gridCol w:w="36"/>
      </w:tblGrid>
      <w:tr>
        <w:tc>
          <w:tcPr>
            <w:shd w:fill="1F6F8F" w:val="clear"/>
            <w:tcMar>
              <w:top w:type="dxa" w:w="60"/>
              <w:left w:type="dxa" w:w="120"/>
              <w:bottom w:type="dxa" w:w="60"/>
              <w:right w:type="dxa" w:w="120"/>
            </w:tcMar>
          </w:tcPr>
          <w:p>
            <w:r>
              <w:rPr>
                <w:b/>
                <w:bCs/>
                <w:color w:val="FFFFFF"/>
                <w:sz w:val="19"/>
                <w:szCs w:val="19"/>
              </w:rPr>
              <w:t xml:space="preserve">Market rate today</w:t>
            </w:r>
          </w:p>
        </w:tc>
        <w:tc>
          <w:tcPr>
            <w:shd w:fill="1F6F8F" w:val="clear"/>
            <w:tcMar>
              <w:top w:type="dxa" w:w="60"/>
              <w:left w:type="dxa" w:w="120"/>
              <w:bottom w:type="dxa" w:w="60"/>
              <w:right w:type="dxa" w:w="120"/>
            </w:tcMar>
          </w:tcPr>
          <w:p>
            <w:r>
              <w:rPr>
                <w:b/>
                <w:bCs/>
                <w:color w:val="FFFFFF"/>
                <w:sz w:val="19"/>
                <w:szCs w:val="19"/>
              </w:rPr>
              <w:t xml:space="preserve">Price of the 6% bond</w:t>
            </w:r>
          </w:p>
        </w:tc>
        <w:tc>
          <w:tcPr>
            <w:shd w:fill="1F6F8F" w:val="clear"/>
            <w:tcMar>
              <w:top w:type="dxa" w:w="60"/>
              <w:left w:type="dxa" w:w="120"/>
              <w:bottom w:type="dxa" w:w="60"/>
              <w:right w:type="dxa" w:w="120"/>
            </w:tcMar>
          </w:tcPr>
          <w:p>
            <w:r>
              <w:rPr>
                <w:b/>
                <w:bCs/>
                <w:color w:val="FFFFFF"/>
                <w:sz w:val="19"/>
                <w:szCs w:val="19"/>
              </w:rPr>
              <w:t xml:space="preserve">Against face value</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$1,000,000</w:t>
            </w:r>
          </w:p>
        </w:tc>
        <w:tc>
          <w:tcPr>
            <w:tcMar>
              <w:top w:type="dxa" w:w="60"/>
              <w:left w:type="dxa" w:w="120"/>
              <w:bottom w:type="dxa" w:w="60"/>
              <w:right w:type="dxa" w:w="120"/>
            </w:tcMar>
          </w:tcPr>
          <w:p>
            <w:r>
              <w:rPr>
                <w:sz w:val="19"/>
                <w:szCs w:val="19"/>
              </w:rPr>
              <w:t xml:space="preserve">At par</w:t>
            </w:r>
          </w:p>
        </w:tc>
      </w:tr>
      <w:tr>
        <w:tc>
          <w:tcPr>
            <w:tcMar>
              <w:top w:type="dxa" w:w="60"/>
              <w:left w:type="dxa" w:w="120"/>
              <w:bottom w:type="dxa" w:w="60"/>
              <w:right w:type="dxa" w:w="120"/>
            </w:tcMar>
          </w:tcPr>
          <w:p>
            <w:r>
              <w:rPr>
                <w:sz w:val="19"/>
                <w:szCs w:val="19"/>
              </w:rPr>
              <w:t xml:space="preserve">7%</w:t>
            </w:r>
          </w:p>
        </w:tc>
        <w:tc>
          <w:tcPr>
            <w:tcMar>
              <w:top w:type="dxa" w:w="60"/>
              <w:left w:type="dxa" w:w="120"/>
              <w:bottom w:type="dxa" w:w="60"/>
              <w:right w:type="dxa" w:w="120"/>
            </w:tcMar>
          </w:tcPr>
          <w:p>
            <w:r>
              <w:rPr>
                <w:sz w:val="19"/>
                <w:szCs w:val="19"/>
              </w:rPr>
              <w:t xml:space="preserve">$958,998</w:t>
            </w:r>
          </w:p>
        </w:tc>
        <w:tc>
          <w:tcPr>
            <w:tcMar>
              <w:top w:type="dxa" w:w="60"/>
              <w:left w:type="dxa" w:w="120"/>
              <w:bottom w:type="dxa" w:w="60"/>
              <w:right w:type="dxa" w:w="120"/>
            </w:tcMar>
          </w:tcPr>
          <w:p>
            <w:r>
              <w:rPr>
                <w:sz w:val="19"/>
                <w:szCs w:val="19"/>
              </w:rPr>
              <w:t xml:space="preserve">$41,002 discount</w:t>
            </w:r>
          </w:p>
        </w:tc>
      </w:tr>
      <w:tr>
        <w:tc>
          <w:tcPr>
            <w:tcMar>
              <w:top w:type="dxa" w:w="60"/>
              <w:left w:type="dxa" w:w="120"/>
              <w:bottom w:type="dxa" w:w="60"/>
              <w:right w:type="dxa" w:w="120"/>
            </w:tcMar>
          </w:tcPr>
          <w:p>
            <w:r>
              <w:rPr>
                <w:sz w:val="19"/>
                <w:szCs w:val="19"/>
              </w:rPr>
              <w:t xml:space="preserve">8%</w:t>
            </w:r>
          </w:p>
        </w:tc>
        <w:tc>
          <w:tcPr>
            <w:tcMar>
              <w:top w:type="dxa" w:w="60"/>
              <w:left w:type="dxa" w:w="120"/>
              <w:bottom w:type="dxa" w:w="60"/>
              <w:right w:type="dxa" w:w="120"/>
            </w:tcMar>
          </w:tcPr>
          <w:p>
            <w:r>
              <w:rPr>
                <w:sz w:val="19"/>
                <w:szCs w:val="19"/>
              </w:rPr>
              <w:t xml:space="preserve">$920,146</w:t>
            </w:r>
          </w:p>
        </w:tc>
        <w:tc>
          <w:tcPr>
            <w:tcMar>
              <w:top w:type="dxa" w:w="60"/>
              <w:left w:type="dxa" w:w="120"/>
              <w:bottom w:type="dxa" w:w="60"/>
              <w:right w:type="dxa" w:w="120"/>
            </w:tcMar>
          </w:tcPr>
          <w:p>
            <w:r>
              <w:rPr>
                <w:sz w:val="19"/>
                <w:szCs w:val="19"/>
              </w:rPr>
              <w:t xml:space="preserve">$79,854 discount</w:t>
            </w:r>
          </w:p>
        </w:tc>
      </w:tr>
      <w:tr>
        <w:tc>
          <w:tcPr>
            <w:tcMar>
              <w:top w:type="dxa" w:w="60"/>
              <w:left w:type="dxa" w:w="120"/>
              <w:bottom w:type="dxa" w:w="60"/>
              <w:right w:type="dxa" w:w="120"/>
            </w:tcMar>
          </w:tcPr>
          <w:p>
            <w:r>
              <w:rPr>
                <w:sz w:val="19"/>
                <w:szCs w:val="19"/>
              </w:rPr>
              <w:t xml:space="preserve">9%</w:t>
            </w:r>
          </w:p>
        </w:tc>
        <w:tc>
          <w:tcPr>
            <w:tcMar>
              <w:top w:type="dxa" w:w="60"/>
              <w:left w:type="dxa" w:w="120"/>
              <w:bottom w:type="dxa" w:w="60"/>
              <w:right w:type="dxa" w:w="120"/>
            </w:tcMar>
          </w:tcPr>
          <w:p>
            <w:r>
              <w:rPr>
                <w:sz w:val="19"/>
                <w:szCs w:val="19"/>
              </w:rPr>
              <w:t xml:space="preserve">$883,310</w:t>
            </w:r>
          </w:p>
        </w:tc>
        <w:tc>
          <w:tcPr>
            <w:tcMar>
              <w:top w:type="dxa" w:w="60"/>
              <w:left w:type="dxa" w:w="120"/>
              <w:bottom w:type="dxa" w:w="60"/>
              <w:right w:type="dxa" w:w="120"/>
            </w:tcMar>
          </w:tcPr>
          <w:p>
            <w:r>
              <w:rPr>
                <w:sz w:val="19"/>
                <w:szCs w:val="19"/>
              </w:rPr>
              <w:t xml:space="preserve">$116,690 discount</w:t>
            </w:r>
          </w:p>
        </w:tc>
      </w:tr>
      <w:tr>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$848,369</w:t>
            </w:r>
          </w:p>
        </w:tc>
        <w:tc>
          <w:tcPr>
            <w:tcMar>
              <w:top w:type="dxa" w:w="60"/>
              <w:left w:type="dxa" w:w="120"/>
              <w:bottom w:type="dxa" w:w="60"/>
              <w:right w:type="dxa" w:w="120"/>
            </w:tcMar>
          </w:tcPr>
          <w:p>
            <w:r>
              <w:rPr>
                <w:sz w:val="19"/>
                <w:szCs w:val="19"/>
              </w:rPr>
              <w:t xml:space="preserve">$151,631 discount</w:t>
            </w:r>
          </w:p>
        </w:tc>
      </w:tr>
    </w:tbl>
    <w:p/>
    <w:p>
      <w:pPr>
        <w:spacing w:after="40" w:before="130"/>
      </w:pPr>
      <w:r>
        <w:rPr>
          <w:b/>
          <w:bCs/>
          <w:color w:val="23265A"/>
          <w:sz w:val="24"/>
          <w:szCs w:val="24"/>
        </w:rPr>
        <w:t xml:space="preserve">Exercise 4D · what one point costs, by term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24"/>
        <w:gridCol w:w="24"/>
        <w:gridCol w:w="24"/>
      </w:tblGrid>
      <w:tr>
        <w:tc>
          <w:tcPr>
            <w:shd w:fill="A05A2B" w:val="clear"/>
            <w:tcMar>
              <w:top w:type="dxa" w:w="60"/>
              <w:left w:type="dxa" w:w="120"/>
              <w:bottom w:type="dxa" w:w="60"/>
              <w:right w:type="dxa" w:w="120"/>
            </w:tcMar>
          </w:tcPr>
          <w:p>
            <w:r>
              <w:rPr>
                <w:b/>
                <w:bCs/>
                <w:color w:val="FFFFFF"/>
                <w:sz w:val="19"/>
                <w:szCs w:val="19"/>
              </w:rPr>
              <w:t xml:space="preserve">Bond</w:t>
            </w:r>
          </w:p>
        </w:tc>
        <w:tc>
          <w:tcPr>
            <w:shd w:fill="A05A2B" w:val="clear"/>
            <w:tcMar>
              <w:top w:type="dxa" w:w="60"/>
              <w:left w:type="dxa" w:w="120"/>
              <w:bottom w:type="dxa" w:w="60"/>
              <w:right w:type="dxa" w:w="120"/>
            </w:tcMar>
          </w:tcPr>
          <w:p>
            <w:r>
              <w:rPr>
                <w:b/>
                <w:bCs/>
                <w:color w:val="FFFFFF"/>
                <w:sz w:val="19"/>
                <w:szCs w:val="19"/>
              </w:rPr>
              <w:t xml:space="preserve">Price at 8%</w:t>
            </w:r>
          </w:p>
        </w:tc>
        <w:tc>
          <w:tcPr>
            <w:shd w:fill="A05A2B" w:val="clear"/>
            <w:tcMar>
              <w:top w:type="dxa" w:w="60"/>
              <w:left w:type="dxa" w:w="120"/>
              <w:bottom w:type="dxa" w:w="60"/>
              <w:right w:type="dxa" w:w="120"/>
            </w:tcMar>
          </w:tcPr>
          <w:p>
            <w:r>
              <w:rPr>
                <w:b/>
                <w:bCs/>
                <w:color w:val="FFFFFF"/>
                <w:sz w:val="19"/>
                <w:szCs w:val="19"/>
              </w:rPr>
              <w:t xml:space="preserve">Price at 9%</w:t>
            </w:r>
          </w:p>
        </w:tc>
        <w:tc>
          <w:tcPr>
            <w:shd w:fill="A05A2B" w:val="clear"/>
            <w:tcMar>
              <w:top w:type="dxa" w:w="60"/>
              <w:left w:type="dxa" w:w="120"/>
              <w:bottom w:type="dxa" w:w="60"/>
              <w:right w:type="dxa" w:w="120"/>
            </w:tcMar>
          </w:tcPr>
          <w:p>
            <w:r>
              <w:rPr>
                <w:b/>
                <w:bCs/>
                <w:color w:val="FFFFFF"/>
                <w:sz w:val="19"/>
                <w:szCs w:val="19"/>
              </w:rPr>
              <w:t xml:space="preserve">Change</w:t>
            </w:r>
          </w:p>
        </w:tc>
      </w:tr>
      <w:tr>
        <w:tc>
          <w:tcPr>
            <w:tcMar>
              <w:top w:type="dxa" w:w="60"/>
              <w:left w:type="dxa" w:w="120"/>
              <w:bottom w:type="dxa" w:w="60"/>
              <w:right w:type="dxa" w:w="120"/>
            </w:tcMar>
          </w:tcPr>
          <w:p>
            <w:r>
              <w:rPr>
                <w:sz w:val="19"/>
                <w:szCs w:val="19"/>
              </w:rPr>
              <w:t xml:space="preserve">2-year, 6% coupon</w:t>
            </w:r>
          </w:p>
        </w:tc>
        <w:tc>
          <w:tcPr>
            <w:tcMar>
              <w:top w:type="dxa" w:w="60"/>
              <w:left w:type="dxa" w:w="120"/>
              <w:bottom w:type="dxa" w:w="60"/>
              <w:right w:type="dxa" w:w="120"/>
            </w:tcMar>
          </w:tcPr>
          <w:p>
            <w:r>
              <w:rPr>
                <w:sz w:val="19"/>
                <w:szCs w:val="19"/>
              </w:rPr>
              <w:t xml:space="preserve">$964,335</w:t>
            </w:r>
          </w:p>
        </w:tc>
        <w:tc>
          <w:tcPr>
            <w:tcMar>
              <w:top w:type="dxa" w:w="60"/>
              <w:left w:type="dxa" w:w="120"/>
              <w:bottom w:type="dxa" w:w="60"/>
              <w:right w:type="dxa" w:w="120"/>
            </w:tcMar>
          </w:tcPr>
          <w:p>
            <w:r>
              <w:rPr>
                <w:sz w:val="19"/>
                <w:szCs w:val="19"/>
              </w:rPr>
              <w:t xml:space="preserve">$947,227</w:t>
            </w:r>
          </w:p>
        </w:tc>
        <w:tc>
          <w:tcPr>
            <w:tcMar>
              <w:top w:type="dxa" w:w="60"/>
              <w:left w:type="dxa" w:w="120"/>
              <w:bottom w:type="dxa" w:w="60"/>
              <w:right w:type="dxa" w:w="120"/>
            </w:tcMar>
          </w:tcPr>
          <w:p>
            <w:r>
              <w:rPr>
                <w:sz w:val="19"/>
                <w:szCs w:val="19"/>
              </w:rPr>
              <w:t xml:space="preserve">-1.77%</w:t>
            </w:r>
          </w:p>
        </w:tc>
      </w:tr>
      <w:tr>
        <w:tc>
          <w:tcPr>
            <w:tcMar>
              <w:top w:type="dxa" w:w="60"/>
              <w:left w:type="dxa" w:w="120"/>
              <w:bottom w:type="dxa" w:w="60"/>
              <w:right w:type="dxa" w:w="120"/>
            </w:tcMar>
          </w:tcPr>
          <w:p>
            <w:r>
              <w:rPr>
                <w:sz w:val="19"/>
                <w:szCs w:val="19"/>
              </w:rPr>
              <w:t xml:space="preserve">5-year, 6% coupon</w:t>
            </w:r>
          </w:p>
        </w:tc>
        <w:tc>
          <w:tcPr>
            <w:tcMar>
              <w:top w:type="dxa" w:w="60"/>
              <w:left w:type="dxa" w:w="120"/>
              <w:bottom w:type="dxa" w:w="60"/>
              <w:right w:type="dxa" w:w="120"/>
            </w:tcMar>
          </w:tcPr>
          <w:p>
            <w:r>
              <w:rPr>
                <w:sz w:val="19"/>
                <w:szCs w:val="19"/>
              </w:rPr>
              <w:t xml:space="preserve">$920,146</w:t>
            </w:r>
          </w:p>
        </w:tc>
        <w:tc>
          <w:tcPr>
            <w:tcMar>
              <w:top w:type="dxa" w:w="60"/>
              <w:left w:type="dxa" w:w="120"/>
              <w:bottom w:type="dxa" w:w="60"/>
              <w:right w:type="dxa" w:w="120"/>
            </w:tcMar>
          </w:tcPr>
          <w:p>
            <w:r>
              <w:rPr>
                <w:sz w:val="19"/>
                <w:szCs w:val="19"/>
              </w:rPr>
              <w:t xml:space="preserve">$883,310</w:t>
            </w:r>
          </w:p>
        </w:tc>
        <w:tc>
          <w:tcPr>
            <w:tcMar>
              <w:top w:type="dxa" w:w="60"/>
              <w:left w:type="dxa" w:w="120"/>
              <w:bottom w:type="dxa" w:w="60"/>
              <w:right w:type="dxa" w:w="120"/>
            </w:tcMar>
          </w:tcPr>
          <w:p>
            <w:r>
              <w:rPr>
                <w:sz w:val="19"/>
                <w:szCs w:val="19"/>
              </w:rPr>
              <w:t xml:space="preserve">-4.00%</w:t>
            </w:r>
          </w:p>
        </w:tc>
      </w:tr>
      <w:tr>
        <w:tc>
          <w:tcPr>
            <w:tcMar>
              <w:top w:type="dxa" w:w="60"/>
              <w:left w:type="dxa" w:w="120"/>
              <w:bottom w:type="dxa" w:w="60"/>
              <w:right w:type="dxa" w:w="120"/>
            </w:tcMar>
          </w:tcPr>
          <w:p>
            <w:r>
              <w:rPr>
                <w:sz w:val="19"/>
                <w:szCs w:val="19"/>
              </w:rPr>
              <w:t xml:space="preserve">10-year, 6% coupon</w:t>
            </w:r>
          </w:p>
        </w:tc>
        <w:tc>
          <w:tcPr>
            <w:tcMar>
              <w:top w:type="dxa" w:w="60"/>
              <w:left w:type="dxa" w:w="120"/>
              <w:bottom w:type="dxa" w:w="60"/>
              <w:right w:type="dxa" w:w="120"/>
            </w:tcMar>
          </w:tcPr>
          <w:p>
            <w:r>
              <w:rPr>
                <w:sz w:val="19"/>
                <w:szCs w:val="19"/>
              </w:rPr>
              <w:t xml:space="preserve">$865,798</w:t>
            </w:r>
          </w:p>
        </w:tc>
        <w:tc>
          <w:tcPr>
            <w:tcMar>
              <w:top w:type="dxa" w:w="60"/>
              <w:left w:type="dxa" w:w="120"/>
              <w:bottom w:type="dxa" w:w="60"/>
              <w:right w:type="dxa" w:w="120"/>
            </w:tcMar>
          </w:tcPr>
          <w:p>
            <w:r>
              <w:rPr>
                <w:sz w:val="19"/>
                <w:szCs w:val="19"/>
              </w:rPr>
              <w:t xml:space="preserve">$807,470</w:t>
            </w:r>
          </w:p>
        </w:tc>
        <w:tc>
          <w:tcPr>
            <w:tcMar>
              <w:top w:type="dxa" w:w="60"/>
              <w:left w:type="dxa" w:w="120"/>
              <w:bottom w:type="dxa" w:w="60"/>
              <w:right w:type="dxa" w:w="120"/>
            </w:tcMar>
          </w:tcPr>
          <w:p>
            <w:r>
              <w:rPr>
                <w:sz w:val="19"/>
                <w:szCs w:val="19"/>
              </w:rPr>
              <w:t xml:space="preserve">-6.74%</w:t>
            </w:r>
          </w:p>
        </w:tc>
      </w:tr>
    </w:tbl>
    <w:p/>
    <w:p>
      <w:pPr>
        <w:spacing w:before="40" w:after="110" w:line="300" w:lineRule="auto"/>
      </w:pPr>
      <w:r>
        <w:rPr>
          <w:b/>
          <w:color w:val="2B6CB0"/>
          <w:sz w:val="13"/>
        </w:rPr>
        <w:t xml:space="preserve">R2  </w:t>
      </w:r>
      <w:r>
        <w:rPr>
          <w:sz w:val="21"/>
          <w:szCs w:val="21"/>
        </w:rPr>
        <w:t xml:space="preserve">The 6% row of the first table is the one to notice. When the market rate equals the 6% coupon the bond trades at exactly $1,000,000, which is the definition of par and the only case where price, face value and carrying amount all agree.</w:t>
      </w:r>
    </w:p>
    <w:p>
      <w:pPr>
        <w:spacing w:before="40" w:after="110" w:line="300" w:lineRule="auto"/>
      </w:pPr>
      <w:r>
        <w:rPr>
          <w:b/>
          <w:color w:val="2B6CB0"/>
          <w:sz w:val="13"/>
        </w:rPr>
        <w:t xml:space="preserve">R2  </w:t>
      </w:r>
      <w:r>
        <w:rPr>
          <w:sz w:val="21"/>
          <w:szCs w:val="21"/>
        </w:rPr>
        <w:t xml:space="preserve">The second table is duration without the formula. The two-year bond loses 1.77% and the ten-year bond loses 6.74% on the same one-point rise, from the same issuer at the same coupon. Nothing but the timing of the cash flows differs.</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5 · Retirement, Refinancing, Convertibles and Warrants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fallen</w:t>
            </w:r>
          </w:p>
        </w:tc>
        <w:tc>
          <w:tcPr>
            <w:tcMar>
              <w:top w:type="dxa" w:w="40"/>
              <w:left w:type="dxa" w:w="100"/>
              <w:bottom w:type="dxa" w:w="40"/>
              <w:right w:type="dxa" w:w="100"/>
            </w:tcMar>
          </w:tcPr>
          <w:p>
            <w:r>
              <w:rPr>
                <w:sz w:val="17"/>
                <w:szCs w:val="17"/>
              </w:rPr>
              <w:t xml:space="preserve">A low-rate world makes old bonds expensive.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recurs</w:t>
            </w:r>
          </w:p>
        </w:tc>
        <w:tc>
          <w:tcPr>
            <w:tcMar>
              <w:top w:type="dxa" w:w="40"/>
              <w:left w:type="dxa" w:w="100"/>
              <w:bottom w:type="dxa" w:w="40"/>
              <w:right w:type="dxa" w:w="100"/>
            </w:tcMar>
          </w:tcPr>
          <w:p>
            <w:r>
              <w:rPr>
                <w:sz w:val="17"/>
                <w:szCs w:val="17"/>
              </w:rPr>
              <w:t xml:space="preserve">Every year, not once.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arithmetic</w:t>
            </w:r>
          </w:p>
        </w:tc>
        <w:tc>
          <w:tcPr>
            <w:tcMar>
              <w:top w:type="dxa" w:w="40"/>
              <w:left w:type="dxa" w:w="100"/>
              <w:bottom w:type="dxa" w:w="40"/>
              <w:right w:type="dxa" w:w="100"/>
            </w:tcMar>
          </w:tcPr>
          <w:p>
            <w:r>
              <w:rPr>
                <w:sz w:val="17"/>
                <w:szCs w:val="17"/>
              </w:rPr>
              <w:t xml:space="preserve">A one-off against an annuity, discounted.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right</w:t>
            </w:r>
          </w:p>
        </w:tc>
        <w:tc>
          <w:tcPr>
            <w:tcMar>
              <w:top w:type="dxa" w:w="40"/>
              <w:left w:type="dxa" w:w="100"/>
              <w:bottom w:type="dxa" w:w="40"/>
              <w:right w:type="dxa" w:w="100"/>
            </w:tcMar>
          </w:tcPr>
          <w:p>
            <w:r>
              <w:rPr>
                <w:sz w:val="17"/>
                <w:szCs w:val="17"/>
              </w:rPr>
              <w:t xml:space="preserve">The books record one side of it.</w:t>
            </w:r>
          </w:p>
        </w:tc>
        <w:tc>
          <w:tcPr>
            <w:tcMar>
              <w:top w:type="dxa" w:w="40"/>
              <w:left w:type="dxa" w:w="100"/>
              <w:bottom w:type="dxa" w:w="40"/>
              <w:right w:type="dxa" w:w="100"/>
            </w:tcMar>
          </w:tcPr>
          <w:p>
            <w:r>
              <w:rPr>
                <w:color w:val="C0483F"/>
                <w:sz w:val="17"/>
                <w:szCs w:val="17"/>
              </w:rPr>
              <w:t xml:space="preserve">Students read a loss on extinguishment as a mistake. It is the price of ending an expensive contract early.</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lower</w:t>
            </w:r>
          </w:p>
        </w:tc>
        <w:tc>
          <w:tcPr>
            <w:tcMar>
              <w:top w:type="dxa" w:w="40"/>
              <w:left w:type="dxa" w:w="100"/>
              <w:bottom w:type="dxa" w:w="40"/>
              <w:right w:type="dxa" w:w="100"/>
            </w:tcMar>
          </w:tcPr>
          <w:p>
            <w:r>
              <w:rPr>
                <w:sz w:val="17"/>
                <w:szCs w:val="17"/>
              </w:rPr>
              <w:t xml:space="preserve">The share right is worth something, so the coupon can be less.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liability</w:t>
            </w:r>
          </w:p>
        </w:tc>
        <w:tc>
          <w:tcPr>
            <w:tcMar>
              <w:top w:type="dxa" w:w="40"/>
              <w:left w:type="dxa" w:w="100"/>
              <w:bottom w:type="dxa" w:w="40"/>
              <w:right w:type="dxa" w:w="100"/>
            </w:tcMar>
          </w:tcPr>
          <w:p>
            <w:r>
              <w:rPr>
                <w:sz w:val="17"/>
                <w:szCs w:val="17"/>
              </w:rPr>
              <w:t xml:space="preserve">One instrument, one classification, under US GAAP.</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allocated</w:t>
            </w:r>
          </w:p>
        </w:tc>
        <w:tc>
          <w:tcPr>
            <w:tcMar>
              <w:top w:type="dxa" w:w="40"/>
              <w:left w:type="dxa" w:w="100"/>
              <w:bottom w:type="dxa" w:w="40"/>
              <w:right w:type="dxa" w:w="100"/>
            </w:tcMar>
          </w:tcPr>
          <w:p>
            <w:r>
              <w:rPr>
                <w:sz w:val="17"/>
                <w:szCs w:val="17"/>
              </w:rPr>
              <w:t xml:space="preserve">Split, because the warrant has its own price.</w:t>
            </w:r>
          </w:p>
        </w:tc>
        <w:tc>
          <w:tcPr>
            <w:tcMar>
              <w:top w:type="dxa" w:w="40"/>
              <w:left w:type="dxa" w:w="100"/>
              <w:bottom w:type="dxa" w:w="40"/>
              <w:right w:type="dxa" w:w="100"/>
            </w:tcMar>
          </w:tcPr>
          <w:p>
            <w:r>
              <w:rPr>
                <w:color w:val="C0483F"/>
                <w:sz w:val="17"/>
                <w:szCs w:val="17"/>
              </w:rPr>
              <w:t xml:space="preserve">Students split a convertible too. The test is whether the right can be sold on its own.</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dilution</w:t>
            </w:r>
          </w:p>
        </w:tc>
        <w:tc>
          <w:tcPr>
            <w:tcMar>
              <w:top w:type="dxa" w:w="40"/>
              <w:left w:type="dxa" w:w="100"/>
              <w:bottom w:type="dxa" w:w="40"/>
              <w:right w:type="dxa" w:w="100"/>
            </w:tcMar>
          </w:tcPr>
          <w:p>
            <w:r>
              <w:rPr>
                <w:sz w:val="17"/>
                <w:szCs w:val="17"/>
              </w:rPr>
              <w:t xml:space="preserve">More shares over the same earnings.</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Carrying amount less cash paid</w:t>
            </w:r>
          </w:p>
        </w:tc>
        <w:tc>
          <w:tcPr>
            <w:tcMar>
              <w:top w:type="dxa" w:w="40"/>
              <w:left w:type="dxa" w:w="100"/>
              <w:bottom w:type="dxa" w:w="40"/>
              <w:right w:type="dxa" w:w="100"/>
            </w:tcMar>
          </w:tcPr>
          <w:p>
            <w:r>
              <w:rPr>
                <w:sz w:val="17"/>
                <w:szCs w:val="17"/>
              </w:rPr>
              <w:t xml:space="preserve">The books give up the carrying amount and part with the cash. (A) uses the face value, which ignores every year of amortisation already recorded.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 loss of $55,664</w:t>
            </w:r>
          </w:p>
        </w:tc>
        <w:tc>
          <w:tcPr>
            <w:tcMar>
              <w:top w:type="dxa" w:w="40"/>
              <w:left w:type="dxa" w:w="100"/>
              <w:bottom w:type="dxa" w:w="40"/>
              <w:right w:type="dxa" w:w="100"/>
            </w:tcMar>
          </w:tcPr>
          <w:p>
            <w:r>
              <w:rPr>
                <w:sz w:val="17"/>
                <w:szCs w:val="17"/>
              </w:rPr>
              <w:t xml:space="preserve">More cash went out than the liability stood at, so it is a loss. (D) is the unamortised discount, which is an input to the carrying amount rather than the answer.</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In profit for the period of the extinguishment</w:t>
            </w:r>
          </w:p>
        </w:tc>
        <w:tc>
          <w:tcPr>
            <w:tcMar>
              <w:top w:type="dxa" w:w="40"/>
              <w:left w:type="dxa" w:w="100"/>
              <w:bottom w:type="dxa" w:w="40"/>
              <w:right w:type="dxa" w:w="100"/>
            </w:tcMar>
          </w:tcPr>
          <w:p>
            <w:r>
              <w:rPr>
                <w:sz w:val="17"/>
                <w:szCs w:val="17"/>
              </w:rPr>
              <w:t xml:space="preserve">In profit, at once. (A) is the category US GAAP abolished and (D) would keep amortising a bond that no longer exists.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Possibly right, if the discounted saving exceeds the loss</w:t>
            </w:r>
          </w:p>
        </w:tc>
        <w:tc>
          <w:tcPr>
            <w:tcMar>
              <w:top w:type="dxa" w:w="40"/>
              <w:left w:type="dxa" w:w="100"/>
              <w:bottom w:type="dxa" w:w="40"/>
              <w:right w:type="dxa" w:w="100"/>
            </w:tcMar>
          </w:tcPr>
          <w:p>
            <w:r>
              <w:rPr>
                <w:sz w:val="17"/>
                <w:szCs w:val="17"/>
              </w:rPr>
              <w:t xml:space="preserve">A one-off charge against a recurring saving is a discounting question, which is why Part 2 treats refinancing as a capital decision. (A) reads the accounts as if they were the decision.</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Allocated between the bond and paid-in capital</w:t>
            </w:r>
          </w:p>
        </w:tc>
        <w:tc>
          <w:tcPr>
            <w:tcMar>
              <w:top w:type="dxa" w:w="40"/>
              <w:left w:type="dxa" w:w="100"/>
              <w:bottom w:type="dxa" w:w="40"/>
              <w:right w:type="dxa" w:w="100"/>
            </w:tcMar>
          </w:tcPr>
          <w:p>
            <w:r>
              <w:rPr>
                <w:sz w:val="17"/>
                <w:szCs w:val="17"/>
              </w:rPr>
              <w:t xml:space="preserve">The warrants trade separately and so have an observable value. (A) is the treatment of a convertible bond, and separability is exactly what distinguishes the two.</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liability is replaced by equity and no cash moves</w:t>
            </w:r>
          </w:p>
        </w:tc>
        <w:tc>
          <w:tcPr>
            <w:tcMar>
              <w:top w:type="dxa" w:w="40"/>
              <w:left w:type="dxa" w:w="100"/>
              <w:bottom w:type="dxa" w:w="40"/>
              <w:right w:type="dxa" w:w="100"/>
            </w:tcMar>
          </w:tcPr>
          <w:p>
            <w:r>
              <w:rPr>
                <w:sz w:val="17"/>
                <w:szCs w:val="17"/>
              </w:rPr>
              <w:t xml:space="preserve">Conversion exchanges one claim for another. (A) describes a warrant exercise, where the holder pays for the shares and the bond continues.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Interest is deductible for tax, while dividends are not</w:t>
            </w:r>
          </w:p>
        </w:tc>
        <w:tc>
          <w:tcPr>
            <w:tcMar>
              <w:top w:type="dxa" w:w="40"/>
              <w:left w:type="dxa" w:w="100"/>
              <w:bottom w:type="dxa" w:w="40"/>
              <w:right w:type="dxa" w:w="100"/>
            </w:tcMar>
          </w:tcPr>
          <w:p>
            <w:r>
              <w:rPr>
                <w:sz w:val="17"/>
                <w:szCs w:val="17"/>
              </w:rPr>
              <w:t xml:space="preserve">The tax shield is why debt is the cheaper source. (C) is true of straight debt and false of the hybrids in this handout, and (D) is backwards.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5A · the retirement, computed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6D3F7E" w:val="clear"/>
            <w:tcMar>
              <w:top w:type="dxa" w:w="60"/>
              <w:left w:type="dxa" w:w="120"/>
              <w:bottom w:type="dxa" w:w="60"/>
              <w:right w:type="dxa" w:w="120"/>
            </w:tcMar>
          </w:tcPr>
          <w:p>
            <w:r>
              <w:rPr>
                <w:b/>
                <w:bCs/>
                <w:color w:val="FFFFFF"/>
                <w:sz w:val="19"/>
                <w:szCs w:val="19"/>
              </w:rPr>
              <w:t xml:space="preserve">Retiring the discount bond after 3 years</w:t>
            </w:r>
          </w:p>
        </w:tc>
        <w:tc>
          <w:tcPr>
            <w:shd w:fill="6D3F7E"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Face value of the bonds retired</w:t>
            </w:r>
          </w:p>
        </w:tc>
        <w:tc>
          <w:tcPr>
            <w:tcMar>
              <w:top w:type="dxa" w:w="60"/>
              <w:left w:type="dxa" w:w="120"/>
              <w:bottom w:type="dxa" w:w="60"/>
              <w:right w:type="dxa" w:w="120"/>
            </w:tcMar>
          </w:tcPr>
          <w:p>
            <w:r>
              <w:rPr>
                <w:sz w:val="19"/>
                <w:szCs w:val="19"/>
              </w:rPr>
              <w:t xml:space="preserve">$1,000,000</w:t>
            </w:r>
          </w:p>
        </w:tc>
      </w:tr>
      <w:tr>
        <w:tc>
          <w:tcPr>
            <w:tcMar>
              <w:top w:type="dxa" w:w="60"/>
              <w:left w:type="dxa" w:w="120"/>
              <w:bottom w:type="dxa" w:w="60"/>
              <w:right w:type="dxa" w:w="120"/>
            </w:tcMar>
          </w:tcPr>
          <w:p>
            <w:r>
              <w:rPr>
                <w:sz w:val="19"/>
                <w:szCs w:val="19"/>
              </w:rPr>
              <w:t xml:space="preserve">Less unamortised discount at that date</w:t>
            </w:r>
          </w:p>
        </w:tc>
        <w:tc>
          <w:tcPr>
            <w:tcMar>
              <w:top w:type="dxa" w:w="60"/>
              <w:left w:type="dxa" w:w="120"/>
              <w:bottom w:type="dxa" w:w="60"/>
              <w:right w:type="dxa" w:w="120"/>
            </w:tcMar>
          </w:tcPr>
          <w:p>
            <w:r>
              <w:rPr>
                <w:sz w:val="19"/>
                <w:szCs w:val="19"/>
              </w:rPr>
              <w:t xml:space="preserve">($35,664)</w:t>
            </w:r>
          </w:p>
        </w:tc>
      </w:tr>
      <w:tr>
        <w:tc>
          <w:tcPr>
            <w:tcMar>
              <w:top w:type="dxa" w:w="60"/>
              <w:left w:type="dxa" w:w="120"/>
              <w:bottom w:type="dxa" w:w="60"/>
              <w:right w:type="dxa" w:w="120"/>
            </w:tcMar>
          </w:tcPr>
          <w:p>
            <w:r>
              <w:rPr>
                <w:sz w:val="19"/>
                <w:szCs w:val="19"/>
              </w:rPr>
              <w:t xml:space="preserve">Carrying amount</w:t>
            </w:r>
          </w:p>
        </w:tc>
        <w:tc>
          <w:tcPr>
            <w:tcMar>
              <w:top w:type="dxa" w:w="60"/>
              <w:left w:type="dxa" w:w="120"/>
              <w:bottom w:type="dxa" w:w="60"/>
              <w:right w:type="dxa" w:w="120"/>
            </w:tcMar>
          </w:tcPr>
          <w:p>
            <w:r>
              <w:rPr>
                <w:sz w:val="19"/>
                <w:szCs w:val="19"/>
              </w:rPr>
              <w:t xml:space="preserve">$964,336</w:t>
            </w:r>
          </w:p>
        </w:tc>
      </w:tr>
      <w:tr>
        <w:tc>
          <w:tcPr>
            <w:tcMar>
              <w:top w:type="dxa" w:w="60"/>
              <w:left w:type="dxa" w:w="120"/>
              <w:bottom w:type="dxa" w:w="60"/>
              <w:right w:type="dxa" w:w="120"/>
            </w:tcMar>
          </w:tcPr>
          <w:p>
            <w:r>
              <w:rPr>
                <w:sz w:val="19"/>
                <w:szCs w:val="19"/>
              </w:rPr>
              <w:t xml:space="preserve">Cash paid at 102 of face</w:t>
            </w:r>
          </w:p>
        </w:tc>
        <w:tc>
          <w:tcPr>
            <w:tcMar>
              <w:top w:type="dxa" w:w="60"/>
              <w:left w:type="dxa" w:w="120"/>
              <w:bottom w:type="dxa" w:w="60"/>
              <w:right w:type="dxa" w:w="120"/>
            </w:tcMar>
          </w:tcPr>
          <w:p>
            <w:r>
              <w:rPr>
                <w:sz w:val="19"/>
                <w:szCs w:val="19"/>
              </w:rPr>
              <w:t xml:space="preserve">($1,020,000)</w:t>
            </w:r>
          </w:p>
        </w:tc>
      </w:tr>
      <w:tr>
        <w:tc>
          <w:tcPr>
            <w:tcMar>
              <w:top w:type="dxa" w:w="60"/>
              <w:left w:type="dxa" w:w="120"/>
              <w:bottom w:type="dxa" w:w="60"/>
              <w:right w:type="dxa" w:w="120"/>
            </w:tcMar>
          </w:tcPr>
          <w:p>
            <w:r>
              <w:rPr>
                <w:sz w:val="19"/>
                <w:szCs w:val="19"/>
              </w:rPr>
              <w:t xml:space="preserve">Loss on extinguishment</w:t>
            </w:r>
          </w:p>
        </w:tc>
        <w:tc>
          <w:tcPr>
            <w:tcMar>
              <w:top w:type="dxa" w:w="60"/>
              <w:left w:type="dxa" w:w="120"/>
              <w:bottom w:type="dxa" w:w="60"/>
              <w:right w:type="dxa" w:w="120"/>
            </w:tcMar>
          </w:tcPr>
          <w:p>
            <w:r>
              <w:rPr>
                <w:sz w:val="19"/>
                <w:szCs w:val="19"/>
              </w:rPr>
              <w:t xml:space="preserve">($55,664)</w:t>
            </w:r>
          </w:p>
        </w:tc>
      </w:tr>
    </w:tbl>
    <w:p/>
    <w:p>
      <w:pPr>
        <w:spacing w:after="40" w:before="130"/>
      </w:pPr>
      <w:r>
        <w:rPr>
          <w:b/>
          <w:bCs/>
          <w:color w:val="23265A"/>
          <w:sz w:val="24"/>
          <w:szCs w:val="24"/>
        </w:rPr>
        <w:t xml:space="preserve">Exercise 5D · the sources compared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36"/>
        <w:gridCol w:w="36"/>
      </w:tblGrid>
      <w:tr>
        <w:tc>
          <w:tcPr>
            <w:shd w:fill="44506B" w:val="clear"/>
            <w:tcMar>
              <w:top w:type="dxa" w:w="60"/>
              <w:left w:type="dxa" w:w="120"/>
              <w:bottom w:type="dxa" w:w="60"/>
              <w:right w:type="dxa" w:w="120"/>
            </w:tcMar>
          </w:tcPr>
          <w:p>
            <w:r>
              <w:rPr>
                <w:b/>
                <w:bCs/>
                <w:color w:val="FFFFFF"/>
                <w:sz w:val="19"/>
                <w:szCs w:val="19"/>
              </w:rPr>
              <w:t xml:space="preserve">Source of long-term finance</w:t>
            </w:r>
          </w:p>
        </w:tc>
        <w:tc>
          <w:tcPr>
            <w:shd w:fill="44506B" w:val="clear"/>
            <w:tcMar>
              <w:top w:type="dxa" w:w="60"/>
              <w:left w:type="dxa" w:w="120"/>
              <w:bottom w:type="dxa" w:w="60"/>
              <w:right w:type="dxa" w:w="120"/>
            </w:tcMar>
          </w:tcPr>
          <w:p>
            <w:r>
              <w:rPr>
                <w:b/>
                <w:bCs/>
                <w:color w:val="FFFFFF"/>
                <w:sz w:val="19"/>
                <w:szCs w:val="19"/>
              </w:rPr>
              <w:t xml:space="preserve">What the holder gets</w:t>
            </w:r>
          </w:p>
        </w:tc>
        <w:tc>
          <w:tcPr>
            <w:shd w:fill="44506B" w:val="clear"/>
            <w:tcMar>
              <w:top w:type="dxa" w:w="60"/>
              <w:left w:type="dxa" w:w="120"/>
              <w:bottom w:type="dxa" w:w="60"/>
              <w:right w:type="dxa" w:w="120"/>
            </w:tcMar>
          </w:tcPr>
          <w:p>
            <w:r>
              <w:rPr>
                <w:b/>
                <w:bCs/>
                <w:color w:val="FFFFFF"/>
                <w:sz w:val="19"/>
                <w:szCs w:val="19"/>
              </w:rPr>
              <w:t xml:space="preserve">What it costs the issuer</w:t>
            </w:r>
          </w:p>
        </w:tc>
      </w:tr>
      <w:tr>
        <w:tc>
          <w:tcPr>
            <w:tcMar>
              <w:top w:type="dxa" w:w="60"/>
              <w:left w:type="dxa" w:w="120"/>
              <w:bottom w:type="dxa" w:w="60"/>
              <w:right w:type="dxa" w:w="120"/>
            </w:tcMar>
          </w:tcPr>
          <w:p>
            <w:r>
              <w:rPr>
                <w:sz w:val="19"/>
                <w:szCs w:val="19"/>
              </w:rPr>
              <w:t xml:space="preserve">A straight bond</w:t>
            </w:r>
          </w:p>
        </w:tc>
        <w:tc>
          <w:tcPr>
            <w:tcMar>
              <w:top w:type="dxa" w:w="60"/>
              <w:left w:type="dxa" w:w="120"/>
              <w:bottom w:type="dxa" w:w="60"/>
              <w:right w:type="dxa" w:w="120"/>
            </w:tcMar>
          </w:tcPr>
          <w:p>
            <w:r>
              <w:rPr>
                <w:sz w:val="19"/>
                <w:szCs w:val="19"/>
              </w:rPr>
              <w:t xml:space="preserve">Interest and repayment of face</w:t>
            </w:r>
          </w:p>
        </w:tc>
        <w:tc>
          <w:tcPr>
            <w:tcMar>
              <w:top w:type="dxa" w:w="60"/>
              <w:left w:type="dxa" w:w="120"/>
              <w:bottom w:type="dxa" w:w="60"/>
              <w:right w:type="dxa" w:w="120"/>
            </w:tcMar>
          </w:tcPr>
          <w:p>
            <w:r>
              <w:rPr>
                <w:sz w:val="19"/>
                <w:szCs w:val="19"/>
              </w:rPr>
              <w:t xml:space="preserve">The coupon, and the discount or premium</w:t>
            </w:r>
          </w:p>
        </w:tc>
      </w:tr>
      <w:tr>
        <w:tc>
          <w:tcPr>
            <w:tcMar>
              <w:top w:type="dxa" w:w="60"/>
              <w:left w:type="dxa" w:w="120"/>
              <w:bottom w:type="dxa" w:w="60"/>
              <w:right w:type="dxa" w:w="120"/>
            </w:tcMar>
          </w:tcPr>
          <w:p>
            <w:r>
              <w:rPr>
                <w:sz w:val="19"/>
                <w:szCs w:val="19"/>
              </w:rPr>
              <w:t xml:space="preserve">A convertible bond</w:t>
            </w:r>
          </w:p>
        </w:tc>
        <w:tc>
          <w:tcPr>
            <w:tcMar>
              <w:top w:type="dxa" w:w="60"/>
              <w:left w:type="dxa" w:w="120"/>
              <w:bottom w:type="dxa" w:w="60"/>
              <w:right w:type="dxa" w:w="120"/>
            </w:tcMar>
          </w:tcPr>
          <w:p>
            <w:r>
              <w:rPr>
                <w:sz w:val="19"/>
                <w:szCs w:val="19"/>
              </w:rPr>
              <w:t xml:space="preserve">The same, plus the right to convert into shares</w:t>
            </w:r>
          </w:p>
        </w:tc>
        <w:tc>
          <w:tcPr>
            <w:tcMar>
              <w:top w:type="dxa" w:w="60"/>
              <w:left w:type="dxa" w:w="120"/>
              <w:bottom w:type="dxa" w:w="60"/>
              <w:right w:type="dxa" w:w="120"/>
            </w:tcMar>
          </w:tcPr>
          <w:p>
            <w:r>
              <w:rPr>
                <w:sz w:val="19"/>
                <w:szCs w:val="19"/>
              </w:rPr>
              <w:t xml:space="preserve">A lower coupon, and dilution if conversion happens</w:t>
            </w:r>
          </w:p>
        </w:tc>
      </w:tr>
      <w:tr>
        <w:tc>
          <w:tcPr>
            <w:tcMar>
              <w:top w:type="dxa" w:w="60"/>
              <w:left w:type="dxa" w:w="120"/>
              <w:bottom w:type="dxa" w:w="60"/>
              <w:right w:type="dxa" w:w="120"/>
            </w:tcMar>
          </w:tcPr>
          <w:p>
            <w:r>
              <w:rPr>
                <w:sz w:val="19"/>
                <w:szCs w:val="19"/>
              </w:rPr>
              <w:t xml:space="preserve">A bond with detachable warrants</w:t>
            </w:r>
          </w:p>
        </w:tc>
        <w:tc>
          <w:tcPr>
            <w:tcMar>
              <w:top w:type="dxa" w:w="60"/>
              <w:left w:type="dxa" w:w="120"/>
              <w:bottom w:type="dxa" w:w="60"/>
              <w:right w:type="dxa" w:w="120"/>
            </w:tcMar>
          </w:tcPr>
          <w:p>
            <w:r>
              <w:rPr>
                <w:sz w:val="19"/>
                <w:szCs w:val="19"/>
              </w:rPr>
              <w:t xml:space="preserve">The bond, plus a separately tradable right to buy shares</w:t>
            </w:r>
          </w:p>
        </w:tc>
        <w:tc>
          <w:tcPr>
            <w:tcMar>
              <w:top w:type="dxa" w:w="60"/>
              <w:left w:type="dxa" w:w="120"/>
              <w:bottom w:type="dxa" w:w="60"/>
              <w:right w:type="dxa" w:w="120"/>
            </w:tcMar>
          </w:tcPr>
          <w:p>
            <w:r>
              <w:rPr>
                <w:sz w:val="19"/>
                <w:szCs w:val="19"/>
              </w:rPr>
              <w:t xml:space="preserve">A lower coupon, and dilution if the warrants are exercised</w:t>
            </w:r>
          </w:p>
        </w:tc>
      </w:tr>
      <w:tr>
        <w:tc>
          <w:tcPr>
            <w:tcMar>
              <w:top w:type="dxa" w:w="60"/>
              <w:left w:type="dxa" w:w="120"/>
              <w:bottom w:type="dxa" w:w="60"/>
              <w:right w:type="dxa" w:w="120"/>
            </w:tcMar>
          </w:tcPr>
          <w:p>
            <w:r>
              <w:rPr>
                <w:sz w:val="19"/>
                <w:szCs w:val="19"/>
              </w:rPr>
              <w:t xml:space="preserve">A lease</w:t>
            </w:r>
          </w:p>
        </w:tc>
        <w:tc>
          <w:tcPr>
            <w:tcMar>
              <w:top w:type="dxa" w:w="60"/>
              <w:left w:type="dxa" w:w="120"/>
              <w:bottom w:type="dxa" w:w="60"/>
              <w:right w:type="dxa" w:w="120"/>
            </w:tcMar>
          </w:tcPr>
          <w:p>
            <w:r>
              <w:rPr>
                <w:sz w:val="19"/>
                <w:szCs w:val="19"/>
              </w:rPr>
              <w:t xml:space="preserve">Rentals, and the asset back at the end</w:t>
            </w:r>
          </w:p>
        </w:tc>
        <w:tc>
          <w:tcPr>
            <w:tcMar>
              <w:top w:type="dxa" w:w="60"/>
              <w:left w:type="dxa" w:w="120"/>
              <w:bottom w:type="dxa" w:w="60"/>
              <w:right w:type="dxa" w:w="120"/>
            </w:tcMar>
          </w:tcPr>
          <w:p>
            <w:r>
              <w:rPr>
                <w:sz w:val="19"/>
                <w:szCs w:val="19"/>
              </w:rPr>
              <w:t xml:space="preserve">Interest inside the rentals, as Volume 7 showed</w:t>
            </w:r>
          </w:p>
        </w:tc>
      </w:tr>
      <w:tr>
        <w:tc>
          <w:tcPr>
            <w:tcMar>
              <w:top w:type="dxa" w:w="60"/>
              <w:left w:type="dxa" w:w="120"/>
              <w:bottom w:type="dxa" w:w="60"/>
              <w:right w:type="dxa" w:w="120"/>
            </w:tcMar>
          </w:tcPr>
          <w:p>
            <w:r>
              <w:rPr>
                <w:sz w:val="19"/>
                <w:szCs w:val="19"/>
              </w:rPr>
              <w:t xml:space="preserve">Ordinary shares</w:t>
            </w:r>
          </w:p>
        </w:tc>
        <w:tc>
          <w:tcPr>
            <w:tcMar>
              <w:top w:type="dxa" w:w="60"/>
              <w:left w:type="dxa" w:w="120"/>
              <w:bottom w:type="dxa" w:w="60"/>
              <w:right w:type="dxa" w:w="120"/>
            </w:tcMar>
          </w:tcPr>
          <w:p>
            <w:r>
              <w:rPr>
                <w:sz w:val="19"/>
                <w:szCs w:val="19"/>
              </w:rPr>
              <w:t xml:space="preserve">A residual claim, and any dividend declared</w:t>
            </w:r>
          </w:p>
        </w:tc>
        <w:tc>
          <w:tcPr>
            <w:tcMar>
              <w:top w:type="dxa" w:w="60"/>
              <w:left w:type="dxa" w:w="120"/>
              <w:bottom w:type="dxa" w:w="60"/>
              <w:right w:type="dxa" w:w="120"/>
            </w:tcMar>
          </w:tcPr>
          <w:p>
            <w:r>
              <w:rPr>
                <w:sz w:val="19"/>
                <w:szCs w:val="19"/>
              </w:rPr>
              <w:t xml:space="preserve">No fixed charge, and a permanent share of the company</w:t>
            </w:r>
          </w:p>
        </w:tc>
      </w:tr>
    </w:tbl>
    <w:p/>
    <w:p>
      <w:pPr>
        <w:spacing w:after="40" w:before="130"/>
      </w:pPr>
      <w:r>
        <w:rPr>
          <w:b/>
          <w:bCs/>
          <w:color w:val="23265A"/>
          <w:sz w:val="24"/>
          <w:szCs w:val="24"/>
        </w:rPr>
        <w:t xml:space="preserve">The extinguishment entry, completed</w:t>
      </w:r>
    </w:p>
    <w:p>
      <w:pPr>
        <w:spacing w:before="140" w:after="60"/>
      </w:pPr>
      <w:r>
        <w:rPr>
          <w:b/>
          <w:bCs/>
          <w:color w:val="353A7C"/>
          <w:sz w:val="19"/>
          <w:szCs w:val="19"/>
        </w:rPr>
        <w:t xml:space="preserve">J1  </w:t>
      </w:r>
      <w:r>
        <w:rPr>
          <w:color w:val="6B7280"/>
          <w:sz w:val="19"/>
          <w:szCs w:val="19"/>
        </w:rPr>
        <w:t xml:space="preserve">The bond repurchased at 102 of face after 3 years.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Bonds Payable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$1,000,000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Loss on Extinguishment</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$55,664</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Discount on Bonds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$35,664</w:t>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$1,020,000</w:t>
            </w:r>
          </w:p>
        </w:tc>
      </w:tr>
    </w:tbl>
    <w:p/>
    <w:p>
      <w:pPr>
        <w:spacing w:before="40" w:after="110" w:line="300" w:lineRule="auto"/>
      </w:pPr>
      <w:r>
        <w:rPr>
          <w:b/>
          <w:color w:val="2B6CB0"/>
          <w:sz w:val="13"/>
        </w:rPr>
        <w:t xml:space="preserve">R2  </w:t>
      </w:r>
      <w:r>
        <w:rPr>
          <w:sz w:val="21"/>
          <w:szCs w:val="21"/>
        </w:rPr>
        <w:t xml:space="preserve">The entry clears the $1,000,000 of face and the $35,664 of discount that were still on the books, which together are the $964,336 carrying amount, and pays out $1,020,000. The $55,664 difference is the loss, and it is the only line of the four that reaches profit.</w:t>
      </w:r>
    </w:p>
    <w:p>
      <w:pPr>
        <w:spacing w:before="40" w:after="110" w:line="300" w:lineRule="auto"/>
      </w:pPr>
      <w:r>
        <w:rPr>
          <w:b/>
          <w:color w:val="2B6CB0"/>
          <w:sz w:val="13"/>
        </w:rPr>
        <w:t xml:space="preserve">R2  </w:t>
      </w:r>
      <w:r>
        <w:rPr>
          <w:sz w:val="21"/>
          <w:szCs w:val="21"/>
        </w:rPr>
        <w:t xml:space="preserve">Note that the loss arose because rates fell. A bond bought back after rates have risen produces a gain, and a company that reports one has usually been in trouble rather than in luck: its own credit spread is what made its debt cheap.</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6 · Contingencies: Probable, Reasonably Possible, Remote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amount</w:t>
            </w:r>
          </w:p>
        </w:tc>
        <w:tc>
          <w:tcPr>
            <w:tcMar>
              <w:top w:type="dxa" w:w="40"/>
              <w:left w:type="dxa" w:w="100"/>
              <w:bottom w:type="dxa" w:w="40"/>
              <w:right w:type="dxa" w:w="100"/>
            </w:tcMar>
          </w:tcPr>
          <w:p>
            <w:r>
              <w:rPr>
                <w:sz w:val="17"/>
                <w:szCs w:val="17"/>
              </w:rPr>
              <w:t xml:space="preserve">Uncertain size, certain existence.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exist</w:t>
            </w:r>
          </w:p>
        </w:tc>
        <w:tc>
          <w:tcPr>
            <w:tcMar>
              <w:top w:type="dxa" w:w="40"/>
              <w:left w:type="dxa" w:w="100"/>
              <w:bottom w:type="dxa" w:w="40"/>
              <w:right w:type="dxa" w:w="100"/>
            </w:tcMar>
          </w:tcPr>
          <w:p>
            <w:r>
              <w:rPr>
                <w:sz w:val="17"/>
                <w:szCs w:val="17"/>
              </w:rPr>
              <w:t xml:space="preserve">It may turn out there was never an obligation.</w:t>
            </w:r>
          </w:p>
        </w:tc>
        <w:tc>
          <w:tcPr>
            <w:tcMar>
              <w:top w:type="dxa" w:w="40"/>
              <w:left w:type="dxa" w:w="100"/>
              <w:bottom w:type="dxa" w:w="40"/>
              <w:right w:type="dxa" w:w="100"/>
            </w:tcMar>
          </w:tcPr>
          <w:p>
            <w:r>
              <w:rPr>
                <w:color w:val="C0483F"/>
                <w:sz w:val="17"/>
                <w:szCs w:val="17"/>
              </w:rPr>
              <w:t xml:space="preserve">Students treat any uncertain figure as a contingency. Depreciation is uncertain in amount and certain in existence.</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event</w:t>
            </w:r>
          </w:p>
        </w:tc>
        <w:tc>
          <w:tcPr>
            <w:tcMar>
              <w:top w:type="dxa" w:w="40"/>
              <w:left w:type="dxa" w:w="100"/>
              <w:bottom w:type="dxa" w:w="40"/>
              <w:right w:type="dxa" w:w="100"/>
            </w:tcMar>
          </w:tcPr>
          <w:p>
            <w:r>
              <w:rPr>
                <w:sz w:val="17"/>
                <w:szCs w:val="17"/>
              </w:rPr>
              <w:t xml:space="preserve">Outside the company’s control.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likely</w:t>
            </w:r>
          </w:p>
        </w:tc>
        <w:tc>
          <w:tcPr>
            <w:tcMar>
              <w:top w:type="dxa" w:w="40"/>
              <w:left w:type="dxa" w:w="100"/>
              <w:bottom w:type="dxa" w:w="40"/>
              <w:right w:type="dxa" w:w="100"/>
            </w:tcMar>
          </w:tcPr>
          <w:p>
            <w:r>
              <w:rPr>
                <w:sz w:val="17"/>
                <w:szCs w:val="17"/>
              </w:rPr>
              <w:t xml:space="preserve">Likelihood first, measurement second.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met</w:t>
            </w:r>
          </w:p>
        </w:tc>
        <w:tc>
          <w:tcPr>
            <w:tcMar>
              <w:top w:type="dxa" w:w="40"/>
              <w:left w:type="dxa" w:w="100"/>
              <w:bottom w:type="dxa" w:w="40"/>
              <w:right w:type="dxa" w:w="100"/>
            </w:tcMar>
          </w:tcPr>
          <w:p>
            <w:r>
              <w:rPr>
                <w:sz w:val="17"/>
                <w:szCs w:val="17"/>
              </w:rPr>
              <w:t xml:space="preserve">Probable, and a range is an estimate.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lowest</w:t>
            </w:r>
          </w:p>
        </w:tc>
        <w:tc>
          <w:tcPr>
            <w:tcMar>
              <w:top w:type="dxa" w:w="40"/>
              <w:left w:type="dxa" w:w="100"/>
              <w:bottom w:type="dxa" w:w="40"/>
              <w:right w:type="dxa" w:w="100"/>
            </w:tcMar>
          </w:tcPr>
          <w:p>
            <w:r>
              <w:rPr>
                <w:sz w:val="17"/>
                <w:szCs w:val="17"/>
              </w:rPr>
              <w:t xml:space="preserve">The low end, under US GAAP.</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midpoint</w:t>
            </w:r>
          </w:p>
        </w:tc>
        <w:tc>
          <w:tcPr>
            <w:tcMar>
              <w:top w:type="dxa" w:w="40"/>
              <w:left w:type="dxa" w:w="100"/>
              <w:bottom w:type="dxa" w:w="40"/>
              <w:right w:type="dxa" w:w="100"/>
            </w:tcMar>
          </w:tcPr>
          <w:p>
            <w:r>
              <w:rPr>
                <w:sz w:val="17"/>
                <w:szCs w:val="17"/>
              </w:rPr>
              <w:t xml:space="preserve">The middle of the range, under IFRS.</w:t>
            </w:r>
          </w:p>
        </w:tc>
        <w:tc>
          <w:tcPr>
            <w:tcMar>
              <w:top w:type="dxa" w:w="40"/>
              <w:left w:type="dxa" w:w="100"/>
              <w:bottom w:type="dxa" w:w="40"/>
              <w:right w:type="dxa" w:w="100"/>
            </w:tcMar>
          </w:tcPr>
          <w:p>
            <w:r>
              <w:rPr>
                <w:color w:val="C0483F"/>
                <w:sz w:val="17"/>
                <w:szCs w:val="17"/>
              </w:rPr>
              <w:t xml:space="preserve">Students apply one rule to both frameworks. The difference is small in principle and $200,000 here.</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disclosed</w:t>
            </w:r>
          </w:p>
        </w:tc>
        <w:tc>
          <w:tcPr>
            <w:tcMar>
              <w:top w:type="dxa" w:w="40"/>
              <w:left w:type="dxa" w:w="100"/>
              <w:bottom w:type="dxa" w:w="40"/>
              <w:right w:type="dxa" w:w="100"/>
            </w:tcMar>
          </w:tcPr>
          <w:p>
            <w:r>
              <w:rPr>
                <w:sz w:val="17"/>
                <w:szCs w:val="17"/>
              </w:rPr>
              <w:t xml:space="preserve">The range, whatever was accrued.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ACCRUE  2 DISCLOSE ONLY  3 NEITHER  4 DISCLOSE ONLY  5 ACCRUE  6 ACCRUE</w:t>
            </w:r>
          </w:p>
        </w:tc>
        <w:tc>
          <w:tcPr>
            <w:tcMar>
              <w:top w:type="dxa" w:w="40"/>
              <w:left w:type="dxa" w:w="100"/>
              <w:bottom w:type="dxa" w:w="40"/>
              <w:right w:type="dxa" w:w="100"/>
            </w:tcMar>
          </w:tcPr>
          <w:p>
            <w:r>
              <w:rPr>
                <w:sz w:val="17"/>
                <w:szCs w:val="17"/>
              </w:rPr>
              <w:t xml:space="preserve">The last row is the escape: once a gain is realised it is no longer contingent, and ordinary revenue recognition applies.</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Probable and the amount can be reasonably estimated</w:t>
            </w:r>
          </w:p>
        </w:tc>
        <w:tc>
          <w:tcPr>
            <w:tcMar>
              <w:top w:type="dxa" w:w="40"/>
              <w:left w:type="dxa" w:w="100"/>
              <w:bottom w:type="dxa" w:w="40"/>
              <w:right w:type="dxa" w:w="100"/>
            </w:tcMar>
          </w:tcPr>
          <w:p>
            <w:r>
              <w:rPr>
                <w:sz w:val="17"/>
                <w:szCs w:val="17"/>
              </w:rPr>
              <w:t xml:space="preserve">Both conditions, together. (C) drops the measurement condition, and a probable loss that cannot be estimated is disclosed rather than accrued.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Disclosed in the notes</w:t>
            </w:r>
          </w:p>
        </w:tc>
        <w:tc>
          <w:tcPr>
            <w:tcMar>
              <w:top w:type="dxa" w:w="40"/>
              <w:left w:type="dxa" w:w="100"/>
              <w:bottom w:type="dxa" w:w="40"/>
              <w:right w:type="dxa" w:w="100"/>
            </w:tcMar>
          </w:tcPr>
          <w:p>
            <w:r>
              <w:rPr>
                <w:sz w:val="17"/>
                <w:szCs w:val="17"/>
              </w:rPr>
              <w:t xml:space="preserve">The middle rung requires disclosure and no accrual. (A) is the commonest error and would put an amount on the balance sheet that the threshold does not support.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$200,000</w:t>
            </w:r>
          </w:p>
        </w:tc>
        <w:tc>
          <w:tcPr>
            <w:tcMar>
              <w:top w:type="dxa" w:w="40"/>
              <w:left w:type="dxa" w:w="100"/>
              <w:bottom w:type="dxa" w:w="40"/>
              <w:right w:type="dxa" w:w="100"/>
            </w:tcMar>
          </w:tcPr>
          <w:p>
            <w:r>
              <w:rPr>
                <w:sz w:val="17"/>
                <w:szCs w:val="17"/>
              </w:rPr>
              <w:t xml:space="preserve">The low end, with the range disclosed. (C) is the IFRS answer, and the $200,000 gap between them is one of the differences Volume 12 would have listed had the CMA asked for it.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$400,000</w:t>
            </w:r>
          </w:p>
        </w:tc>
        <w:tc>
          <w:tcPr>
            <w:tcMar>
              <w:top w:type="dxa" w:w="40"/>
              <w:left w:type="dxa" w:w="100"/>
              <w:bottom w:type="dxa" w:w="40"/>
              <w:right w:type="dxa" w:w="100"/>
            </w:tcMar>
          </w:tcPr>
          <w:p>
            <w:r>
              <w:rPr>
                <w:sz w:val="17"/>
                <w:szCs w:val="17"/>
              </w:rPr>
              <w:t xml:space="preserve">IFRS takes the midpoint of a continuous range as the best single representation of the expected outflow. (A) is the US GAAP answer, and the pairing is what makes this examinable.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Disclose the gain contingency without accruing it</w:t>
            </w:r>
          </w:p>
        </w:tc>
        <w:tc>
          <w:tcPr>
            <w:tcMar>
              <w:top w:type="dxa" w:w="40"/>
              <w:left w:type="dxa" w:w="100"/>
              <w:bottom w:type="dxa" w:w="40"/>
              <w:right w:type="dxa" w:w="100"/>
            </w:tcMar>
          </w:tcPr>
          <w:p>
            <w:r>
              <w:rPr>
                <w:sz w:val="17"/>
                <w:szCs w:val="17"/>
              </w:rPr>
              <w:t xml:space="preserve">Gain contingencies are never accrued; disclosure is permitted where realisation is likely, worded so as not to imply it is assured. (A) applies the loss rule symmetrically, which is exactly what the standard refuses to do.</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Disclosure only</w:t>
            </w:r>
          </w:p>
        </w:tc>
        <w:tc>
          <w:tcPr>
            <w:tcMar>
              <w:top w:type="dxa" w:w="40"/>
              <w:left w:type="dxa" w:w="100"/>
              <w:bottom w:type="dxa" w:w="40"/>
              <w:right w:type="dxa" w:w="100"/>
            </w:tcMar>
          </w:tcPr>
          <w:p>
            <w:r>
              <w:rPr>
                <w:sz w:val="17"/>
                <w:szCs w:val="17"/>
              </w:rPr>
              <w:t xml:space="preserve">The bottom rung is the one case where nothing is required. Remote is also the rung most often argued over, because it is the only one that keeps a claim out of the notes entirely.</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The obligation certainly exists and only its amount is estimated</w:t>
            </w:r>
          </w:p>
        </w:tc>
        <w:tc>
          <w:tcPr>
            <w:tcMar>
              <w:top w:type="dxa" w:w="40"/>
              <w:left w:type="dxa" w:w="100"/>
              <w:bottom w:type="dxa" w:w="40"/>
              <w:right w:type="dxa" w:w="100"/>
            </w:tcMar>
          </w:tcPr>
          <w:p>
            <w:r>
              <w:rPr>
                <w:sz w:val="17"/>
                <w:szCs w:val="17"/>
              </w:rPr>
              <w:t xml:space="preserve">Goods have been sold and some will fail, so the obligation exists; only the amount is in doubt. That is an estimate rather than a contingency, which is why Volume 7 accrued it without ever using the ladder in this handout.</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6B · the ladder, completed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35"/>
        <w:gridCol w:w="35"/>
      </w:tblGrid>
      <w:tr>
        <w:tc>
          <w:tcPr>
            <w:shd w:fill="44506B" w:val="clear"/>
            <w:tcMar>
              <w:top w:type="dxa" w:w="60"/>
              <w:left w:type="dxa" w:w="120"/>
              <w:bottom w:type="dxa" w:w="60"/>
              <w:right w:type="dxa" w:w="120"/>
            </w:tcMar>
          </w:tcPr>
          <w:p>
            <w:r>
              <w:rPr>
                <w:b/>
                <w:bCs/>
                <w:color w:val="FFFFFF"/>
                <w:sz w:val="19"/>
                <w:szCs w:val="19"/>
              </w:rPr>
              <w:t xml:space="preserve">Likelihood of the loss</w:t>
            </w:r>
          </w:p>
        </w:tc>
        <w:tc>
          <w:tcPr>
            <w:shd w:fill="44506B" w:val="clear"/>
            <w:tcMar>
              <w:top w:type="dxa" w:w="60"/>
              <w:left w:type="dxa" w:w="120"/>
              <w:bottom w:type="dxa" w:w="60"/>
              <w:right w:type="dxa" w:w="120"/>
            </w:tcMar>
          </w:tcPr>
          <w:p>
            <w:r>
              <w:rPr>
                <w:b/>
                <w:bCs/>
                <w:color w:val="FFFFFF"/>
                <w:sz w:val="19"/>
                <w:szCs w:val="19"/>
              </w:rPr>
              <w:t xml:space="preserve">If the amount can be estimated</w:t>
            </w:r>
          </w:p>
        </w:tc>
        <w:tc>
          <w:tcPr>
            <w:shd w:fill="44506B" w:val="clear"/>
            <w:tcMar>
              <w:top w:type="dxa" w:w="60"/>
              <w:left w:type="dxa" w:w="120"/>
              <w:bottom w:type="dxa" w:w="60"/>
              <w:right w:type="dxa" w:w="120"/>
            </w:tcMar>
          </w:tcPr>
          <w:p>
            <w:r>
              <w:rPr>
                <w:b/>
                <w:bCs/>
                <w:color w:val="FFFFFF"/>
                <w:sz w:val="19"/>
                <w:szCs w:val="19"/>
              </w:rPr>
              <w:t xml:space="preserve">If it cannot</w:t>
            </w:r>
          </w:p>
        </w:tc>
      </w:tr>
      <w:tr>
        <w:tc>
          <w:tcPr>
            <w:tcMar>
              <w:top w:type="dxa" w:w="60"/>
              <w:left w:type="dxa" w:w="120"/>
              <w:bottom w:type="dxa" w:w="60"/>
              <w:right w:type="dxa" w:w="120"/>
            </w:tcMar>
          </w:tcPr>
          <w:p>
            <w:r>
              <w:rPr>
                <w:sz w:val="19"/>
                <w:szCs w:val="19"/>
              </w:rPr>
              <w:t xml:space="preserve">Probable</w:t>
            </w:r>
          </w:p>
        </w:tc>
        <w:tc>
          <w:tcPr>
            <w:tcMar>
              <w:top w:type="dxa" w:w="60"/>
              <w:left w:type="dxa" w:w="120"/>
              <w:bottom w:type="dxa" w:w="60"/>
              <w:right w:type="dxa" w:w="120"/>
            </w:tcMar>
          </w:tcPr>
          <w:p>
            <w:r>
              <w:rPr>
                <w:sz w:val="19"/>
                <w:szCs w:val="19"/>
              </w:rPr>
              <w:t xml:space="preserve">Accrue it, and disclose</w:t>
            </w:r>
          </w:p>
        </w:tc>
        <w:tc>
          <w:tcPr>
            <w:tcMar>
              <w:top w:type="dxa" w:w="60"/>
              <w:left w:type="dxa" w:w="120"/>
              <w:bottom w:type="dxa" w:w="60"/>
              <w:right w:type="dxa" w:w="120"/>
            </w:tcMar>
          </w:tcPr>
          <w:p>
            <w:r>
              <w:rPr>
                <w:sz w:val="19"/>
                <w:szCs w:val="19"/>
              </w:rPr>
              <w:t xml:space="preserve">Disclose only</w:t>
            </w:r>
          </w:p>
        </w:tc>
      </w:tr>
      <w:tr>
        <w:tc>
          <w:tcPr>
            <w:tcMar>
              <w:top w:type="dxa" w:w="60"/>
              <w:left w:type="dxa" w:w="120"/>
              <w:bottom w:type="dxa" w:w="60"/>
              <w:right w:type="dxa" w:w="120"/>
            </w:tcMar>
          </w:tcPr>
          <w:p>
            <w:r>
              <w:rPr>
                <w:sz w:val="19"/>
                <w:szCs w:val="19"/>
              </w:rPr>
              <w:t xml:space="preserve">Reasonably possible</w:t>
            </w:r>
          </w:p>
        </w:tc>
        <w:tc>
          <w:tcPr>
            <w:tcMar>
              <w:top w:type="dxa" w:w="60"/>
              <w:left w:type="dxa" w:w="120"/>
              <w:bottom w:type="dxa" w:w="60"/>
              <w:right w:type="dxa" w:w="120"/>
            </w:tcMar>
          </w:tcPr>
          <w:p>
            <w:r>
              <w:rPr>
                <w:sz w:val="19"/>
                <w:szCs w:val="19"/>
              </w:rPr>
              <w:t xml:space="preserve">Disclose only</w:t>
            </w:r>
          </w:p>
        </w:tc>
        <w:tc>
          <w:tcPr>
            <w:tcMar>
              <w:top w:type="dxa" w:w="60"/>
              <w:left w:type="dxa" w:w="120"/>
              <w:bottom w:type="dxa" w:w="60"/>
              <w:right w:type="dxa" w:w="120"/>
            </w:tcMar>
          </w:tcPr>
          <w:p>
            <w:r>
              <w:rPr>
                <w:sz w:val="19"/>
                <w:szCs w:val="19"/>
              </w:rPr>
              <w:t xml:space="preserve">Disclose only</w:t>
            </w:r>
          </w:p>
        </w:tc>
      </w:tr>
      <w:tr>
        <w:tc>
          <w:tcPr>
            <w:tcMar>
              <w:top w:type="dxa" w:w="60"/>
              <w:left w:type="dxa" w:w="120"/>
              <w:bottom w:type="dxa" w:w="60"/>
              <w:right w:type="dxa" w:w="120"/>
            </w:tcMar>
          </w:tcPr>
          <w:p>
            <w:r>
              <w:rPr>
                <w:sz w:val="19"/>
                <w:szCs w:val="19"/>
              </w:rPr>
              <w:t xml:space="preserve">Remote</w:t>
            </w:r>
          </w:p>
        </w:tc>
        <w:tc>
          <w:tcPr>
            <w:tcMar>
              <w:top w:type="dxa" w:w="60"/>
              <w:left w:type="dxa" w:w="120"/>
              <w:bottom w:type="dxa" w:w="60"/>
              <w:right w:type="dxa" w:w="120"/>
            </w:tcMar>
          </w:tcPr>
          <w:p>
            <w:r>
              <w:rPr>
                <w:sz w:val="19"/>
                <w:szCs w:val="19"/>
              </w:rPr>
              <w:t xml:space="preserve">Neither accrue nor disclose</w:t>
            </w:r>
          </w:p>
        </w:tc>
        <w:tc>
          <w:tcPr>
            <w:tcMar>
              <w:top w:type="dxa" w:w="60"/>
              <w:left w:type="dxa" w:w="120"/>
              <w:bottom w:type="dxa" w:w="60"/>
              <w:right w:type="dxa" w:w="120"/>
            </w:tcMar>
          </w:tcPr>
          <w:p>
            <w:r>
              <w:rPr>
                <w:sz w:val="19"/>
                <w:szCs w:val="19"/>
              </w:rPr>
              <w:t xml:space="preserve">Neither accrue nor disclose</w:t>
            </w:r>
          </w:p>
        </w:tc>
      </w:tr>
    </w:tbl>
    <w:p/>
    <w:p>
      <w:pPr>
        <w:spacing w:after="40" w:before="130"/>
      </w:pPr>
      <w:r>
        <w:rPr>
          <w:b/>
          <w:bCs/>
          <w:color w:val="23265A"/>
          <w:sz w:val="24"/>
          <w:szCs w:val="24"/>
        </w:rPr>
        <w:t xml:space="preserve">Exercise 6E · Northwind’s five situations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6"/>
        <w:gridCol w:w="34"/>
      </w:tblGrid>
      <w:tr>
        <w:tc>
          <w:tcPr>
            <w:shd w:fill="6D3F7E" w:val="clear"/>
            <w:tcMar>
              <w:top w:type="dxa" w:w="60"/>
              <w:left w:type="dxa" w:w="120"/>
              <w:bottom w:type="dxa" w:w="60"/>
              <w:right w:type="dxa" w:w="120"/>
            </w:tcMar>
          </w:tcPr>
          <w:p>
            <w:r>
              <w:rPr>
                <w:b/>
                <w:bCs/>
                <w:color w:val="FFFFFF"/>
                <w:sz w:val="19"/>
                <w:szCs w:val="19"/>
              </w:rPr>
              <w:t xml:space="preserve">Northwind’s 20X4 year</w:t>
            </w:r>
          </w:p>
        </w:tc>
        <w:tc>
          <w:tcPr>
            <w:shd w:fill="6D3F7E" w:val="clear"/>
            <w:tcMar>
              <w:top w:type="dxa" w:w="60"/>
              <w:left w:type="dxa" w:w="120"/>
              <w:bottom w:type="dxa" w:w="60"/>
              <w:right w:type="dxa" w:w="120"/>
            </w:tcMar>
          </w:tcPr>
          <w:p>
            <w:r>
              <w:rPr>
                <w:b/>
                <w:bCs/>
                <w:color w:val="FFFFFF"/>
                <w:sz w:val="19"/>
                <w:szCs w:val="19"/>
              </w:rPr>
              <w:t xml:space="preserve">Treatment</w:t>
            </w:r>
          </w:p>
        </w:tc>
      </w:tr>
      <w:tr>
        <w:tc>
          <w:tcPr>
            <w:tcMar>
              <w:top w:type="dxa" w:w="60"/>
              <w:left w:type="dxa" w:w="120"/>
              <w:bottom w:type="dxa" w:w="60"/>
              <w:right w:type="dxa" w:w="120"/>
            </w:tcMar>
          </w:tcPr>
          <w:p>
            <w:r>
              <w:rPr>
                <w:sz w:val="19"/>
                <w:szCs w:val="19"/>
              </w:rPr>
              <w:t xml:space="preserve">Warranty claims on $4,800,000 of sales, probable and estimable at $96,000</w:t>
            </w:r>
          </w:p>
        </w:tc>
        <w:tc>
          <w:tcPr>
            <w:tcMar>
              <w:top w:type="dxa" w:w="60"/>
              <w:left w:type="dxa" w:w="120"/>
              <w:bottom w:type="dxa" w:w="60"/>
              <w:right w:type="dxa" w:w="120"/>
            </w:tcMar>
          </w:tcPr>
          <w:p>
            <w:r>
              <w:rPr>
                <w:sz w:val="19"/>
                <w:szCs w:val="19"/>
              </w:rPr>
              <w:t xml:space="preserve">Accrue $96,000</w:t>
            </w:r>
          </w:p>
        </w:tc>
      </w:tr>
      <w:tr>
        <w:tc>
          <w:tcPr>
            <w:tcMar>
              <w:top w:type="dxa" w:w="60"/>
              <w:left w:type="dxa" w:w="120"/>
              <w:bottom w:type="dxa" w:w="60"/>
              <w:right w:type="dxa" w:w="120"/>
            </w:tcMar>
          </w:tcPr>
          <w:p>
            <w:r>
              <w:rPr>
                <w:sz w:val="19"/>
                <w:szCs w:val="19"/>
              </w:rPr>
              <w:t xml:space="preserve">A lawsuit, probable, with losses between $200,000 and $600,000 and no better estimate</w:t>
            </w:r>
          </w:p>
        </w:tc>
        <w:tc>
          <w:tcPr>
            <w:tcMar>
              <w:top w:type="dxa" w:w="60"/>
              <w:left w:type="dxa" w:w="120"/>
              <w:bottom w:type="dxa" w:w="60"/>
              <w:right w:type="dxa" w:w="120"/>
            </w:tcMar>
          </w:tcPr>
          <w:p>
            <w:r>
              <w:rPr>
                <w:sz w:val="19"/>
                <w:szCs w:val="19"/>
              </w:rPr>
              <w:t xml:space="preserve">Accrue $200,000 under US GAAP</w:t>
            </w:r>
          </w:p>
        </w:tc>
      </w:tr>
      <w:tr>
        <w:tc>
          <w:tcPr>
            <w:tcMar>
              <w:top w:type="dxa" w:w="60"/>
              <w:left w:type="dxa" w:w="120"/>
              <w:bottom w:type="dxa" w:w="60"/>
              <w:right w:type="dxa" w:w="120"/>
            </w:tcMar>
          </w:tcPr>
          <w:p>
            <w:r>
              <w:rPr>
                <w:sz w:val="19"/>
                <w:szCs w:val="19"/>
              </w:rPr>
              <w:t xml:space="preserve">A second lawsuit, reasonably possible, estimated at $300,000</w:t>
            </w:r>
          </w:p>
        </w:tc>
        <w:tc>
          <w:tcPr>
            <w:tcMar>
              <w:top w:type="dxa" w:w="60"/>
              <w:left w:type="dxa" w:w="120"/>
              <w:bottom w:type="dxa" w:w="60"/>
              <w:right w:type="dxa" w:w="120"/>
            </w:tcMar>
          </w:tcPr>
          <w:p>
            <w:r>
              <w:rPr>
                <w:sz w:val="19"/>
                <w:szCs w:val="19"/>
              </w:rPr>
              <w:t xml:space="preserve">Disclose only</w:t>
            </w:r>
          </w:p>
        </w:tc>
      </w:tr>
      <w:tr>
        <w:tc>
          <w:tcPr>
            <w:tcMar>
              <w:top w:type="dxa" w:w="60"/>
              <w:left w:type="dxa" w:w="120"/>
              <w:bottom w:type="dxa" w:w="60"/>
              <w:right w:type="dxa" w:w="120"/>
            </w:tcMar>
          </w:tcPr>
          <w:p>
            <w:r>
              <w:rPr>
                <w:sz w:val="19"/>
                <w:szCs w:val="19"/>
              </w:rPr>
              <w:t xml:space="preserve">A third claim, remote</w:t>
            </w:r>
          </w:p>
        </w:tc>
        <w:tc>
          <w:tcPr>
            <w:tcMar>
              <w:top w:type="dxa" w:w="60"/>
              <w:left w:type="dxa" w:w="120"/>
              <w:bottom w:type="dxa" w:w="60"/>
              <w:right w:type="dxa" w:w="120"/>
            </w:tcMar>
          </w:tcPr>
          <w:p>
            <w:r>
              <w:rPr>
                <w:sz w:val="19"/>
                <w:szCs w:val="19"/>
              </w:rPr>
              <w:t xml:space="preserve">Neither accrue nor disclose</w:t>
            </w:r>
          </w:p>
        </w:tc>
      </w:tr>
      <w:tr>
        <w:tc>
          <w:tcPr>
            <w:tcMar>
              <w:top w:type="dxa" w:w="60"/>
              <w:left w:type="dxa" w:w="120"/>
              <w:bottom w:type="dxa" w:w="60"/>
              <w:right w:type="dxa" w:w="120"/>
            </w:tcMar>
          </w:tcPr>
          <w:p>
            <w:r>
              <w:rPr>
                <w:sz w:val="19"/>
                <w:szCs w:val="19"/>
              </w:rPr>
              <w:t xml:space="preserve">A counterclaim Northwind expects to win, $250,000</w:t>
            </w:r>
          </w:p>
        </w:tc>
        <w:tc>
          <w:tcPr>
            <w:tcMar>
              <w:top w:type="dxa" w:w="60"/>
              <w:left w:type="dxa" w:w="120"/>
              <w:bottom w:type="dxa" w:w="60"/>
              <w:right w:type="dxa" w:w="120"/>
            </w:tcMar>
          </w:tcPr>
          <w:p>
            <w:r>
              <w:rPr>
                <w:sz w:val="19"/>
                <w:szCs w:val="19"/>
              </w:rPr>
              <w:t xml:space="preserve">Disclose at most; never accrue</w:t>
            </w:r>
          </w:p>
        </w:tc>
      </w:tr>
    </w:tbl>
    <w:p/>
    <w:p>
      <w:pPr>
        <w:spacing w:after="40" w:before="130"/>
      </w:pPr>
      <w:r>
        <w:rPr>
          <w:b/>
          <w:bCs/>
          <w:color w:val="23265A"/>
          <w:sz w:val="24"/>
          <w:szCs w:val="24"/>
        </w:rPr>
        <w:t xml:space="preserve">Exercise 6C · the accrual entry</w:t>
      </w:r>
    </w:p>
    <w:p>
      <w:pPr>
        <w:spacing w:before="140" w:after="60"/>
      </w:pPr>
      <w:r>
        <w:rPr>
          <w:b/>
          <w:bCs/>
          <w:color w:val="353A7C"/>
          <w:sz w:val="19"/>
          <w:szCs w:val="19"/>
        </w:rPr>
        <w:t xml:space="preserve">J1  </w:t>
      </w:r>
      <w:r>
        <w:rPr>
          <w:color w:val="6B7280"/>
          <w:sz w:val="19"/>
          <w:szCs w:val="19"/>
        </w:rPr>
        <w:t xml:space="preserve">The probable lawsuit accrued at the low end, under US GAAP.</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Loss from Litigation</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Estimated Liability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$200,000</w:t>
            </w:r>
          </w:p>
        </w:tc>
      </w:tr>
    </w:tbl>
    <w:p/>
    <w:p>
      <w:pPr>
        <w:spacing w:before="40" w:after="110" w:line="300" w:lineRule="auto"/>
      </w:pPr>
      <w:r>
        <w:rPr>
          <w:b/>
          <w:color w:val="2B6CB0"/>
          <w:sz w:val="13"/>
        </w:rPr>
        <w:t xml:space="preserve">R2  </w:t>
      </w:r>
      <w:r>
        <w:rPr>
          <w:sz w:val="21"/>
          <w:szCs w:val="21"/>
        </w:rPr>
        <w:t xml:space="preserve">The middle column of the ladder is the one to memorise, because it is the same in both of its cells: a loss that is probable but not estimable gets exactly the same treatment as one that is only reasonably possible. Disclosure, and nothing on the face of anything.</w:t>
      </w:r>
    </w:p>
    <w:p>
      <w:pPr>
        <w:spacing w:before="40" w:after="110" w:line="300" w:lineRule="auto"/>
      </w:pPr>
      <w:r>
        <w:rPr>
          <w:b/>
          <w:color w:val="2B6CB0"/>
          <w:sz w:val="13"/>
        </w:rPr>
        <w:t xml:space="preserve">R2  </w:t>
      </w:r>
      <w:r>
        <w:rPr>
          <w:sz w:val="21"/>
          <w:szCs w:val="21"/>
        </w:rPr>
        <w:t xml:space="preserve">This handout is outside the CMA. No section of either part asks for the ladder, the range rule or the gain asymmetry. It is here because a reader who has accrued Volume 7’s warranty provision without ever being told why some obligations are accrued and others are not has learned a procedure rather than a principle.</w:t>
      </w:r>
    </w:p>
    <w:p>
      <w:pPr>
        <w:sectPr>
          <w:headerReference w:type="default" r:id="rIdHdr8"/>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14,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amortisation of a discount</w:t>
            </w:r>
          </w:p>
        </w:tc>
        <w:tc>
          <w:tcPr>
            <w:tcMar>
              <w:top w:type="dxa" w:w="55"/>
              <w:left w:type="dxa" w:w="115"/>
              <w:bottom w:type="dxa" w:w="55"/>
              <w:right w:type="dxa" w:w="115"/>
            </w:tcMar>
          </w:tcPr>
          <w:p>
            <w:r>
              <w:rPr>
                <w:sz w:val="18"/>
                <w:szCs w:val="18"/>
              </w:rPr>
              <w:t xml:space="preserve">Charging part of a discount to interest expense each period, which raises the carrying amount toward the face value.</w:t>
            </w:r>
          </w:p>
        </w:tc>
        <w:tc>
          <w:tcPr>
            <w:tcMar>
              <w:top w:type="dxa" w:w="55"/>
              <w:left w:type="dxa" w:w="115"/>
              <w:bottom w:type="dxa" w:w="55"/>
              <w:right w:type="dxa" w:w="115"/>
            </w:tcMar>
          </w:tcPr>
          <w:p>
            <w:pPr>
              <w:bidi/>
              <w:jc w:val="right"/>
            </w:pPr>
            <w:r>
              <w:rPr>
                <w:rFonts w:cs="Arial" w:ascii="Arial" w:hAnsi="Arial"/>
                <w:rtl/>
                <w:bidi/>
                <w:sz w:val="18"/>
                <w:szCs w:val="18"/>
              </w:rPr>
              <w:t xml:space="preserve">إطفاء الخصم</w:t>
            </w:r>
          </w:p>
        </w:tc>
        <w:tc>
          <w:tcPr>
            <w:tcMar>
              <w:top w:type="dxa" w:w="55"/>
              <w:left w:type="dxa" w:w="115"/>
              <w:bottom w:type="dxa" w:w="55"/>
              <w:right w:type="dxa" w:w="115"/>
            </w:tcMar>
          </w:tcPr>
          <w:p>
            <w:r>
              <w:rPr>
                <w:color w:val="C0483F"/>
                <w:sz w:val="17"/>
                <w:szCs w:val="17"/>
              </w:rPr>
              <w:t xml:space="preserve">No cash moves. The entry is a debit to interest expense and a credit to the discount account.</w:t>
            </w:r>
          </w:p>
        </w:tc>
      </w:tr>
      <w:tr>
        <w:tc>
          <w:tcPr>
            <w:tcMar>
              <w:top w:type="dxa" w:w="55"/>
              <w:left w:type="dxa" w:w="115"/>
              <w:bottom w:type="dxa" w:w="55"/>
              <w:right w:type="dxa" w:w="115"/>
            </w:tcMar>
          </w:tcPr>
          <w:p>
            <w:r>
              <w:rPr>
                <w:b/>
                <w:bCs/>
                <w:sz w:val="18"/>
                <w:szCs w:val="18"/>
              </w:rPr>
              <w:t xml:space="preserve">call premium</w:t>
            </w:r>
          </w:p>
        </w:tc>
        <w:tc>
          <w:tcPr>
            <w:tcMar>
              <w:top w:type="dxa" w:w="55"/>
              <w:left w:type="dxa" w:w="115"/>
              <w:bottom w:type="dxa" w:w="55"/>
              <w:right w:type="dxa" w:w="115"/>
            </w:tcMar>
          </w:tcPr>
          <w:p>
            <w:r>
              <w:rPr>
                <w:sz w:val="18"/>
                <w:szCs w:val="18"/>
              </w:rPr>
              <w:t xml:space="preserve">The excess over face value an issuer must pay to redeem a bond under a call provision.</w:t>
            </w:r>
          </w:p>
        </w:tc>
        <w:tc>
          <w:tcPr>
            <w:tcMar>
              <w:top w:type="dxa" w:w="55"/>
              <w:left w:type="dxa" w:w="115"/>
              <w:bottom w:type="dxa" w:w="55"/>
              <w:right w:type="dxa" w:w="115"/>
            </w:tcMar>
          </w:tcPr>
          <w:p>
            <w:pPr>
              <w:bidi/>
              <w:jc w:val="right"/>
            </w:pPr>
            <w:r>
              <w:rPr>
                <w:rFonts w:cs="Arial" w:ascii="Arial" w:hAnsi="Arial"/>
                <w:rtl/>
                <w:bidi/>
                <w:sz w:val="18"/>
                <w:szCs w:val="18"/>
              </w:rPr>
              <w:t xml:space="preserve">علاوة الاستدعاء</w:t>
            </w:r>
          </w:p>
        </w:tc>
        <w:tc>
          <w:tcPr>
            <w:tcMar>
              <w:top w:type="dxa" w:w="55"/>
              <w:left w:type="dxa" w:w="115"/>
              <w:bottom w:type="dxa" w:w="55"/>
              <w:right w:type="dxa" w:w="115"/>
            </w:tcMar>
          </w:tcPr>
          <w:p>
            <w:r>
              <w:rPr>
                <w:color w:val="C0483F"/>
                <w:sz w:val="17"/>
                <w:szCs w:val="17"/>
              </w:rPr>
              <w:t xml:space="preserve">The price of the option the issuer reserved. It is what makes most early retirements show a loss.</w:t>
            </w:r>
          </w:p>
        </w:tc>
      </w:tr>
      <w:tr>
        <w:tc>
          <w:tcPr>
            <w:tcMar>
              <w:top w:type="dxa" w:w="55"/>
              <w:left w:type="dxa" w:w="115"/>
              <w:bottom w:type="dxa" w:w="55"/>
              <w:right w:type="dxa" w:w="115"/>
            </w:tcMar>
          </w:tcPr>
          <w:p>
            <w:r>
              <w:rPr>
                <w:b/>
                <w:bCs/>
                <w:sz w:val="18"/>
                <w:szCs w:val="18"/>
              </w:rPr>
              <w:t xml:space="preserve">carrying amount</w:t>
            </w:r>
          </w:p>
        </w:tc>
        <w:tc>
          <w:tcPr>
            <w:tcMar>
              <w:top w:type="dxa" w:w="55"/>
              <w:left w:type="dxa" w:w="115"/>
              <w:bottom w:type="dxa" w:w="55"/>
              <w:right w:type="dxa" w:w="115"/>
            </w:tcMar>
          </w:tcPr>
          <w:p>
            <w:r>
              <w:rPr>
                <w:sz w:val="18"/>
                <w:szCs w:val="18"/>
              </w:rPr>
              <w:t xml:space="preserve">The amount at which a liability stands in the books, which for a bond is the issue price adjusted for amortisation to date.</w:t>
            </w:r>
          </w:p>
        </w:tc>
        <w:tc>
          <w:tcPr>
            <w:tcMar>
              <w:top w:type="dxa" w:w="55"/>
              <w:left w:type="dxa" w:w="115"/>
              <w:bottom w:type="dxa" w:w="55"/>
              <w:right w:type="dxa" w:w="115"/>
            </w:tcMar>
          </w:tcPr>
          <w:p>
            <w:pPr>
              <w:bidi/>
              <w:jc w:val="right"/>
            </w:pPr>
            <w:r>
              <w:rPr>
                <w:rFonts w:cs="Arial" w:ascii="Arial" w:hAnsi="Arial"/>
                <w:rtl/>
                <w:bidi/>
                <w:sz w:val="18"/>
                <w:szCs w:val="18"/>
              </w:rPr>
              <w:t xml:space="preserve">المبلغ المدرج</w:t>
            </w:r>
          </w:p>
        </w:tc>
        <w:tc>
          <w:tcPr>
            <w:tcMar>
              <w:top w:type="dxa" w:w="55"/>
              <w:left w:type="dxa" w:w="115"/>
              <w:bottom w:type="dxa" w:w="55"/>
              <w:right w:type="dxa" w:w="115"/>
            </w:tcMar>
          </w:tcPr>
          <w:p>
            <w:r>
              <w:rPr>
                <w:color w:val="C0483F"/>
                <w:sz w:val="17"/>
                <w:szCs w:val="17"/>
              </w:rPr>
              <w:t xml:space="preserve">Neither the face value nor the market price. On a bond issued at par it happens to equal the face, which is why this volume starts there.</w:t>
            </w:r>
          </w:p>
        </w:tc>
      </w:tr>
      <w:tr>
        <w:tc>
          <w:tcPr>
            <w:tcMar>
              <w:top w:type="dxa" w:w="55"/>
              <w:left w:type="dxa" w:w="115"/>
              <w:bottom w:type="dxa" w:w="55"/>
              <w:right w:type="dxa" w:w="115"/>
            </w:tcMar>
          </w:tcPr>
          <w:p>
            <w:r>
              <w:rPr>
                <w:b/>
                <w:bCs/>
                <w:sz w:val="18"/>
                <w:szCs w:val="18"/>
              </w:rPr>
              <w:t xml:space="preserve">contingency</w:t>
            </w:r>
          </w:p>
        </w:tc>
        <w:tc>
          <w:tcPr>
            <w:tcMar>
              <w:top w:type="dxa" w:w="55"/>
              <w:left w:type="dxa" w:w="115"/>
              <w:bottom w:type="dxa" w:w="55"/>
              <w:right w:type="dxa" w:w="115"/>
            </w:tcMar>
          </w:tcPr>
          <w:p>
            <w:r>
              <w:rPr>
                <w:sz w:val="18"/>
                <w:szCs w:val="18"/>
              </w:rPr>
              <w:t xml:space="preserve">An existing condition whose outcome will be confirmed only by a future event outside the company’s control.</w:t>
            </w:r>
          </w:p>
        </w:tc>
        <w:tc>
          <w:tcPr>
            <w:tcMar>
              <w:top w:type="dxa" w:w="55"/>
              <w:left w:type="dxa" w:w="115"/>
              <w:bottom w:type="dxa" w:w="55"/>
              <w:right w:type="dxa" w:w="115"/>
            </w:tcMar>
          </w:tcPr>
          <w:p>
            <w:pPr>
              <w:bidi/>
              <w:jc w:val="right"/>
            </w:pPr>
            <w:r>
              <w:rPr>
                <w:rFonts w:cs="Arial" w:ascii="Arial" w:hAnsi="Arial"/>
                <w:rtl/>
                <w:bidi/>
                <w:sz w:val="18"/>
                <w:szCs w:val="18"/>
              </w:rPr>
              <w:t xml:space="preserve">الالتزام المحتمل</w:t>
            </w:r>
          </w:p>
        </w:tc>
        <w:tc>
          <w:tcPr>
            <w:tcMar>
              <w:top w:type="dxa" w:w="55"/>
              <w:left w:type="dxa" w:w="115"/>
              <w:bottom w:type="dxa" w:w="55"/>
              <w:right w:type="dxa" w:w="115"/>
            </w:tcMar>
          </w:tcPr>
          <w:p>
            <w:r>
              <w:rPr>
                <w:color w:val="C0483F"/>
                <w:sz w:val="17"/>
                <w:szCs w:val="17"/>
              </w:rPr>
              <w:t xml:space="preserve">The uncertainty is about whether an obligation exists at all, not merely about its amount.</w:t>
            </w:r>
          </w:p>
        </w:tc>
      </w:tr>
      <w:tr>
        <w:tc>
          <w:tcPr>
            <w:tcMar>
              <w:top w:type="dxa" w:w="55"/>
              <w:left w:type="dxa" w:w="115"/>
              <w:bottom w:type="dxa" w:w="55"/>
              <w:right w:type="dxa" w:w="115"/>
            </w:tcMar>
          </w:tcPr>
          <w:p>
            <w:r>
              <w:rPr>
                <w:b/>
                <w:bCs/>
                <w:sz w:val="18"/>
                <w:szCs w:val="18"/>
              </w:rPr>
              <w:t xml:space="preserve">convertible bond</w:t>
            </w:r>
          </w:p>
        </w:tc>
        <w:tc>
          <w:tcPr>
            <w:tcMar>
              <w:top w:type="dxa" w:w="55"/>
              <w:left w:type="dxa" w:w="115"/>
              <w:bottom w:type="dxa" w:w="55"/>
              <w:right w:type="dxa" w:w="115"/>
            </w:tcMar>
          </w:tcPr>
          <w:p>
            <w:r>
              <w:rPr>
                <w:sz w:val="18"/>
                <w:szCs w:val="18"/>
              </w:rPr>
              <w:t xml:space="preserve">A bond the holder may exchange for a fixed number of the issuer’s shares.</w:t>
            </w:r>
          </w:p>
        </w:tc>
        <w:tc>
          <w:tcPr>
            <w:tcMar>
              <w:top w:type="dxa" w:w="55"/>
              <w:left w:type="dxa" w:w="115"/>
              <w:bottom w:type="dxa" w:w="55"/>
              <w:right w:type="dxa" w:w="115"/>
            </w:tcMar>
          </w:tcPr>
          <w:p>
            <w:pPr>
              <w:bidi/>
              <w:jc w:val="right"/>
            </w:pPr>
            <w:r>
              <w:rPr>
                <w:rFonts w:cs="Arial" w:ascii="Arial" w:hAnsi="Arial"/>
                <w:rtl/>
                <w:bidi/>
                <w:sz w:val="18"/>
                <w:szCs w:val="18"/>
              </w:rPr>
              <w:t xml:space="preserve">سند قابل للتحويل</w:t>
            </w:r>
          </w:p>
        </w:tc>
        <w:tc>
          <w:tcPr>
            <w:tcMar>
              <w:top w:type="dxa" w:w="55"/>
              <w:left w:type="dxa" w:w="115"/>
              <w:bottom w:type="dxa" w:w="55"/>
              <w:right w:type="dxa" w:w="115"/>
            </w:tcMar>
          </w:tcPr>
          <w:p>
            <w:r>
              <w:rPr>
                <w:color w:val="C0483F"/>
                <w:sz w:val="17"/>
                <w:szCs w:val="17"/>
              </w:rPr>
              <w:t xml:space="preserve">One instrument, and under US GAAP usually one liability. The conversion right is not separated.</w:t>
            </w:r>
          </w:p>
        </w:tc>
      </w:tr>
      <w:tr>
        <w:tc>
          <w:tcPr>
            <w:tcMar>
              <w:top w:type="dxa" w:w="55"/>
              <w:left w:type="dxa" w:w="115"/>
              <w:bottom w:type="dxa" w:w="55"/>
              <w:right w:type="dxa" w:w="115"/>
            </w:tcMar>
          </w:tcPr>
          <w:p>
            <w:r>
              <w:rPr>
                <w:b/>
                <w:bCs/>
                <w:sz w:val="18"/>
                <w:szCs w:val="18"/>
              </w:rPr>
              <w:t xml:space="preserve">coupon rate</w:t>
            </w:r>
          </w:p>
        </w:tc>
        <w:tc>
          <w:tcPr>
            <w:tcMar>
              <w:top w:type="dxa" w:w="55"/>
              <w:left w:type="dxa" w:w="115"/>
              <w:bottom w:type="dxa" w:w="55"/>
              <w:right w:type="dxa" w:w="115"/>
            </w:tcMar>
          </w:tcPr>
          <w:p>
            <w:r>
              <w:rPr>
                <w:sz w:val="18"/>
                <w:szCs w:val="18"/>
              </w:rPr>
              <w:t xml:space="preserve">The fixed rate, stated in the indenture, that determines the cash interest paid.</w:t>
            </w:r>
          </w:p>
        </w:tc>
        <w:tc>
          <w:tcPr>
            <w:tcMar>
              <w:top w:type="dxa" w:w="55"/>
              <w:left w:type="dxa" w:w="115"/>
              <w:bottom w:type="dxa" w:w="55"/>
              <w:right w:type="dxa" w:w="115"/>
            </w:tcMar>
          </w:tcPr>
          <w:p>
            <w:pPr>
              <w:bidi/>
              <w:jc w:val="right"/>
            </w:pPr>
            <w:r>
              <w:rPr>
                <w:rFonts w:cs="Arial" w:ascii="Arial" w:hAnsi="Arial"/>
                <w:rtl/>
                <w:bidi/>
                <w:sz w:val="18"/>
                <w:szCs w:val="18"/>
              </w:rPr>
              <w:t xml:space="preserve">سعر الكوبون</w:t>
            </w:r>
          </w:p>
        </w:tc>
        <w:tc>
          <w:tcPr>
            <w:tcMar>
              <w:top w:type="dxa" w:w="55"/>
              <w:left w:type="dxa" w:w="115"/>
              <w:bottom w:type="dxa" w:w="55"/>
              <w:right w:type="dxa" w:w="115"/>
            </w:tcMar>
          </w:tcPr>
          <w:p>
            <w:r>
              <w:rPr>
                <w:color w:val="C0483F"/>
                <w:sz w:val="17"/>
                <w:szCs w:val="17"/>
              </w:rPr>
              <w:t xml:space="preserve">Fixed for the life of the bond. Everything that moves — the price, the yield, the carrying amount — moves around it.</w:t>
            </w:r>
          </w:p>
        </w:tc>
      </w:tr>
      <w:tr>
        <w:tc>
          <w:tcPr>
            <w:tcMar>
              <w:top w:type="dxa" w:w="55"/>
              <w:left w:type="dxa" w:w="115"/>
              <w:bottom w:type="dxa" w:w="55"/>
              <w:right w:type="dxa" w:w="115"/>
            </w:tcMar>
          </w:tcPr>
          <w:p>
            <w:r>
              <w:rPr>
                <w:b/>
                <w:bCs/>
                <w:sz w:val="18"/>
                <w:szCs w:val="18"/>
              </w:rPr>
              <w:t xml:space="preserve">covenant</w:t>
            </w:r>
          </w:p>
        </w:tc>
        <w:tc>
          <w:tcPr>
            <w:tcMar>
              <w:top w:type="dxa" w:w="55"/>
              <w:left w:type="dxa" w:w="115"/>
              <w:bottom w:type="dxa" w:w="55"/>
              <w:right w:type="dxa" w:w="115"/>
            </w:tcMar>
          </w:tcPr>
          <w:p>
            <w:r>
              <w:rPr>
                <w:sz w:val="18"/>
                <w:szCs w:val="18"/>
              </w:rPr>
              <w:t xml:space="preserve">A promise in the indenture about what the issuer will or will not do.</w:t>
            </w:r>
          </w:p>
        </w:tc>
        <w:tc>
          <w:tcPr>
            <w:tcMar>
              <w:top w:type="dxa" w:w="55"/>
              <w:left w:type="dxa" w:w="115"/>
              <w:bottom w:type="dxa" w:w="55"/>
              <w:right w:type="dxa" w:w="115"/>
            </w:tcMar>
          </w:tcPr>
          <w:p>
            <w:pPr>
              <w:bidi/>
              <w:jc w:val="right"/>
            </w:pPr>
            <w:r>
              <w:rPr>
                <w:rFonts w:cs="Arial" w:ascii="Arial" w:hAnsi="Arial"/>
                <w:rtl/>
                <w:bidi/>
                <w:sz w:val="18"/>
                <w:szCs w:val="18"/>
              </w:rPr>
              <w:t xml:space="preserve">تعهد</w:t>
            </w:r>
          </w:p>
        </w:tc>
        <w:tc>
          <w:tcPr>
            <w:tcMar>
              <w:top w:type="dxa" w:w="55"/>
              <w:left w:type="dxa" w:w="115"/>
              <w:bottom w:type="dxa" w:w="55"/>
              <w:right w:type="dxa" w:w="115"/>
            </w:tcMar>
          </w:tcPr>
          <w:p>
            <w:r>
              <w:rPr>
                <w:color w:val="C0483F"/>
                <w:sz w:val="17"/>
                <w:szCs w:val="17"/>
              </w:rPr>
              <w:t xml:space="preserve">Breach usually accelerates the debt, which is how a long-term liability becomes current overnight.</w:t>
            </w:r>
          </w:p>
        </w:tc>
      </w:tr>
      <w:tr>
        <w:tc>
          <w:tcPr>
            <w:tcMar>
              <w:top w:type="dxa" w:w="55"/>
              <w:left w:type="dxa" w:w="115"/>
              <w:bottom w:type="dxa" w:w="55"/>
              <w:right w:type="dxa" w:w="115"/>
            </w:tcMar>
          </w:tcPr>
          <w:p>
            <w:r>
              <w:rPr>
                <w:b/>
                <w:bCs/>
                <w:sz w:val="18"/>
                <w:szCs w:val="18"/>
              </w:rPr>
              <w:t xml:space="preserve">credit spread</w:t>
            </w:r>
          </w:p>
        </w:tc>
        <w:tc>
          <w:tcPr>
            <w:tcMar>
              <w:top w:type="dxa" w:w="55"/>
              <w:left w:type="dxa" w:w="115"/>
              <w:bottom w:type="dxa" w:w="55"/>
              <w:right w:type="dxa" w:w="115"/>
            </w:tcMar>
          </w:tcPr>
          <w:p>
            <w:r>
              <w:rPr>
                <w:sz w:val="18"/>
                <w:szCs w:val="18"/>
              </w:rPr>
              <w:t xml:space="preserve">The amount by which the rate required from a borrower exceeds the rate on a risk-free bond of the same term.</w:t>
            </w:r>
          </w:p>
        </w:tc>
        <w:tc>
          <w:tcPr>
            <w:tcMar>
              <w:top w:type="dxa" w:w="55"/>
              <w:left w:type="dxa" w:w="115"/>
              <w:bottom w:type="dxa" w:w="55"/>
              <w:right w:type="dxa" w:w="115"/>
            </w:tcMar>
          </w:tcPr>
          <w:p>
            <w:pPr>
              <w:bidi/>
              <w:jc w:val="right"/>
            </w:pPr>
            <w:r>
              <w:rPr>
                <w:rFonts w:cs="Arial" w:ascii="Arial" w:hAnsi="Arial"/>
                <w:rtl/>
                <w:bidi/>
                <w:sz w:val="18"/>
                <w:szCs w:val="18"/>
              </w:rPr>
              <w:t xml:space="preserve">هامش الائتمان</w:t>
            </w:r>
          </w:p>
        </w:tc>
        <w:tc>
          <w:tcPr>
            <w:tcMar>
              <w:top w:type="dxa" w:w="55"/>
              <w:left w:type="dxa" w:w="115"/>
              <w:bottom w:type="dxa" w:w="55"/>
              <w:right w:type="dxa" w:w="115"/>
            </w:tcMar>
          </w:tcPr>
          <w:p>
            <w:r>
              <w:rPr>
                <w:color w:val="C0483F"/>
                <w:sz w:val="17"/>
                <w:szCs w:val="17"/>
              </w:rPr>
              <w:t xml:space="preserve">The second thing that moves a bond price. Rates can be flat and a bond still fall, if the issuer’s credit worsens.</w:t>
            </w:r>
          </w:p>
        </w:tc>
      </w:tr>
      <w:tr>
        <w:tc>
          <w:tcPr>
            <w:tcMar>
              <w:top w:type="dxa" w:w="55"/>
              <w:left w:type="dxa" w:w="115"/>
              <w:bottom w:type="dxa" w:w="55"/>
              <w:right w:type="dxa" w:w="115"/>
            </w:tcMar>
          </w:tcPr>
          <w:p>
            <w:r>
              <w:rPr>
                <w:b/>
                <w:bCs/>
                <w:sz w:val="18"/>
                <w:szCs w:val="18"/>
              </w:rPr>
              <w:t xml:space="preserve">current yield</w:t>
            </w:r>
          </w:p>
        </w:tc>
        <w:tc>
          <w:tcPr>
            <w:tcMar>
              <w:top w:type="dxa" w:w="55"/>
              <w:left w:type="dxa" w:w="115"/>
              <w:bottom w:type="dxa" w:w="55"/>
              <w:right w:type="dxa" w:w="115"/>
            </w:tcMar>
          </w:tcPr>
          <w:p>
            <w:r>
              <w:rPr>
                <w:sz w:val="18"/>
                <w:szCs w:val="18"/>
              </w:rPr>
              <w:t xml:space="preserve">The annual coupon divided by the bond’s current market price.</w:t>
            </w:r>
          </w:p>
        </w:tc>
        <w:tc>
          <w:tcPr>
            <w:tcMar>
              <w:top w:type="dxa" w:w="55"/>
              <w:left w:type="dxa" w:w="115"/>
              <w:bottom w:type="dxa" w:w="55"/>
              <w:right w:type="dxa" w:w="115"/>
            </w:tcMar>
          </w:tcPr>
          <w:p>
            <w:pPr>
              <w:bidi/>
              <w:jc w:val="right"/>
            </w:pPr>
            <w:r>
              <w:rPr>
                <w:rFonts w:cs="Arial" w:ascii="Arial" w:hAnsi="Arial"/>
                <w:rtl/>
                <w:bidi/>
                <w:sz w:val="18"/>
                <w:szCs w:val="18"/>
              </w:rPr>
              <w:t xml:space="preserve">العائد الجاري</w:t>
            </w:r>
          </w:p>
        </w:tc>
        <w:tc>
          <w:tcPr>
            <w:tcMar>
              <w:top w:type="dxa" w:w="55"/>
              <w:left w:type="dxa" w:w="115"/>
              <w:bottom w:type="dxa" w:w="55"/>
              <w:right w:type="dxa" w:w="115"/>
            </w:tcMar>
          </w:tcPr>
          <w:p>
            <w:r>
              <w:rPr>
                <w:color w:val="C0483F"/>
                <w:sz w:val="17"/>
                <w:szCs w:val="17"/>
              </w:rPr>
              <w:t xml:space="preserve">A crude measure that ignores the discount or premium entirely. The exam offers it as a distractor for yield to maturity.</w:t>
            </w:r>
          </w:p>
        </w:tc>
      </w:tr>
      <w:tr>
        <w:tc>
          <w:tcPr>
            <w:tcMar>
              <w:top w:type="dxa" w:w="55"/>
              <w:left w:type="dxa" w:w="115"/>
              <w:bottom w:type="dxa" w:w="55"/>
              <w:right w:type="dxa" w:w="115"/>
            </w:tcMar>
          </w:tcPr>
          <w:p>
            <w:r>
              <w:rPr>
                <w:b/>
                <w:bCs/>
                <w:sz w:val="18"/>
                <w:szCs w:val="18"/>
              </w:rPr>
              <w:t xml:space="preserve">debenture</w:t>
            </w:r>
          </w:p>
        </w:tc>
        <w:tc>
          <w:tcPr>
            <w:tcMar>
              <w:top w:type="dxa" w:w="55"/>
              <w:left w:type="dxa" w:w="115"/>
              <w:bottom w:type="dxa" w:w="55"/>
              <w:right w:type="dxa" w:w="115"/>
            </w:tcMar>
          </w:tcPr>
          <w:p>
            <w:r>
              <w:rPr>
                <w:sz w:val="18"/>
                <w:szCs w:val="18"/>
              </w:rPr>
              <w:t xml:space="preserve">A bond backed by the issuer’s general credit rather than by specific collateral.</w:t>
            </w:r>
          </w:p>
        </w:tc>
        <w:tc>
          <w:tcPr>
            <w:tcMar>
              <w:top w:type="dxa" w:w="55"/>
              <w:left w:type="dxa" w:w="115"/>
              <w:bottom w:type="dxa" w:w="55"/>
              <w:right w:type="dxa" w:w="115"/>
            </w:tcMar>
          </w:tcPr>
          <w:p>
            <w:pPr>
              <w:bidi/>
              <w:jc w:val="right"/>
            </w:pPr>
            <w:r>
              <w:rPr>
                <w:rFonts w:cs="Arial" w:ascii="Arial" w:hAnsi="Arial"/>
                <w:rtl/>
                <w:bidi/>
                <w:sz w:val="18"/>
                <w:szCs w:val="18"/>
              </w:rPr>
              <w:t xml:space="preserve">سند غير مضمون</w:t>
            </w:r>
          </w:p>
        </w:tc>
        <w:tc>
          <w:tcPr>
            <w:tcMar>
              <w:top w:type="dxa" w:w="55"/>
              <w:left w:type="dxa" w:w="115"/>
              <w:bottom w:type="dxa" w:w="55"/>
              <w:right w:type="dxa" w:w="115"/>
            </w:tcMar>
          </w:tcPr>
          <w:p>
            <w:r>
              <w:rPr>
                <w:color w:val="C0483F"/>
                <w:sz w:val="17"/>
                <w:szCs w:val="17"/>
              </w:rPr>
              <w:t xml:space="preserve">Unsecured, so it carries a higher coupon than a secured bond of the same issuer.</w:t>
            </w:r>
          </w:p>
        </w:tc>
      </w:tr>
      <w:tr>
        <w:tc>
          <w:tcPr>
            <w:tcMar>
              <w:top w:type="dxa" w:w="55"/>
              <w:left w:type="dxa" w:w="115"/>
              <w:bottom w:type="dxa" w:w="55"/>
              <w:right w:type="dxa" w:w="115"/>
            </w:tcMar>
          </w:tcPr>
          <w:p>
            <w:r>
              <w:rPr>
                <w:b/>
                <w:bCs/>
                <w:sz w:val="18"/>
                <w:szCs w:val="18"/>
              </w:rPr>
              <w:t xml:space="preserve">detachable warrant</w:t>
            </w:r>
          </w:p>
        </w:tc>
        <w:tc>
          <w:tcPr>
            <w:tcMar>
              <w:top w:type="dxa" w:w="55"/>
              <w:left w:type="dxa" w:w="115"/>
              <w:bottom w:type="dxa" w:w="55"/>
              <w:right w:type="dxa" w:w="115"/>
            </w:tcMar>
          </w:tcPr>
          <w:p>
            <w:r>
              <w:rPr>
                <w:sz w:val="18"/>
                <w:szCs w:val="18"/>
              </w:rPr>
              <w:t xml:space="preserve">A right to buy shares at a stated price, issued with a bond and tradable separately from it.</w:t>
            </w:r>
          </w:p>
        </w:tc>
        <w:tc>
          <w:tcPr>
            <w:tcMar>
              <w:top w:type="dxa" w:w="55"/>
              <w:left w:type="dxa" w:w="115"/>
              <w:bottom w:type="dxa" w:w="55"/>
              <w:right w:type="dxa" w:w="115"/>
            </w:tcMar>
          </w:tcPr>
          <w:p>
            <w:pPr>
              <w:bidi/>
              <w:jc w:val="right"/>
            </w:pPr>
            <w:r>
              <w:rPr>
                <w:rFonts w:cs="Arial" w:ascii="Arial" w:hAnsi="Arial"/>
                <w:rtl/>
                <w:bidi/>
                <w:sz w:val="18"/>
                <w:szCs w:val="18"/>
              </w:rPr>
              <w:t xml:space="preserve">أمر اكتتاب قابل للفصل</w:t>
            </w:r>
          </w:p>
        </w:tc>
        <w:tc>
          <w:tcPr>
            <w:tcMar>
              <w:top w:type="dxa" w:w="55"/>
              <w:left w:type="dxa" w:w="115"/>
              <w:bottom w:type="dxa" w:w="55"/>
              <w:right w:type="dxa" w:w="115"/>
            </w:tcMar>
          </w:tcPr>
          <w:p>
            <w:r>
              <w:rPr>
                <w:color w:val="C0483F"/>
                <w:sz w:val="17"/>
                <w:szCs w:val="17"/>
              </w:rPr>
              <w:t xml:space="preserve">Detachable is the word that matters. Because it can be sold on its own it has its own value, and part of the proceeds is allocated to equity.</w:t>
            </w:r>
          </w:p>
        </w:tc>
      </w:tr>
      <w:tr>
        <w:tc>
          <w:tcPr>
            <w:tcMar>
              <w:top w:type="dxa" w:w="55"/>
              <w:left w:type="dxa" w:w="115"/>
              <w:bottom w:type="dxa" w:w="55"/>
              <w:right w:type="dxa" w:w="115"/>
            </w:tcMar>
          </w:tcPr>
          <w:p>
            <w:r>
              <w:rPr>
                <w:b/>
                <w:bCs/>
                <w:sz w:val="18"/>
                <w:szCs w:val="18"/>
              </w:rPr>
              <w:t xml:space="preserve">discount on bonds payable</w:t>
            </w:r>
          </w:p>
        </w:tc>
        <w:tc>
          <w:tcPr>
            <w:tcMar>
              <w:top w:type="dxa" w:w="55"/>
              <w:left w:type="dxa" w:w="115"/>
              <w:bottom w:type="dxa" w:w="55"/>
              <w:right w:type="dxa" w:w="115"/>
            </w:tcMar>
          </w:tcPr>
          <w:p>
            <w:r>
              <w:rPr>
                <w:sz w:val="18"/>
                <w:szCs w:val="18"/>
              </w:rPr>
              <w:t xml:space="preserve">The excess of a bond’s face value over its issue price.</w:t>
            </w:r>
          </w:p>
        </w:tc>
        <w:tc>
          <w:tcPr>
            <w:tcMar>
              <w:top w:type="dxa" w:w="55"/>
              <w:left w:type="dxa" w:w="115"/>
              <w:bottom w:type="dxa" w:w="55"/>
              <w:right w:type="dxa" w:w="115"/>
            </w:tcMar>
          </w:tcPr>
          <w:p>
            <w:pPr>
              <w:bidi/>
              <w:jc w:val="right"/>
            </w:pPr>
            <w:r>
              <w:rPr>
                <w:rFonts w:cs="Arial" w:ascii="Arial" w:hAnsi="Arial"/>
                <w:rtl/>
                <w:bidi/>
                <w:sz w:val="18"/>
                <w:szCs w:val="18"/>
              </w:rPr>
              <w:t xml:space="preserve">خصم إصدار السندات</w:t>
            </w:r>
          </w:p>
        </w:tc>
        <w:tc>
          <w:tcPr>
            <w:tcMar>
              <w:top w:type="dxa" w:w="55"/>
              <w:left w:type="dxa" w:w="115"/>
              <w:bottom w:type="dxa" w:w="55"/>
              <w:right w:type="dxa" w:w="115"/>
            </w:tcMar>
          </w:tcPr>
          <w:p>
            <w:r>
              <w:rPr>
                <w:color w:val="C0483F"/>
                <w:sz w:val="17"/>
                <w:szCs w:val="17"/>
              </w:rPr>
              <w:t xml:space="preserve">A contra account, deducted from bonds payable. It is additional interest the issuer pays at maturity.</w:t>
            </w:r>
          </w:p>
        </w:tc>
      </w:tr>
      <w:tr>
        <w:tc>
          <w:tcPr>
            <w:tcMar>
              <w:top w:type="dxa" w:w="55"/>
              <w:left w:type="dxa" w:w="115"/>
              <w:bottom w:type="dxa" w:w="55"/>
              <w:right w:type="dxa" w:w="115"/>
            </w:tcMar>
          </w:tcPr>
          <w:p>
            <w:r>
              <w:rPr>
                <w:b/>
                <w:bCs/>
                <w:sz w:val="18"/>
                <w:szCs w:val="18"/>
              </w:rPr>
              <w:t xml:space="preserve">duration</w:t>
            </w:r>
          </w:p>
        </w:tc>
        <w:tc>
          <w:tcPr>
            <w:tcMar>
              <w:top w:type="dxa" w:w="55"/>
              <w:left w:type="dxa" w:w="115"/>
              <w:bottom w:type="dxa" w:w="55"/>
              <w:right w:type="dxa" w:w="115"/>
            </w:tcMar>
          </w:tcPr>
          <w:p>
            <w:r>
              <w:rPr>
                <w:sz w:val="18"/>
                <w:szCs w:val="18"/>
              </w:rPr>
              <w:t xml:space="preserve">A measure of how much a bond’s price moves when interest rates change, expressed in years.</w:t>
            </w:r>
          </w:p>
        </w:tc>
        <w:tc>
          <w:tcPr>
            <w:tcMar>
              <w:top w:type="dxa" w:w="55"/>
              <w:left w:type="dxa" w:w="115"/>
              <w:bottom w:type="dxa" w:w="55"/>
              <w:right w:type="dxa" w:w="115"/>
            </w:tcMar>
          </w:tcPr>
          <w:p>
            <w:pPr>
              <w:bidi/>
              <w:jc w:val="right"/>
            </w:pPr>
            <w:r>
              <w:rPr>
                <w:rFonts w:cs="Arial" w:ascii="Arial" w:hAnsi="Arial"/>
                <w:rtl/>
                <w:bidi/>
                <w:sz w:val="18"/>
                <w:szCs w:val="18"/>
              </w:rPr>
              <w:t xml:space="preserve">المدة</w:t>
            </w:r>
          </w:p>
        </w:tc>
        <w:tc>
          <w:tcPr>
            <w:tcMar>
              <w:top w:type="dxa" w:w="55"/>
              <w:left w:type="dxa" w:w="115"/>
              <w:bottom w:type="dxa" w:w="55"/>
              <w:right w:type="dxa" w:w="115"/>
            </w:tcMar>
          </w:tcPr>
          <w:p>
            <w:r>
              <w:rPr>
                <w:color w:val="C0483F"/>
                <w:sz w:val="17"/>
                <w:szCs w:val="17"/>
              </w:rPr>
              <w:t xml:space="preserve">Longer duration means a larger price swing. It is driven by the timing of the cash flows, not by the maturity date alone.</w:t>
            </w:r>
          </w:p>
        </w:tc>
      </w:tr>
      <w:tr>
        <w:tc>
          <w:tcPr>
            <w:tcMar>
              <w:top w:type="dxa" w:w="55"/>
              <w:left w:type="dxa" w:w="115"/>
              <w:bottom w:type="dxa" w:w="55"/>
              <w:right w:type="dxa" w:w="115"/>
            </w:tcMar>
          </w:tcPr>
          <w:p>
            <w:r>
              <w:rPr>
                <w:b/>
                <w:bCs/>
                <w:sz w:val="18"/>
                <w:szCs w:val="18"/>
              </w:rPr>
              <w:t xml:space="preserve">effective interest rate</w:t>
            </w:r>
          </w:p>
        </w:tc>
        <w:tc>
          <w:tcPr>
            <w:tcMar>
              <w:top w:type="dxa" w:w="55"/>
              <w:left w:type="dxa" w:w="115"/>
              <w:bottom w:type="dxa" w:w="55"/>
              <w:right w:type="dxa" w:w="115"/>
            </w:tcMar>
          </w:tcPr>
          <w:p>
            <w:r>
              <w:rPr>
                <w:sz w:val="18"/>
                <w:szCs w:val="18"/>
              </w:rPr>
              <w:t xml:space="preserve">The rate that, applied to the carrying amount each period, produces the interest the borrowing really costs.</w:t>
            </w:r>
          </w:p>
        </w:tc>
        <w:tc>
          <w:tcPr>
            <w:tcMar>
              <w:top w:type="dxa" w:w="55"/>
              <w:left w:type="dxa" w:w="115"/>
              <w:bottom w:type="dxa" w:w="55"/>
              <w:right w:type="dxa" w:w="115"/>
            </w:tcMar>
          </w:tcPr>
          <w:p>
            <w:pPr>
              <w:bidi/>
              <w:jc w:val="right"/>
            </w:pPr>
            <w:r>
              <w:rPr>
                <w:rFonts w:cs="Arial" w:ascii="Arial" w:hAnsi="Arial"/>
                <w:rtl/>
                <w:bidi/>
                <w:sz w:val="18"/>
                <w:szCs w:val="18"/>
              </w:rPr>
              <w:t xml:space="preserve">سعر الفائدة الفعلي</w:t>
            </w:r>
          </w:p>
        </w:tc>
        <w:tc>
          <w:tcPr>
            <w:tcMar>
              <w:top w:type="dxa" w:w="55"/>
              <w:left w:type="dxa" w:w="115"/>
              <w:bottom w:type="dxa" w:w="55"/>
              <w:right w:type="dxa" w:w="115"/>
            </w:tcMar>
          </w:tcPr>
          <w:p>
            <w:r>
              <w:rPr>
                <w:color w:val="C0483F"/>
                <w:sz w:val="17"/>
                <w:szCs w:val="17"/>
              </w:rPr>
              <w:t xml:space="preserve">The market rate at issue, and it does not change afterwards even though market rates do.</w:t>
            </w:r>
          </w:p>
        </w:tc>
      </w:tr>
      <w:tr>
        <w:tc>
          <w:tcPr>
            <w:tcMar>
              <w:top w:type="dxa" w:w="55"/>
              <w:left w:type="dxa" w:w="115"/>
              <w:bottom w:type="dxa" w:w="55"/>
              <w:right w:type="dxa" w:w="115"/>
            </w:tcMar>
          </w:tcPr>
          <w:p>
            <w:r>
              <w:rPr>
                <w:b/>
                <w:bCs/>
                <w:sz w:val="18"/>
                <w:szCs w:val="18"/>
              </w:rPr>
              <w:t xml:space="preserve">extinguishment</w:t>
            </w:r>
          </w:p>
        </w:tc>
        <w:tc>
          <w:tcPr>
            <w:tcMar>
              <w:top w:type="dxa" w:w="55"/>
              <w:left w:type="dxa" w:w="115"/>
              <w:bottom w:type="dxa" w:w="55"/>
              <w:right w:type="dxa" w:w="115"/>
            </w:tcMar>
          </w:tcPr>
          <w:p>
            <w:r>
              <w:rPr>
                <w:sz w:val="18"/>
                <w:szCs w:val="18"/>
              </w:rPr>
              <w:t xml:space="preserve">The settlement of a debt before its maturity date, by repurchase or by call.</w:t>
            </w:r>
          </w:p>
        </w:tc>
        <w:tc>
          <w:tcPr>
            <w:tcMar>
              <w:top w:type="dxa" w:w="55"/>
              <w:left w:type="dxa" w:w="115"/>
              <w:bottom w:type="dxa" w:w="55"/>
              <w:right w:type="dxa" w:w="115"/>
            </w:tcMar>
          </w:tcPr>
          <w:p>
            <w:pPr>
              <w:bidi/>
              <w:jc w:val="right"/>
            </w:pPr>
            <w:r>
              <w:rPr>
                <w:rFonts w:cs="Arial" w:ascii="Arial" w:hAnsi="Arial"/>
                <w:rtl/>
                <w:bidi/>
                <w:sz w:val="18"/>
                <w:szCs w:val="18"/>
              </w:rPr>
              <w:t xml:space="preserve">إطفاء الدين</w:t>
            </w:r>
          </w:p>
        </w:tc>
        <w:tc>
          <w:tcPr>
            <w:tcMar>
              <w:top w:type="dxa" w:w="55"/>
              <w:left w:type="dxa" w:w="115"/>
              <w:bottom w:type="dxa" w:w="55"/>
              <w:right w:type="dxa" w:w="115"/>
            </w:tcMar>
          </w:tcPr>
          <w:p>
            <w:r>
              <w:rPr>
                <w:color w:val="C0483F"/>
                <w:sz w:val="17"/>
                <w:szCs w:val="17"/>
              </w:rPr>
              <w:t xml:space="preserve">The gain or loss is the difference between the carrying amount and the cash paid, and it goes to profit at once.</w:t>
            </w:r>
          </w:p>
        </w:tc>
      </w:tr>
      <w:tr>
        <w:tc>
          <w:tcPr>
            <w:tcMar>
              <w:top w:type="dxa" w:w="55"/>
              <w:left w:type="dxa" w:w="115"/>
              <w:bottom w:type="dxa" w:w="55"/>
              <w:right w:type="dxa" w:w="115"/>
            </w:tcMar>
          </w:tcPr>
          <w:p>
            <w:r>
              <w:rPr>
                <w:b/>
                <w:bCs/>
                <w:sz w:val="18"/>
                <w:szCs w:val="18"/>
              </w:rPr>
              <w:t xml:space="preserve">face value</w:t>
            </w:r>
          </w:p>
        </w:tc>
        <w:tc>
          <w:tcPr>
            <w:tcMar>
              <w:top w:type="dxa" w:w="55"/>
              <w:left w:type="dxa" w:w="115"/>
              <w:bottom w:type="dxa" w:w="55"/>
              <w:right w:type="dxa" w:w="115"/>
            </w:tcMar>
          </w:tcPr>
          <w:p>
            <w:r>
              <w:rPr>
                <w:sz w:val="18"/>
                <w:szCs w:val="18"/>
              </w:rPr>
              <w:t xml:space="preserve">The amount a bond repays at maturity, on which the coupon is computed.</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الاسمية للسند</w:t>
            </w:r>
          </w:p>
        </w:tc>
        <w:tc>
          <w:tcPr>
            <w:tcMar>
              <w:top w:type="dxa" w:w="55"/>
              <w:left w:type="dxa" w:w="115"/>
              <w:bottom w:type="dxa" w:w="55"/>
              <w:right w:type="dxa" w:w="115"/>
            </w:tcMar>
          </w:tcPr>
          <w:p>
            <w:r>
              <w:rPr>
                <w:color w:val="C0483F"/>
                <w:sz w:val="17"/>
                <w:szCs w:val="17"/>
              </w:rPr>
              <w:t xml:space="preserve">Also called par. It is what is repaid and almost never what the bond was sold for.</w:t>
            </w:r>
          </w:p>
        </w:tc>
      </w:tr>
      <w:tr>
        <w:tc>
          <w:tcPr>
            <w:tcMar>
              <w:top w:type="dxa" w:w="55"/>
              <w:left w:type="dxa" w:w="115"/>
              <w:bottom w:type="dxa" w:w="55"/>
              <w:right w:type="dxa" w:w="115"/>
            </w:tcMar>
          </w:tcPr>
          <w:p>
            <w:r>
              <w:rPr>
                <w:b/>
                <w:bCs/>
                <w:sz w:val="18"/>
                <w:szCs w:val="18"/>
              </w:rPr>
              <w:t xml:space="preserve">gain contingency</w:t>
            </w:r>
          </w:p>
        </w:tc>
        <w:tc>
          <w:tcPr>
            <w:tcMar>
              <w:top w:type="dxa" w:w="55"/>
              <w:left w:type="dxa" w:w="115"/>
              <w:bottom w:type="dxa" w:w="55"/>
              <w:right w:type="dxa" w:w="115"/>
            </w:tcMar>
          </w:tcPr>
          <w:p>
            <w:r>
              <w:rPr>
                <w:sz w:val="18"/>
                <w:szCs w:val="18"/>
              </w:rPr>
              <w:t xml:space="preserve">A contingency whose resolution would create a gain.</w:t>
            </w:r>
          </w:p>
        </w:tc>
        <w:tc>
          <w:tcPr>
            <w:tcMar>
              <w:top w:type="dxa" w:w="55"/>
              <w:left w:type="dxa" w:w="115"/>
              <w:bottom w:type="dxa" w:w="55"/>
              <w:right w:type="dxa" w:w="115"/>
            </w:tcMar>
          </w:tcPr>
          <w:p>
            <w:pPr>
              <w:bidi/>
              <w:jc w:val="right"/>
            </w:pPr>
            <w:r>
              <w:rPr>
                <w:rFonts w:cs="Arial" w:ascii="Arial" w:hAnsi="Arial"/>
                <w:rtl/>
                <w:bidi/>
                <w:sz w:val="18"/>
                <w:szCs w:val="18"/>
              </w:rPr>
              <w:t xml:space="preserve">مكسب محتمل</w:t>
            </w:r>
          </w:p>
        </w:tc>
        <w:tc>
          <w:tcPr>
            <w:tcMar>
              <w:top w:type="dxa" w:w="55"/>
              <w:left w:type="dxa" w:w="115"/>
              <w:bottom w:type="dxa" w:w="55"/>
              <w:right w:type="dxa" w:w="115"/>
            </w:tcMar>
          </w:tcPr>
          <w:p>
            <w:r>
              <w:rPr>
                <w:color w:val="C0483F"/>
                <w:sz w:val="17"/>
                <w:szCs w:val="17"/>
              </w:rPr>
              <w:t xml:space="preserve">Never accrued, however likely. Disclosed only where realisation is likely, and with care not to imply it is assured.</w:t>
            </w:r>
          </w:p>
        </w:tc>
      </w:tr>
      <w:tr>
        <w:tc>
          <w:tcPr>
            <w:tcMar>
              <w:top w:type="dxa" w:w="55"/>
              <w:left w:type="dxa" w:w="115"/>
              <w:bottom w:type="dxa" w:w="55"/>
              <w:right w:type="dxa" w:w="115"/>
            </w:tcMar>
          </w:tcPr>
          <w:p>
            <w:r>
              <w:rPr>
                <w:b/>
                <w:bCs/>
                <w:sz w:val="18"/>
                <w:szCs w:val="18"/>
              </w:rPr>
              <w:t xml:space="preserve">indenture</w:t>
            </w:r>
          </w:p>
        </w:tc>
        <w:tc>
          <w:tcPr>
            <w:tcMar>
              <w:top w:type="dxa" w:w="55"/>
              <w:left w:type="dxa" w:w="115"/>
              <w:bottom w:type="dxa" w:w="55"/>
              <w:right w:type="dxa" w:w="115"/>
            </w:tcMar>
          </w:tcPr>
          <w:p>
            <w:r>
              <w:rPr>
                <w:sz w:val="18"/>
                <w:szCs w:val="18"/>
              </w:rPr>
              <w:t xml:space="preserve">The contract between the issuer and the bondholders, administered by a trustee.</w:t>
            </w:r>
          </w:p>
        </w:tc>
        <w:tc>
          <w:tcPr>
            <w:tcMar>
              <w:top w:type="dxa" w:w="55"/>
              <w:left w:type="dxa" w:w="115"/>
              <w:bottom w:type="dxa" w:w="55"/>
              <w:right w:type="dxa" w:w="115"/>
            </w:tcMar>
          </w:tcPr>
          <w:p>
            <w:pPr>
              <w:bidi/>
              <w:jc w:val="right"/>
            </w:pPr>
            <w:r>
              <w:rPr>
                <w:rFonts w:cs="Arial" w:ascii="Arial" w:hAnsi="Arial"/>
                <w:rtl/>
                <w:bidi/>
                <w:sz w:val="18"/>
                <w:szCs w:val="18"/>
              </w:rPr>
              <w:t xml:space="preserve">عقد إصدار السندات</w:t>
            </w:r>
          </w:p>
        </w:tc>
        <w:tc>
          <w:tcPr>
            <w:tcMar>
              <w:top w:type="dxa" w:w="55"/>
              <w:left w:type="dxa" w:w="115"/>
              <w:bottom w:type="dxa" w:w="55"/>
              <w:right w:type="dxa" w:w="115"/>
            </w:tcMar>
          </w:tcPr>
          <w:p>
            <w:r>
              <w:rPr>
                <w:color w:val="C0483F"/>
                <w:sz w:val="17"/>
                <w:szCs w:val="17"/>
              </w:rPr>
              <w:t xml:space="preserve">Where every term in this handout is actually written down. An exam question that says "the indenture provides" is quoting a contract, not a standard.</w:t>
            </w:r>
          </w:p>
        </w:tc>
      </w:tr>
      <w:tr>
        <w:tc>
          <w:tcPr>
            <w:tcMar>
              <w:top w:type="dxa" w:w="55"/>
              <w:left w:type="dxa" w:w="115"/>
              <w:bottom w:type="dxa" w:w="55"/>
              <w:right w:type="dxa" w:w="115"/>
            </w:tcMar>
          </w:tcPr>
          <w:p>
            <w:r>
              <w:rPr>
                <w:b/>
                <w:bCs/>
                <w:sz w:val="18"/>
                <w:szCs w:val="18"/>
              </w:rPr>
              <w:t xml:space="preserve">interest rate risk</w:t>
            </w:r>
          </w:p>
        </w:tc>
        <w:tc>
          <w:tcPr>
            <w:tcMar>
              <w:top w:type="dxa" w:w="55"/>
              <w:left w:type="dxa" w:w="115"/>
              <w:bottom w:type="dxa" w:w="55"/>
              <w:right w:type="dxa" w:w="115"/>
            </w:tcMar>
          </w:tcPr>
          <w:p>
            <w:r>
              <w:rPr>
                <w:sz w:val="18"/>
                <w:szCs w:val="18"/>
              </w:rPr>
              <w:t xml:space="preserve">The risk that a bond’s price falls because market rates rise.</w:t>
            </w:r>
          </w:p>
        </w:tc>
        <w:tc>
          <w:tcPr>
            <w:tcMar>
              <w:top w:type="dxa" w:w="55"/>
              <w:left w:type="dxa" w:w="115"/>
              <w:bottom w:type="dxa" w:w="55"/>
              <w:right w:type="dxa" w:w="115"/>
            </w:tcMar>
          </w:tcPr>
          <w:p>
            <w:pPr>
              <w:bidi/>
              <w:jc w:val="right"/>
            </w:pPr>
            <w:r>
              <w:rPr>
                <w:rFonts w:cs="Arial" w:ascii="Arial" w:hAnsi="Arial"/>
                <w:rtl/>
                <w:bidi/>
                <w:sz w:val="18"/>
                <w:szCs w:val="18"/>
              </w:rPr>
              <w:t xml:space="preserve">مخاطر سعر الفائدة</w:t>
            </w:r>
          </w:p>
        </w:tc>
        <w:tc>
          <w:tcPr>
            <w:tcMar>
              <w:top w:type="dxa" w:w="55"/>
              <w:left w:type="dxa" w:w="115"/>
              <w:bottom w:type="dxa" w:w="55"/>
              <w:right w:type="dxa" w:w="115"/>
            </w:tcMar>
          </w:tcPr>
          <w:p>
            <w:r>
              <w:rPr>
                <w:color w:val="C0483F"/>
                <w:sz w:val="17"/>
                <w:szCs w:val="17"/>
              </w:rPr>
              <w:t xml:space="preserve">Borne by the holder, not the issuer. Northwind’s liability is unaffected by what happens to its bond in the market.</w:t>
            </w:r>
          </w:p>
        </w:tc>
      </w:tr>
      <w:tr>
        <w:tc>
          <w:tcPr>
            <w:tcMar>
              <w:top w:type="dxa" w:w="55"/>
              <w:left w:type="dxa" w:w="115"/>
              <w:bottom w:type="dxa" w:w="55"/>
              <w:right w:type="dxa" w:w="115"/>
            </w:tcMar>
          </w:tcPr>
          <w:p>
            <w:r>
              <w:rPr>
                <w:b/>
                <w:bCs/>
                <w:sz w:val="18"/>
                <w:szCs w:val="18"/>
              </w:rPr>
              <w:t xml:space="preserve">issue price</w:t>
            </w:r>
          </w:p>
        </w:tc>
        <w:tc>
          <w:tcPr>
            <w:tcMar>
              <w:top w:type="dxa" w:w="55"/>
              <w:left w:type="dxa" w:w="115"/>
              <w:bottom w:type="dxa" w:w="55"/>
              <w:right w:type="dxa" w:w="115"/>
            </w:tcMar>
          </w:tcPr>
          <w:p>
            <w:r>
              <w:rPr>
                <w:sz w:val="18"/>
                <w:szCs w:val="18"/>
              </w:rPr>
              <w:t xml:space="preserve">The cash a bond actually raises, which is the present value of its coupons and its face value at the market rate.</w:t>
            </w:r>
          </w:p>
        </w:tc>
        <w:tc>
          <w:tcPr>
            <w:tcMar>
              <w:top w:type="dxa" w:w="55"/>
              <w:left w:type="dxa" w:w="115"/>
              <w:bottom w:type="dxa" w:w="55"/>
              <w:right w:type="dxa" w:w="115"/>
            </w:tcMar>
          </w:tcPr>
          <w:p>
            <w:pPr>
              <w:bidi/>
              <w:jc w:val="right"/>
            </w:pPr>
            <w:r>
              <w:rPr>
                <w:rFonts w:cs="Arial" w:ascii="Arial" w:hAnsi="Arial"/>
                <w:rtl/>
                <w:bidi/>
                <w:sz w:val="18"/>
                <w:szCs w:val="18"/>
              </w:rPr>
              <w:t xml:space="preserve">سعر الإصدار</w:t>
            </w:r>
          </w:p>
        </w:tc>
        <w:tc>
          <w:tcPr>
            <w:tcMar>
              <w:top w:type="dxa" w:w="55"/>
              <w:left w:type="dxa" w:w="115"/>
              <w:bottom w:type="dxa" w:w="55"/>
              <w:right w:type="dxa" w:w="115"/>
            </w:tcMar>
          </w:tcPr>
          <w:p>
            <w:r>
              <w:rPr>
                <w:color w:val="C0483F"/>
                <w:sz w:val="17"/>
                <w:szCs w:val="17"/>
              </w:rPr>
              <w:t xml:space="preserve">The figure the liability starts at. Neither the face value nor anything in the indenture fixes it.</w:t>
            </w:r>
          </w:p>
        </w:tc>
      </w:tr>
      <w:tr>
        <w:tc>
          <w:tcPr>
            <w:tcMar>
              <w:top w:type="dxa" w:w="55"/>
              <w:left w:type="dxa" w:w="115"/>
              <w:bottom w:type="dxa" w:w="55"/>
              <w:right w:type="dxa" w:w="115"/>
            </w:tcMar>
          </w:tcPr>
          <w:p>
            <w:r>
              <w:rPr>
                <w:b/>
                <w:bCs/>
                <w:sz w:val="18"/>
                <w:szCs w:val="18"/>
              </w:rPr>
              <w:t xml:space="preserve">loss contingency</w:t>
            </w:r>
          </w:p>
        </w:tc>
        <w:tc>
          <w:tcPr>
            <w:tcMar>
              <w:top w:type="dxa" w:w="55"/>
              <w:left w:type="dxa" w:w="115"/>
              <w:bottom w:type="dxa" w:w="55"/>
              <w:right w:type="dxa" w:w="115"/>
            </w:tcMar>
          </w:tcPr>
          <w:p>
            <w:r>
              <w:rPr>
                <w:sz w:val="18"/>
                <w:szCs w:val="18"/>
              </w:rPr>
              <w:t xml:space="preserve">A contingency whose resolution would create a liability or reduce an asset.</w:t>
            </w:r>
          </w:p>
        </w:tc>
        <w:tc>
          <w:tcPr>
            <w:tcMar>
              <w:top w:type="dxa" w:w="55"/>
              <w:left w:type="dxa" w:w="115"/>
              <w:bottom w:type="dxa" w:w="55"/>
              <w:right w:type="dxa" w:w="115"/>
            </w:tcMar>
          </w:tcPr>
          <w:p>
            <w:pPr>
              <w:bidi/>
              <w:jc w:val="right"/>
            </w:pPr>
            <w:r>
              <w:rPr>
                <w:rFonts w:cs="Arial" w:ascii="Arial" w:hAnsi="Arial"/>
                <w:rtl/>
                <w:bidi/>
                <w:sz w:val="18"/>
                <w:szCs w:val="18"/>
              </w:rPr>
              <w:t xml:space="preserve">خسارة محتملة</w:t>
            </w:r>
          </w:p>
        </w:tc>
        <w:tc>
          <w:tcPr>
            <w:tcMar>
              <w:top w:type="dxa" w:w="55"/>
              <w:left w:type="dxa" w:w="115"/>
              <w:bottom w:type="dxa" w:w="55"/>
              <w:right w:type="dxa" w:w="115"/>
            </w:tcMar>
          </w:tcPr>
          <w:p>
            <w:r>
              <w:rPr>
                <w:color w:val="C0483F"/>
                <w:sz w:val="17"/>
                <w:szCs w:val="17"/>
              </w:rPr>
              <w:t xml:space="preserve">Accrued when probable and estimable. Disclosed in most other cases, which is why the notes are longer than the balance sheet.</w:t>
            </w:r>
          </w:p>
        </w:tc>
      </w:tr>
      <w:tr>
        <w:tc>
          <w:tcPr>
            <w:tcMar>
              <w:top w:type="dxa" w:w="55"/>
              <w:left w:type="dxa" w:w="115"/>
              <w:bottom w:type="dxa" w:w="55"/>
              <w:right w:type="dxa" w:w="115"/>
            </w:tcMar>
          </w:tcPr>
          <w:p>
            <w:r>
              <w:rPr>
                <w:b/>
                <w:bCs/>
                <w:sz w:val="18"/>
                <w:szCs w:val="18"/>
              </w:rPr>
              <w:t xml:space="preserve">premium on bonds payable</w:t>
            </w:r>
          </w:p>
        </w:tc>
        <w:tc>
          <w:tcPr>
            <w:tcMar>
              <w:top w:type="dxa" w:w="55"/>
              <w:left w:type="dxa" w:w="115"/>
              <w:bottom w:type="dxa" w:w="55"/>
              <w:right w:type="dxa" w:w="115"/>
            </w:tcMar>
          </w:tcPr>
          <w:p>
            <w:r>
              <w:rPr>
                <w:sz w:val="18"/>
                <w:szCs w:val="18"/>
              </w:rPr>
              <w:t xml:space="preserve">The excess of a bond’s issue price over its face value.</w:t>
            </w:r>
          </w:p>
        </w:tc>
        <w:tc>
          <w:tcPr>
            <w:tcMar>
              <w:top w:type="dxa" w:w="55"/>
              <w:left w:type="dxa" w:w="115"/>
              <w:bottom w:type="dxa" w:w="55"/>
              <w:right w:type="dxa" w:w="115"/>
            </w:tcMar>
          </w:tcPr>
          <w:p>
            <w:pPr>
              <w:bidi/>
              <w:jc w:val="right"/>
            </w:pPr>
            <w:r>
              <w:rPr>
                <w:rFonts w:cs="Arial" w:ascii="Arial" w:hAnsi="Arial"/>
                <w:rtl/>
                <w:bidi/>
                <w:sz w:val="18"/>
                <w:szCs w:val="18"/>
              </w:rPr>
              <w:t xml:space="preserve">علاوة إصدار السندات</w:t>
            </w:r>
          </w:p>
        </w:tc>
        <w:tc>
          <w:tcPr>
            <w:tcMar>
              <w:top w:type="dxa" w:w="55"/>
              <w:left w:type="dxa" w:w="115"/>
              <w:bottom w:type="dxa" w:w="55"/>
              <w:right w:type="dxa" w:w="115"/>
            </w:tcMar>
          </w:tcPr>
          <w:p>
            <w:r>
              <w:rPr>
                <w:color w:val="C0483F"/>
                <w:sz w:val="17"/>
                <w:szCs w:val="17"/>
              </w:rPr>
              <w:t xml:space="preserve">Added to bonds payable, and it reduces the interest the issuer really bears below the coupon.</w:t>
            </w:r>
          </w:p>
        </w:tc>
      </w:tr>
      <w:tr>
        <w:tc>
          <w:tcPr>
            <w:tcMar>
              <w:top w:type="dxa" w:w="55"/>
              <w:left w:type="dxa" w:w="115"/>
              <w:bottom w:type="dxa" w:w="55"/>
              <w:right w:type="dxa" w:w="115"/>
            </w:tcMar>
          </w:tcPr>
          <w:p>
            <w:r>
              <w:rPr>
                <w:b/>
                <w:bCs/>
                <w:sz w:val="18"/>
                <w:szCs w:val="18"/>
              </w:rPr>
              <w:t xml:space="preserve">probable</w:t>
            </w:r>
          </w:p>
        </w:tc>
        <w:tc>
          <w:tcPr>
            <w:tcMar>
              <w:top w:type="dxa" w:w="55"/>
              <w:left w:type="dxa" w:w="115"/>
              <w:bottom w:type="dxa" w:w="55"/>
              <w:right w:type="dxa" w:w="115"/>
            </w:tcMar>
          </w:tcPr>
          <w:p>
            <w:r>
              <w:rPr>
                <w:sz w:val="18"/>
                <w:szCs w:val="18"/>
              </w:rPr>
              <w:t xml:space="preserve">Likely to occur, and the threshold for accruing a loss contingency under US GAAP.</w:t>
            </w:r>
          </w:p>
        </w:tc>
        <w:tc>
          <w:tcPr>
            <w:tcMar>
              <w:top w:type="dxa" w:w="55"/>
              <w:left w:type="dxa" w:w="115"/>
              <w:bottom w:type="dxa" w:w="55"/>
              <w:right w:type="dxa" w:w="115"/>
            </w:tcMar>
          </w:tcPr>
          <w:p>
            <w:pPr>
              <w:bidi/>
              <w:jc w:val="right"/>
            </w:pPr>
            <w:r>
              <w:rPr>
                <w:rFonts w:cs="Arial" w:ascii="Arial" w:hAnsi="Arial"/>
                <w:rtl/>
                <w:bidi/>
                <w:sz w:val="18"/>
                <w:szCs w:val="18"/>
              </w:rPr>
              <w:t xml:space="preserve">مرجّح</w:t>
            </w:r>
          </w:p>
        </w:tc>
        <w:tc>
          <w:tcPr>
            <w:tcMar>
              <w:top w:type="dxa" w:w="55"/>
              <w:left w:type="dxa" w:w="115"/>
              <w:bottom w:type="dxa" w:w="55"/>
              <w:right w:type="dxa" w:w="115"/>
            </w:tcMar>
          </w:tcPr>
          <w:p>
            <w:r>
              <w:rPr>
                <w:color w:val="C0483F"/>
                <w:sz w:val="17"/>
                <w:szCs w:val="17"/>
              </w:rPr>
              <w:t xml:space="preserve">A high bar in US GAAP and a lower one under IFRS, where probable is read as more likely than not. The same facts can give different answers.</w:t>
            </w:r>
          </w:p>
        </w:tc>
      </w:tr>
      <w:tr>
        <w:tc>
          <w:tcPr>
            <w:tcMar>
              <w:top w:type="dxa" w:w="55"/>
              <w:left w:type="dxa" w:w="115"/>
              <w:bottom w:type="dxa" w:w="55"/>
              <w:right w:type="dxa" w:w="115"/>
            </w:tcMar>
          </w:tcPr>
          <w:p>
            <w:r>
              <w:rPr>
                <w:b/>
                <w:bCs/>
                <w:sz w:val="18"/>
                <w:szCs w:val="18"/>
              </w:rPr>
              <w:t xml:space="preserve">reasonably possible</w:t>
            </w:r>
          </w:p>
        </w:tc>
        <w:tc>
          <w:tcPr>
            <w:tcMar>
              <w:top w:type="dxa" w:w="55"/>
              <w:left w:type="dxa" w:w="115"/>
              <w:bottom w:type="dxa" w:w="55"/>
              <w:right w:type="dxa" w:w="115"/>
            </w:tcMar>
          </w:tcPr>
          <w:p>
            <w:r>
              <w:rPr>
                <w:sz w:val="18"/>
                <w:szCs w:val="18"/>
              </w:rPr>
              <w:t xml:space="preserve">More than remote but less than probable: the middle rung, which requires disclosure and no accrual.</w:t>
            </w:r>
          </w:p>
        </w:tc>
        <w:tc>
          <w:tcPr>
            <w:tcMar>
              <w:top w:type="dxa" w:w="55"/>
              <w:left w:type="dxa" w:w="115"/>
              <w:bottom w:type="dxa" w:w="55"/>
              <w:right w:type="dxa" w:w="115"/>
            </w:tcMar>
          </w:tcPr>
          <w:p>
            <w:pPr>
              <w:bidi/>
              <w:jc w:val="right"/>
            </w:pPr>
            <w:r>
              <w:rPr>
                <w:rFonts w:cs="Arial" w:ascii="Arial" w:hAnsi="Arial"/>
                <w:rtl/>
                <w:bidi/>
                <w:sz w:val="18"/>
                <w:szCs w:val="18"/>
              </w:rPr>
              <w:t xml:space="preserve">محتمل بدرجة معقولة</w:t>
            </w:r>
          </w:p>
        </w:tc>
        <w:tc>
          <w:tcPr>
            <w:tcMar>
              <w:top w:type="dxa" w:w="55"/>
              <w:left w:type="dxa" w:w="115"/>
              <w:bottom w:type="dxa" w:w="55"/>
              <w:right w:type="dxa" w:w="115"/>
            </w:tcMar>
          </w:tcPr>
          <w:p>
            <w:r>
              <w:rPr>
                <w:color w:val="C0483F"/>
                <w:sz w:val="17"/>
                <w:szCs w:val="17"/>
              </w:rPr>
              <w:t xml:space="preserve">The rung most exam questions land on, because it is the one where nothing reaches the face of the statements.</w:t>
            </w:r>
          </w:p>
        </w:tc>
      </w:tr>
      <w:tr>
        <w:tc>
          <w:tcPr>
            <w:tcMar>
              <w:top w:type="dxa" w:w="55"/>
              <w:left w:type="dxa" w:w="115"/>
              <w:bottom w:type="dxa" w:w="55"/>
              <w:right w:type="dxa" w:w="115"/>
            </w:tcMar>
          </w:tcPr>
          <w:p>
            <w:r>
              <w:rPr>
                <w:b/>
                <w:bCs/>
                <w:sz w:val="18"/>
                <w:szCs w:val="18"/>
              </w:rPr>
              <w:t xml:space="preserve">refinancing</w:t>
            </w:r>
          </w:p>
        </w:tc>
        <w:tc>
          <w:tcPr>
            <w:tcMar>
              <w:top w:type="dxa" w:w="55"/>
              <w:left w:type="dxa" w:w="115"/>
              <w:bottom w:type="dxa" w:w="55"/>
              <w:right w:type="dxa" w:w="115"/>
            </w:tcMar>
          </w:tcPr>
          <w:p>
            <w:r>
              <w:rPr>
                <w:sz w:val="18"/>
                <w:szCs w:val="18"/>
              </w:rPr>
              <w:t xml:space="preserve">Replacing an existing borrowing with a new one, usually at a lower rate or a longer term.</w:t>
            </w:r>
          </w:p>
        </w:tc>
        <w:tc>
          <w:tcPr>
            <w:tcMar>
              <w:top w:type="dxa" w:w="55"/>
              <w:left w:type="dxa" w:w="115"/>
              <w:bottom w:type="dxa" w:w="55"/>
              <w:right w:type="dxa" w:w="115"/>
            </w:tcMar>
          </w:tcPr>
          <w:p>
            <w:pPr>
              <w:bidi/>
              <w:jc w:val="right"/>
            </w:pPr>
            <w:r>
              <w:rPr>
                <w:rFonts w:cs="Arial" w:ascii="Arial" w:hAnsi="Arial"/>
                <w:rtl/>
                <w:bidi/>
                <w:sz w:val="18"/>
                <w:szCs w:val="18"/>
              </w:rPr>
              <w:t xml:space="preserve">إعادة التمويل</w:t>
            </w:r>
          </w:p>
        </w:tc>
        <w:tc>
          <w:tcPr>
            <w:tcMar>
              <w:top w:type="dxa" w:w="55"/>
              <w:left w:type="dxa" w:w="115"/>
              <w:bottom w:type="dxa" w:w="55"/>
              <w:right w:type="dxa" w:w="115"/>
            </w:tcMar>
          </w:tcPr>
          <w:p>
            <w:r>
              <w:rPr>
                <w:color w:val="C0483F"/>
                <w:sz w:val="17"/>
                <w:szCs w:val="17"/>
              </w:rPr>
              <w:t xml:space="preserve">A financing decision, not an accounting one. The accounting loss and the economic gain routinely point in opposite directions.</w:t>
            </w:r>
          </w:p>
        </w:tc>
      </w:tr>
      <w:tr>
        <w:tc>
          <w:tcPr>
            <w:tcMar>
              <w:top w:type="dxa" w:w="55"/>
              <w:left w:type="dxa" w:w="115"/>
              <w:bottom w:type="dxa" w:w="55"/>
              <w:right w:type="dxa" w:w="115"/>
            </w:tcMar>
          </w:tcPr>
          <w:p>
            <w:r>
              <w:rPr>
                <w:b/>
                <w:bCs/>
                <w:sz w:val="18"/>
                <w:szCs w:val="18"/>
              </w:rPr>
              <w:t xml:space="preserve">remote</w:t>
            </w:r>
          </w:p>
        </w:tc>
        <w:tc>
          <w:tcPr>
            <w:tcMar>
              <w:top w:type="dxa" w:w="55"/>
              <w:left w:type="dxa" w:w="115"/>
              <w:bottom w:type="dxa" w:w="55"/>
              <w:right w:type="dxa" w:w="115"/>
            </w:tcMar>
          </w:tcPr>
          <w:p>
            <w:r>
              <w:rPr>
                <w:sz w:val="18"/>
                <w:szCs w:val="18"/>
              </w:rPr>
              <w:t xml:space="preserve">So unlikely that neither accrual nor disclosure is required.</w:t>
            </w:r>
          </w:p>
        </w:tc>
        <w:tc>
          <w:tcPr>
            <w:tcMar>
              <w:top w:type="dxa" w:w="55"/>
              <w:left w:type="dxa" w:w="115"/>
              <w:bottom w:type="dxa" w:w="55"/>
              <w:right w:type="dxa" w:w="115"/>
            </w:tcMar>
          </w:tcPr>
          <w:p>
            <w:pPr>
              <w:bidi/>
              <w:jc w:val="right"/>
            </w:pPr>
            <w:r>
              <w:rPr>
                <w:rFonts w:cs="Arial" w:ascii="Arial" w:hAnsi="Arial"/>
                <w:rtl/>
                <w:bidi/>
                <w:sz w:val="18"/>
                <w:szCs w:val="18"/>
              </w:rPr>
              <w:t xml:space="preserve">بعيد الاحتمال</w:t>
            </w:r>
          </w:p>
        </w:tc>
        <w:tc>
          <w:tcPr>
            <w:tcMar>
              <w:top w:type="dxa" w:w="55"/>
              <w:left w:type="dxa" w:w="115"/>
              <w:bottom w:type="dxa" w:w="55"/>
              <w:right w:type="dxa" w:w="115"/>
            </w:tcMar>
          </w:tcPr>
          <w:p>
            <w:r>
              <w:rPr>
                <w:color w:val="C0483F"/>
                <w:sz w:val="17"/>
                <w:szCs w:val="17"/>
              </w:rPr>
              <w:t xml:space="preserve">The only rung on which a company may say nothing at all, which is why management and auditors argue about it.</w:t>
            </w:r>
          </w:p>
        </w:tc>
      </w:tr>
      <w:tr>
        <w:tc>
          <w:tcPr>
            <w:tcMar>
              <w:top w:type="dxa" w:w="55"/>
              <w:left w:type="dxa" w:w="115"/>
              <w:bottom w:type="dxa" w:w="55"/>
              <w:right w:type="dxa" w:w="115"/>
            </w:tcMar>
          </w:tcPr>
          <w:p>
            <w:r>
              <w:rPr>
                <w:b/>
                <w:bCs/>
                <w:sz w:val="18"/>
                <w:szCs w:val="18"/>
              </w:rPr>
              <w:t xml:space="preserve">serial bond</w:t>
            </w:r>
          </w:p>
        </w:tc>
        <w:tc>
          <w:tcPr>
            <w:tcMar>
              <w:top w:type="dxa" w:w="55"/>
              <w:left w:type="dxa" w:w="115"/>
              <w:bottom w:type="dxa" w:w="55"/>
              <w:right w:type="dxa" w:w="115"/>
            </w:tcMar>
          </w:tcPr>
          <w:p>
            <w:r>
              <w:rPr>
                <w:sz w:val="18"/>
                <w:szCs w:val="18"/>
              </w:rPr>
              <w:t xml:space="preserve">A bond that matures in instalments across several dates rather than all at once.</w:t>
            </w:r>
          </w:p>
        </w:tc>
        <w:tc>
          <w:tcPr>
            <w:tcMar>
              <w:top w:type="dxa" w:w="55"/>
              <w:left w:type="dxa" w:w="115"/>
              <w:bottom w:type="dxa" w:w="55"/>
              <w:right w:type="dxa" w:w="115"/>
            </w:tcMar>
          </w:tcPr>
          <w:p>
            <w:pPr>
              <w:bidi/>
              <w:jc w:val="right"/>
            </w:pPr>
            <w:r>
              <w:rPr>
                <w:rFonts w:cs="Arial" w:ascii="Arial" w:hAnsi="Arial"/>
                <w:rtl/>
                <w:bidi/>
                <w:sz w:val="18"/>
                <w:szCs w:val="18"/>
              </w:rPr>
              <w:t xml:space="preserve">سند متسلسل</w:t>
            </w:r>
          </w:p>
        </w:tc>
        <w:tc>
          <w:tcPr>
            <w:tcMar>
              <w:top w:type="dxa" w:w="55"/>
              <w:left w:type="dxa" w:w="115"/>
              <w:bottom w:type="dxa" w:w="55"/>
              <w:right w:type="dxa" w:w="115"/>
            </w:tcMar>
          </w:tcPr>
          <w:p>
            <w:r>
              <w:rPr>
                <w:color w:val="C0483F"/>
                <w:sz w:val="17"/>
                <w:szCs w:val="17"/>
              </w:rPr>
              <w:t xml:space="preserve">Northwind’s is one. The part maturing within a year is a current liability, which is why Volume 1 split it.</w:t>
            </w:r>
          </w:p>
        </w:tc>
      </w:tr>
      <w:tr>
        <w:tc>
          <w:tcPr>
            <w:tcMar>
              <w:top w:type="dxa" w:w="55"/>
              <w:left w:type="dxa" w:w="115"/>
              <w:bottom w:type="dxa" w:w="55"/>
              <w:right w:type="dxa" w:w="115"/>
            </w:tcMar>
          </w:tcPr>
          <w:p>
            <w:r>
              <w:rPr>
                <w:b/>
                <w:bCs/>
                <w:sz w:val="18"/>
                <w:szCs w:val="18"/>
              </w:rPr>
              <w:t xml:space="preserve">stated rate</w:t>
            </w:r>
          </w:p>
        </w:tc>
        <w:tc>
          <w:tcPr>
            <w:tcMar>
              <w:top w:type="dxa" w:w="55"/>
              <w:left w:type="dxa" w:w="115"/>
              <w:bottom w:type="dxa" w:w="55"/>
              <w:right w:type="dxa" w:w="115"/>
            </w:tcMar>
          </w:tcPr>
          <w:p>
            <w:r>
              <w:rPr>
                <w:sz w:val="18"/>
                <w:szCs w:val="18"/>
              </w:rPr>
              <w:t xml:space="preserve">Another name for the coupon rate, used where it must be contrasted with the market rate.</w:t>
            </w:r>
          </w:p>
        </w:tc>
        <w:tc>
          <w:tcPr>
            <w:tcMar>
              <w:top w:type="dxa" w:w="55"/>
              <w:left w:type="dxa" w:w="115"/>
              <w:bottom w:type="dxa" w:w="55"/>
              <w:right w:type="dxa" w:w="115"/>
            </w:tcMar>
          </w:tcPr>
          <w:p>
            <w:pPr>
              <w:bidi/>
              <w:jc w:val="right"/>
            </w:pPr>
            <w:r>
              <w:rPr>
                <w:rFonts w:cs="Arial" w:ascii="Arial" w:hAnsi="Arial"/>
                <w:rtl/>
                <w:bidi/>
                <w:sz w:val="18"/>
                <w:szCs w:val="18"/>
              </w:rPr>
              <w:t xml:space="preserve">السعر المعلن</w:t>
            </w:r>
          </w:p>
        </w:tc>
        <w:tc>
          <w:tcPr>
            <w:tcMar>
              <w:top w:type="dxa" w:w="55"/>
              <w:left w:type="dxa" w:w="115"/>
              <w:bottom w:type="dxa" w:w="55"/>
              <w:right w:type="dxa" w:w="115"/>
            </w:tcMar>
          </w:tcPr>
          <w:p>
            <w:r>
              <w:rPr>
                <w:color w:val="C0483F"/>
                <w:sz w:val="17"/>
                <w:szCs w:val="17"/>
              </w:rPr>
              <w:t xml:space="preserve">Also called the nominal or face rate. The exam uses all four names for the same number.</w:t>
            </w:r>
          </w:p>
        </w:tc>
      </w:tr>
      <w:tr>
        <w:tc>
          <w:tcPr>
            <w:tcMar>
              <w:top w:type="dxa" w:w="55"/>
              <w:left w:type="dxa" w:w="115"/>
              <w:bottom w:type="dxa" w:w="55"/>
              <w:right w:type="dxa" w:w="115"/>
            </w:tcMar>
          </w:tcPr>
          <w:p>
            <w:r>
              <w:rPr>
                <w:b/>
                <w:bCs/>
                <w:sz w:val="18"/>
                <w:szCs w:val="18"/>
              </w:rPr>
              <w:t xml:space="preserve">straight-line amortisation</w:t>
            </w:r>
          </w:p>
        </w:tc>
        <w:tc>
          <w:tcPr>
            <w:tcMar>
              <w:top w:type="dxa" w:w="55"/>
              <w:left w:type="dxa" w:w="115"/>
              <w:bottom w:type="dxa" w:w="55"/>
              <w:right w:type="dxa" w:w="115"/>
            </w:tcMar>
          </w:tcPr>
          <w:p>
            <w:r>
              <w:rPr>
                <w:sz w:val="18"/>
                <w:szCs w:val="18"/>
              </w:rPr>
              <w:t xml:space="preserve">Spreading a discount or premium in equal amounts across the term.</w:t>
            </w:r>
          </w:p>
        </w:tc>
        <w:tc>
          <w:tcPr>
            <w:tcMar>
              <w:top w:type="dxa" w:w="55"/>
              <w:left w:type="dxa" w:w="115"/>
              <w:bottom w:type="dxa" w:w="55"/>
              <w:right w:type="dxa" w:w="115"/>
            </w:tcMar>
          </w:tcPr>
          <w:p>
            <w:pPr>
              <w:bidi/>
              <w:jc w:val="right"/>
            </w:pPr>
            <w:r>
              <w:rPr>
                <w:rFonts w:cs="Arial" w:ascii="Arial" w:hAnsi="Arial"/>
                <w:rtl/>
                <w:bidi/>
                <w:sz w:val="18"/>
                <w:szCs w:val="18"/>
              </w:rPr>
              <w:t xml:space="preserve">الإطفاء بالقسط الثابت</w:t>
            </w:r>
          </w:p>
        </w:tc>
        <w:tc>
          <w:tcPr>
            <w:tcMar>
              <w:top w:type="dxa" w:w="55"/>
              <w:left w:type="dxa" w:w="115"/>
              <w:bottom w:type="dxa" w:w="55"/>
              <w:right w:type="dxa" w:w="115"/>
            </w:tcMar>
          </w:tcPr>
          <w:p>
            <w:r>
              <w:rPr>
                <w:color w:val="C0483F"/>
                <w:sz w:val="17"/>
                <w:szCs w:val="17"/>
              </w:rPr>
              <w:t xml:space="preserve">Permitted under US GAAP only where the result is not materially different, and prohibited under IFRS.</w:t>
            </w:r>
          </w:p>
        </w:tc>
      </w:tr>
      <w:tr>
        <w:tc>
          <w:tcPr>
            <w:tcMar>
              <w:top w:type="dxa" w:w="55"/>
              <w:left w:type="dxa" w:w="115"/>
              <w:bottom w:type="dxa" w:w="55"/>
              <w:right w:type="dxa" w:w="115"/>
            </w:tcMar>
          </w:tcPr>
          <w:p>
            <w:r>
              <w:rPr>
                <w:b/>
                <w:bCs/>
                <w:sz w:val="18"/>
                <w:szCs w:val="18"/>
              </w:rPr>
              <w:t xml:space="preserve">term structure of interest rates</w:t>
            </w:r>
          </w:p>
        </w:tc>
        <w:tc>
          <w:tcPr>
            <w:tcMar>
              <w:top w:type="dxa" w:w="55"/>
              <w:left w:type="dxa" w:w="115"/>
              <w:bottom w:type="dxa" w:w="55"/>
              <w:right w:type="dxa" w:w="115"/>
            </w:tcMar>
          </w:tcPr>
          <w:p>
            <w:r>
              <w:rPr>
                <w:sz w:val="18"/>
                <w:szCs w:val="18"/>
              </w:rPr>
              <w:t xml:space="preserve">The relationship between the rate required and the term to maturity, usually drawn as a yield curve.</w:t>
            </w:r>
          </w:p>
        </w:tc>
        <w:tc>
          <w:tcPr>
            <w:tcMar>
              <w:top w:type="dxa" w:w="55"/>
              <w:left w:type="dxa" w:w="115"/>
              <w:bottom w:type="dxa" w:w="55"/>
              <w:right w:type="dxa" w:w="115"/>
            </w:tcMar>
          </w:tcPr>
          <w:p>
            <w:pPr>
              <w:bidi/>
              <w:jc w:val="right"/>
            </w:pPr>
            <w:r>
              <w:rPr>
                <w:rFonts w:cs="Arial" w:ascii="Arial" w:hAnsi="Arial"/>
                <w:rtl/>
                <w:bidi/>
                <w:sz w:val="18"/>
                <w:szCs w:val="18"/>
              </w:rPr>
              <w:t xml:space="preserve">هيكل أسعار الفائدة الزمني</w:t>
            </w:r>
          </w:p>
        </w:tc>
        <w:tc>
          <w:tcPr>
            <w:tcMar>
              <w:top w:type="dxa" w:w="55"/>
              <w:left w:type="dxa" w:w="115"/>
              <w:bottom w:type="dxa" w:w="55"/>
              <w:right w:type="dxa" w:w="115"/>
            </w:tcMar>
          </w:tcPr>
          <w:p>
            <w:r>
              <w:rPr>
                <w:color w:val="C0483F"/>
                <w:sz w:val="17"/>
                <w:szCs w:val="17"/>
              </w:rPr>
              <w:t xml:space="preserve">Why a ten-year bond and a two-year bond from one issuer are discounted at different rates in practice.</w:t>
            </w:r>
          </w:p>
        </w:tc>
      </w:tr>
      <w:tr>
        <w:tc>
          <w:tcPr>
            <w:tcMar>
              <w:top w:type="dxa" w:w="55"/>
              <w:left w:type="dxa" w:w="115"/>
              <w:bottom w:type="dxa" w:w="55"/>
              <w:right w:type="dxa" w:w="115"/>
            </w:tcMar>
          </w:tcPr>
          <w:p>
            <w:r>
              <w:rPr>
                <w:b/>
                <w:bCs/>
                <w:sz w:val="18"/>
                <w:szCs w:val="18"/>
              </w:rPr>
              <w:t xml:space="preserve">yield to maturity</w:t>
            </w:r>
          </w:p>
        </w:tc>
        <w:tc>
          <w:tcPr>
            <w:tcMar>
              <w:top w:type="dxa" w:w="55"/>
              <w:left w:type="dxa" w:w="115"/>
              <w:bottom w:type="dxa" w:w="55"/>
              <w:right w:type="dxa" w:w="115"/>
            </w:tcMar>
          </w:tcPr>
          <w:p>
            <w:r>
              <w:rPr>
                <w:sz w:val="18"/>
                <w:szCs w:val="18"/>
              </w:rPr>
              <w:t xml:space="preserve">The return an investor earns by holding a bond to maturity, including the discount or premium.</w:t>
            </w:r>
          </w:p>
        </w:tc>
        <w:tc>
          <w:tcPr>
            <w:tcMar>
              <w:top w:type="dxa" w:w="55"/>
              <w:left w:type="dxa" w:w="115"/>
              <w:bottom w:type="dxa" w:w="55"/>
              <w:right w:type="dxa" w:w="115"/>
            </w:tcMar>
          </w:tcPr>
          <w:p>
            <w:pPr>
              <w:bidi/>
              <w:jc w:val="right"/>
            </w:pPr>
            <w:r>
              <w:rPr>
                <w:rFonts w:cs="Arial" w:ascii="Arial" w:hAnsi="Arial"/>
                <w:rtl/>
                <w:bidi/>
                <w:sz w:val="18"/>
                <w:szCs w:val="18"/>
              </w:rPr>
              <w:t xml:space="preserve">العائد حتى الاستحقاق</w:t>
            </w:r>
          </w:p>
        </w:tc>
        <w:tc>
          <w:tcPr>
            <w:tcMar>
              <w:top w:type="dxa" w:w="55"/>
              <w:left w:type="dxa" w:w="115"/>
              <w:bottom w:type="dxa" w:w="55"/>
              <w:right w:type="dxa" w:w="115"/>
            </w:tcMar>
          </w:tcPr>
          <w:p>
            <w:r>
              <w:rPr>
                <w:color w:val="C0483F"/>
                <w:sz w:val="17"/>
                <w:szCs w:val="17"/>
              </w:rPr>
              <w:t xml:space="preserve">The same rate from the other side of the contract. The issuer’s effective rate is the investor’s yield.</w:t>
            </w:r>
          </w:p>
        </w:tc>
      </w:tr>
    </w:tbl>
    <w:p/>
    <w:p>
      <w:pPr>
        <w:sectPr>
          <w:headerReference w:type="default" r:id="rIdHdr9"/>
          <w:pgSz w:w="11906" w:h="16838" w:orient="portrait"/>
          <w:pgMar w:top="1180" w:right="1000" w:bottom="900" w:left="1000" w:header="708" w:footer="708" w:gutter="0"/>
          <w:docGrid w:linePitch="360"/>
          <w:pgNumType w:start="1"/>
        </w:sectPr>
      </w:pPr>
    </w:p>
    <w:sectPr>
      <w:headerReference w:type="default" r:id="rIdHdr9"/>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14 · how to use these handouts</w:t>
          </w:r>
        </w:p>
      </w:tc>
      <w:tc>
        <w:tcPr>
          <w:tcW w:type="pct" w:w="1400"/>
          <w:tcMar>
            <w:top w:type="dxa" w:w="-30"/>
            <w:left w:type="dxa" w:w="30"/>
            <w:bottom w:type="dxa" w:w="-30"/>
            <w:right w:type="dxa" w:w="30"/>
          </w:tcMar>
        </w:tcPr>
        <w:p>
          <w:pPr>
            <w:jc w:val="right"/>
          </w:pPr>
          <w:r>
            <w:rPr>
              <w:color w:val="6B7280"/>
              <w:sz w:val="16"/>
              <w:szCs w:val="16"/>
            </w:rPr>
            <w:t xml:space="preserve">Long-Term Debt and Contingent Liabilities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What a Bond Promises: Par, Coupon, Indenture, Covenants</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Issued at a Discount, at a Premium, at Par</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The Effective Interest Method, Period by Period</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 · Valuing a Bond, and What Moves Its Price</w:t>
          </w:r>
        </w:p>
      </w:tc>
      <w:tc>
        <w:tcPr>
          <w:tcW w:type="pct" w:w="1400"/>
          <w:tcMar>
            <w:top w:type="dxa" w:w="-30"/>
            <w:left w:type="dxa" w:w="30"/>
            <w:bottom w:type="dxa" w:w="-30"/>
            <w:right w:type="dxa" w:w="30"/>
          </w:tcMar>
        </w:tcPr>
        <w:p>
          <w:pPr>
            <w:jc w:val="right"/>
          </w:pPr>
          <w:r>
            <w:rPr>
              <w:color w:val="6B7280"/>
              <w:sz w:val="16"/>
              <w:szCs w:val="16"/>
            </w:rPr>
            <w:t xml:space="preserve">Handout 4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 · Retirement, Refinancing, Convertibles and Warrants</w:t>
          </w:r>
        </w:p>
      </w:tc>
      <w:tc>
        <w:tcPr>
          <w:tcW w:type="pct" w:w="1400"/>
          <w:tcMar>
            <w:top w:type="dxa" w:w="-30"/>
            <w:left w:type="dxa" w:w="30"/>
            <w:bottom w:type="dxa" w:w="-30"/>
            <w:right w:type="dxa" w:w="30"/>
          </w:tcMar>
        </w:tcPr>
        <w:p>
          <w:pPr>
            <w:jc w:val="right"/>
          </w:pPr>
          <w:r>
            <w:rPr>
              <w:color w:val="6B7280"/>
              <w:sz w:val="16"/>
              <w:szCs w:val="16"/>
            </w:rPr>
            <w:t xml:space="preserve">Handout 5 — Page </w:t>
          </w:r>
          <w:fldSimple w:instr=" PAGE ">
            <w:r>
              <w:rPr>
                <w:b/>
                <w:bCs/>
                <w:color w:val="23265A"/>
                <w:sz w:val="16"/>
                <w:szCs w:val="16"/>
              </w:rPr>
              <w:t xml:space="preserve">1</w:t>
            </w:r>
          </w:fldSimple>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 · Contingencies: Probable, Reasonably Possible, Remote</w:t>
          </w:r>
        </w:p>
      </w:tc>
      <w:tc>
        <w:tcPr>
          <w:tcW w:type="pct" w:w="1400"/>
          <w:tcMar>
            <w:top w:type="dxa" w:w="-30"/>
            <w:left w:type="dxa" w:w="30"/>
            <w:bottom w:type="dxa" w:w="-30"/>
            <w:right w:type="dxa" w:w="30"/>
          </w:tcMar>
        </w:tcPr>
        <w:p>
          <w:pPr>
            <w:jc w:val="right"/>
          </w:pPr>
          <w:r>
            <w:rPr>
              <w:color w:val="6B7280"/>
              <w:sz w:val="16"/>
              <w:szCs w:val="16"/>
            </w:rPr>
            <w:t xml:space="preserve">Handout 6 — Page </w:t>
          </w:r>
          <w:fldSimple w:instr=" PAGE ">
            <w:r>
              <w:rPr>
                <w:b/>
                <w:bCs/>
                <w:color w:val="23265A"/>
                <w:sz w:val="16"/>
                <w:szCs w:val="16"/>
              </w:rPr>
              <w:t xml:space="preserve">1</w:t>
            </w:r>
          </w:fldSimple>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14</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d5c9b185c441c8edcd2d715426323d3df5f09809.png" Type="http://schemas.openxmlformats.org/officeDocument/2006/relationships/image"/><Relationship Id="rId102" Target="media/f3725e14c906d9515cc119cda524ecb2f7bd777c.png" Type="http://schemas.openxmlformats.org/officeDocument/2006/relationships/image"/><Relationship Id="rId103" Target="media/ab62beea5f4c7eb18c8f8804655e84c848d25b19.png" Type="http://schemas.openxmlformats.org/officeDocument/2006/relationships/image"/><Relationship Id="rId104" Target="media/27c4fdf683c31bb10689cc0f30401c08a44f8f8d.png" Type="http://schemas.openxmlformats.org/officeDocument/2006/relationships/image"/><Relationship Id="rId105" Target="media/3ca6e4ad323c523da0529a4319502c980314d085.png" Type="http://schemas.openxmlformats.org/officeDocument/2006/relationships/image"/><Relationship Id="rId106" Target="media/111f82d3dfd38e08800a7790c4fdb33d43e93d86.png" Type="http://schemas.openxmlformats.org/officeDocument/2006/relationships/image"/><Relationship Id="rId107" Target="media/ebd95cb0ad7c8e1ec0f3586a15e9b25ca6dfdadf.png" Type="http://schemas.openxmlformats.org/officeDocument/2006/relationships/image"/><Relationship Id="rId108" Target="media/f73eac356110601230ae9124bb6235ab94d0e944.png" Type="http://schemas.openxmlformats.org/officeDocument/2006/relationships/image"/><Relationship Id="rId109" Target="media/1d8b924818fdef2bc7a68532c731d9d6e831258f.png" Type="http://schemas.openxmlformats.org/officeDocument/2006/relationships/image"/><Relationship Id="rId110" Target="media/09cf0dce88ac6892809341f9d08491c53ae3b9d4.png" Type="http://schemas.openxmlformats.org/officeDocument/2006/relationships/image"/><Relationship Id="rId111" Target="media/93a182f6c01511006ff0fde2481c01c72e9fab74.png" Type="http://schemas.openxmlformats.org/officeDocument/2006/relationships/image"/><Relationship Id="rId112" Target="media/b74e961aeaf32c6081e5d7a6144726cd4590a910.png" Type="http://schemas.openxmlformats.org/officeDocument/2006/relationships/image"/><Relationship Id="rId113" Target="media/fc9b25c1b38a63784ab96821ae67d38d2ddbc591.png" Type="http://schemas.openxmlformats.org/officeDocument/2006/relationships/image"/><Relationship Id="rId114" Target="media/ba294c9f2f7a010ce9a40daa3235b025a5e8472c.png" Type="http://schemas.openxmlformats.org/officeDocument/2006/relationships/image"/><Relationship Id="rId115" Target="media/c6170ac4ee418c50d76382892ed38a9eb9b67457.png" Type="http://schemas.openxmlformats.org/officeDocument/2006/relationships/image"/><Relationship Id="rId116" Target="media/bca44b2a2c9ce1049db6d0fadda387155625befd.png" Type="http://schemas.openxmlformats.org/officeDocument/2006/relationships/image"/><Relationship Id="rId117" Target="media/794fc4b435ef2df3e2b6de8b2414546d33c3490e.png" Type="http://schemas.openxmlformats.org/officeDocument/2006/relationships/image"/><Relationship Id="rId118" Target="media/c60ac8146c41711d3f00ea13b19ace0258493c9f.png" Type="http://schemas.openxmlformats.org/officeDocument/2006/relationships/image"/><Relationship Id="rId119" Target="media/904658fda7ad5f682dfd8a686bf2328f905a2051.png" Type="http://schemas.openxmlformats.org/officeDocument/2006/relationships/image"/><Relationship Id="rId120" Target="media/173ee384e2f318f81cbd7d6d834f436b78e81c31.png" Type="http://schemas.openxmlformats.org/officeDocument/2006/relationships/image"/><Relationship Id="rId121" Target="media/ddb5df4fcffce518031f9e1213026d66c3ada7f2.png" Type="http://schemas.openxmlformats.org/officeDocument/2006/relationships/image"/><Relationship Id="rId122" Target="media/64b1448ff0dc2e4c0bcff98be90bcbdfd9855d4b.png" Type="http://schemas.openxmlformats.org/officeDocument/2006/relationships/image"/><Relationship Id="rId123" Target="media/bc46aa9dbe12eb287a6b27745c9a838219c547e2.png" Type="http://schemas.openxmlformats.org/officeDocument/2006/relationships/image"/><Relationship Id="rId124" Target="media/a378955d0b33a199eee9826b5db803600aba27d9.png" Type="http://schemas.openxmlformats.org/officeDocument/2006/relationships/image"/><Relationship Id="rId125" Target="media/fc14ab722df3b435be6be3f5bc1ee2c1bbdbb3d4.png" Type="http://schemas.openxmlformats.org/officeDocument/2006/relationships/image"/><Relationship Id="rId126" Target="media/aa56c19caf70eb845a1ca06299cd3b67d406d9b1.png" Type="http://schemas.openxmlformats.org/officeDocument/2006/relationships/image"/><Relationship Id="rId127" Target="media/e743828dc93dd04a9b2400545bdb4b0ab8eda424.png" Type="http://schemas.openxmlformats.org/officeDocument/2006/relationships/image"/><Relationship Id="rId128" Target="media/4fc0343360ba18024fe2fc4fc8041d4c6ef3778c.png" Type="http://schemas.openxmlformats.org/officeDocument/2006/relationships/image"/><Relationship Id="rId129" Target="media/07aecd02a83e5330e093c6ed967830653ab9e62c.png" Type="http://schemas.openxmlformats.org/officeDocument/2006/relationships/image"/><Relationship Id="rId130" Target="media/9c5d8729fc6f8d5d3406bfd38ef71080d3853612.png" Type="http://schemas.openxmlformats.org/officeDocument/2006/relationships/image"/><Relationship Id="rId131" Target="media/66bed9d6dd51918f2ecbbcb858899a7b72d151ce.png" Type="http://schemas.openxmlformats.org/officeDocument/2006/relationships/image"/><Relationship Id="rId132" Target="media/870b08e90a01bc32d546b15b7289120b0f22c24e.png" Type="http://schemas.openxmlformats.org/officeDocument/2006/relationships/image"/><Relationship Id="rId133" Target="media/b344a5411a64c72b0ca54218cfacc0b94a936988.png" Type="http://schemas.openxmlformats.org/officeDocument/2006/relationships/image"/><Relationship Id="rId134" Target="media/022a923196389c923df3f0c5c6cad154512828bc.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14 · Long-Term Debt and Contingent Liabilities</dc:title>
  <dc:subject>Interactive handouts with answer key</dc:subject>
  <cp:category>Student Book</cp:category>
</cp:coreProperties>
</file>