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line="240" w:lineRule="auto"/>
      </w:pPr>
      <w:r>
        <w:rPr>
          <w:sz w:val="24"/>
          <w:szCs w:val="24"/>
        </w:rPr>
      </w:r>
      <w:r>
        <w:rPr>
          <w:sz w:val="24"/>
          <w:szCs w:val="24"/>
        </w:rPr>
        <mc:AlternateContent>
          <mc:Choice Requires="wpg">
            <w:drawing>
              <wp:inline xmlns:wp="http://schemas.openxmlformats.org/drawingml/2006/wordprocessingDrawing" distT="0" distB="0" distL="0" distR="0">
                <wp:extent cx="5874090" cy="3639774"/>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911697" name=""/>
                        <pic:cNvPicPr>
                          <a:picLocks noChangeAspect="1"/>
                        </pic:cNvPicPr>
                        <pic:nvPr/>
                      </pic:nvPicPr>
                      <pic:blipFill>
                        <a:blip r:embed="rId8"/>
                        <a:stretch/>
                      </pic:blipFill>
                      <pic:spPr bwMode="auto">
                        <a:xfrm flipH="0" flipV="0">
                          <a:off x="0" y="0"/>
                          <a:ext cx="5874085" cy="363977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2.5pt;height:286.6pt;mso-wrap-distance-left:0.0pt;mso-wrap-distance-top:0.0pt;mso-wrap-distance-right:0.0pt;mso-wrap-distance-bottom:0.0pt;" stroked="false">
                <v:path textboxrect="0,0,0,0"/>
                <v:imagedata r:id="rId8" o:title=""/>
              </v:shape>
            </w:pict>
          </mc:Fallback>
        </mc:AlternateContent>
      </w:r>
      <w:r>
        <w:rPr>
          <w:sz w:val="24"/>
          <w:szCs w:val="24"/>
        </w:rPr>
        <w:br/>
      </w:r>
      <w:r/>
      <w:r/>
    </w:p>
    <w:p>
      <w:pPr>
        <w:jc w:val="center"/>
        <w:spacing w:line="240" w:lineRule="auto"/>
      </w:pPr>
      <w:r>
        <w:rPr>
          <w:rFonts w:ascii="Times New Roman" w:hAnsi="Times New Roman" w:eastAsia="Times New Roman" w:cs="Times New Roman"/>
          <w:color w:val="000000"/>
          <w:sz w:val="24"/>
          <w:szCs w:val="24"/>
        </w:rPr>
        <w:t xml:space="preserve">Name/ID : ABDELKAREEM YOUSEF MAMDOH SOUBAR/19110022</w:t>
      </w:r>
      <w:r/>
      <w:r/>
    </w:p>
    <w:p>
      <w:pPr>
        <w:jc w:val="center"/>
        <w:spacing w:line="240" w:lineRule="auto"/>
      </w:pPr>
      <w:r>
        <w:rPr>
          <w:rFonts w:ascii="Times New Roman" w:hAnsi="Times New Roman" w:eastAsia="Times New Roman" w:cs="Times New Roman"/>
          <w:color w:val="000000"/>
          <w:sz w:val="24"/>
          <w:szCs w:val="24"/>
        </w:rPr>
        <w:t xml:space="preserve">Subject :</w:t>
      </w:r>
      <w:r>
        <w:rPr>
          <w:rFonts w:ascii="Times New Roman" w:hAnsi="Times New Roman" w:eastAsia="Times New Roman" w:cs="Times New Roman"/>
          <w:color w:val="000000"/>
          <w:sz w:val="24"/>
          <w:szCs w:val="24"/>
        </w:rPr>
        <w:t xml:space="preserve">Cyber Shield Academy</w:t>
      </w:r>
      <w:r>
        <w:rPr>
          <w:rFonts w:ascii="Times New Roman" w:hAnsi="Times New Roman" w:eastAsia="Times New Roman" w:cs="Times New Roman"/>
          <w:color w:val="000000"/>
          <w:sz w:val="24"/>
          <w:szCs w:val="24"/>
        </w:rPr>
      </w:r>
      <w:r/>
    </w:p>
    <w:p>
      <w:pPr>
        <w:jc w:val="center"/>
        <w:spacing w:line="240" w:lineRule="auto"/>
      </w:pPr>
      <w:r>
        <w:rPr>
          <w:rFonts w:ascii="Times New Roman" w:hAnsi="Times New Roman" w:eastAsia="Times New Roman" w:cs="Times New Roman"/>
          <w:color w:val="000000"/>
          <w:sz w:val="24"/>
          <w:szCs w:val="24"/>
        </w:rPr>
        <w:t xml:space="preserve">Assignment Title:</w:t>
      </w:r>
      <w:r>
        <w:rPr>
          <w:rFonts w:ascii="Times New Roman" w:hAnsi="Times New Roman" w:cs="Times New Roman"/>
          <w:b w:val="0"/>
          <w:bCs w:val="0"/>
          <w:sz w:val="24"/>
          <w:szCs w:val="24"/>
        </w:rPr>
        <w:t xml:space="preserve">It Seminar </w:t>
      </w:r>
      <w:r/>
      <w:r/>
    </w:p>
    <w:p>
      <w:pPr>
        <w:jc w:val="center"/>
        <w:spacing w:line="240" w:lineRule="auto"/>
      </w:pPr>
      <w:r>
        <w:rPr>
          <w:rFonts w:ascii="Times New Roman" w:hAnsi="Times New Roman" w:cs="Times New Roman"/>
          <w:b/>
          <w:sz w:val="24"/>
          <w:szCs w:val="24"/>
        </w:rPr>
      </w:r>
      <w:r>
        <w:rPr>
          <w:rFonts w:ascii="Times New Roman" w:hAnsi="Times New Roman" w:eastAsia="Times New Roman" w:cs="Times New Roman"/>
          <w:color w:val="000000"/>
          <w:sz w:val="24"/>
          <w:szCs w:val="24"/>
        </w:rPr>
        <w:t xml:space="preserve">Submission Date :</w:t>
      </w:r>
      <w:r>
        <w:rPr>
          <w:rFonts w:ascii="Times New Roman" w:hAnsi="Times New Roman" w:eastAsia="Times New Roman" w:cs="Times New Roman"/>
          <w:color w:val="000000"/>
          <w:sz w:val="24"/>
          <w:szCs w:val="24"/>
        </w:rPr>
        <w:t xml:space="preserve">29/5/2023</w:t>
      </w:r>
      <w:r>
        <w:rPr>
          <w:rFonts w:ascii="Times New Roman" w:hAnsi="Times New Roman" w:eastAsia="Times New Roman" w:cs="Times New Roman"/>
          <w:color w:val="000000"/>
          <w:sz w:val="24"/>
          <w:szCs w:val="24"/>
          <w:highlight w:val="none"/>
        </w:rPr>
      </w:r>
      <w:r/>
    </w:p>
    <w:p>
      <w:pPr>
        <w:jc w:val="center"/>
        <w:spacing w:line="240" w:lineRule="auto"/>
      </w:pPr>
      <w:r>
        <w:rPr>
          <w:rFonts w:ascii="Times New Roman" w:hAnsi="Times New Roman" w:eastAsia="Times New Roman" w:cs="Times New Roman"/>
          <w:color w:val="000000"/>
          <w:sz w:val="24"/>
          <w:szCs w:val="24"/>
          <w:highlight w:val="none"/>
        </w:rPr>
      </w:r>
      <w:r/>
      <w:r/>
    </w:p>
    <w:p>
      <w:pPr>
        <w:spacing w:line="240" w:lineRule="auto"/>
      </w:pPr>
      <w:r>
        <w:rPr>
          <w:rFonts w:ascii="Times New Roman" w:hAnsi="Times New Roman" w:eastAsia="Times New Roman" w:cs="Times New Roman"/>
          <w:sz w:val="24"/>
          <w:szCs w:val="24"/>
        </w:rPr>
      </w:r>
      <w:r/>
      <w:r/>
    </w:p>
    <w:p>
      <w:pPr>
        <w:spacing w:line="240" w:lineRule="auto"/>
      </w:pPr>
      <w:r>
        <w:rPr>
          <w:rFonts w:ascii="Times New Roman" w:hAnsi="Times New Roman" w:eastAsia="Times New Roman" w:cs="Times New Roman"/>
          <w:sz w:val="24"/>
          <w:szCs w:val="24"/>
        </w:rPr>
      </w:r>
      <w:r/>
      <w:r/>
    </w:p>
    <w:p>
      <w:r/>
      <w:r/>
      <w:r/>
    </w:p>
    <w:p>
      <w:r/>
      <w:r/>
      <w:r/>
    </w:p>
    <w:p>
      <w:pPr>
        <w:rPr>
          <w:rFonts w:ascii="Times New Roman" w:hAnsi="Times New Roman" w:eastAsia="Times New Roman" w:cs="Times New Roman"/>
          <w:color w:val="000000"/>
          <w:sz w:val="24"/>
          <w:szCs w:val="24"/>
          <w:highlight w:val="none"/>
        </w:rPr>
      </w:pPr>
      <w:r/>
      <w:r/>
      <w:r/>
    </w:p>
    <w:p>
      <w:r/>
      <w:r/>
    </w:p>
    <w:p>
      <w:r/>
      <w:r/>
    </w:p>
    <w:p>
      <w:r/>
      <w:r/>
    </w:p>
    <w:p>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rPr>
          <w:highlight w:val="none"/>
        </w:rPr>
      </w:r>
      <w:r>
        <w:rPr>
          <w:highlight w:val="none"/>
        </w:rPr>
      </w:r>
    </w:p>
    <w:p>
      <w:pPr>
        <w:rPr>
          <w:highlight w:val="none"/>
        </w:rPr>
      </w:pPr>
      <w:r>
        <w:t xml:space="preserve">The Cyber Shield Academy, established in collaboration between JODDB and PGI, is a specialized training center in Jordan that focuses on cyber security education. They offer a variety of courses designed to equip individuals with the necessary skills and kn</w:t>
      </w:r>
      <w:r>
        <w:t xml:space="preserve">owledge to excel in the field of cyber security.</w:t>
      </w:r>
      <w:r/>
    </w:p>
    <w:p>
      <w:r/>
      <w:r/>
    </w:p>
    <w:p>
      <w:r>
        <w:t xml:space="preserve">One of their course categories is Penetration Testing and Ethical Hacking Skills. These courses provide training on how to assess the security of computer systems and networks by identifying vulnerabilities and exploiting them in an ethical manner. Particip</w:t>
      </w:r>
      <w:r>
        <w:t xml:space="preserve">ants learn techniques and methodologies used by professional ethical hackers to uncover weaknesses and protect against potential threats.</w:t>
      </w:r>
      <w:r/>
    </w:p>
    <w:p>
      <w:r/>
      <w:r/>
    </w:p>
    <w:p>
      <w:r>
        <w:t xml:space="preserve">Another course category is Information Security Policy Skills Training. These courses aim to develop skills related to information security governance, risk management, and compliance policies. Participants gain an understanding of the policies and procedur</w:t>
      </w:r>
      <w:r>
        <w:t xml:space="preserve">es required to safeguard sensitive information and ensure regulatory compliance.</w:t>
      </w:r>
      <w:r/>
    </w:p>
    <w:p>
      <w:r/>
      <w:r/>
    </w:p>
    <w:p>
      <w:r>
        <w:t xml:space="preserve">The Cyber Shield Academy also offers courses in Digital Forensics and Incident Response. These programs focus on investigating and analyzing digital evidence in the event of cyber incidents or crimes. Participants learn how to collect, preserve, and analyze</w:t>
      </w:r>
      <w:r>
        <w:t xml:space="preserve"> data to support investigations and respond effectively to security incidents.</w:t>
      </w:r>
      <w:r/>
    </w:p>
    <w:p>
      <w:r/>
      <w:r/>
    </w:p>
    <w:p>
      <w:r>
        <w:t xml:space="preserve">Additionally, the academy provides Awareness Training to educate individuals about common cyber threats, best practices for maintaining security, and the importance of adhering to organizational security policies. This training helps raise awareness among e</w:t>
      </w:r>
      <w:r>
        <w:t xml:space="preserve">mployees and promotes a culture of cyber security within organizations.</w:t>
      </w:r>
      <w:r/>
    </w:p>
    <w:p>
      <w:r/>
      <w:r/>
    </w:p>
    <w:p>
      <w:r>
        <w:t xml:space="preserve">Furthermore, they offer an Upskilling Program aimed at individuals who want to enhance their existing cyber security skills or transition into more advanced roles. This program provides opportunities for continuous learning and professional development in t</w:t>
      </w:r>
      <w:r>
        <w:t xml:space="preserve">he evolving field of cyber security.</w:t>
      </w:r>
      <w:r/>
    </w:p>
    <w:p>
      <w:r/>
      <w:r/>
    </w:p>
    <w:p>
      <w:r>
        <w:t xml:space="preserve">To enrich the learning experience, the academy conducts practical exercises such as Capture the Flag challenges and Red-Blue Team Exercises. These exercises simulate real-world scenarios, allowing participants to apply their skills and knowledge in a hands-</w:t>
      </w:r>
      <w:r>
        <w:t xml:space="preserve">on environment.</w:t>
      </w:r>
      <w:r/>
    </w:p>
    <w:p>
      <w:r/>
      <w:r/>
    </w:p>
    <w:p>
      <w:r>
        <w:t xml:space="preserve">The Cyber Shield Academy has gained recognition for its high-quality training programs and is certified by GCHQ, the UK Government's national technical authority for Cyber Security. This certification ensures that the academy's courses meet rigorous standar</w:t>
      </w:r>
      <w:r>
        <w:t xml:space="preserve">ds and align with industry best practices.</w:t>
      </w:r>
      <w:r/>
      <w:r/>
      <w:r/>
      <w: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599"/>
    <w:next w:val="599"/>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599"/>
    <w:next w:val="599"/>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599"/>
    <w:next w:val="599"/>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599"/>
    <w:next w:val="59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599"/>
    <w:next w:val="59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599"/>
    <w:next w:val="59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599"/>
    <w:next w:val="59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599"/>
    <w:next w:val="59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599"/>
    <w:next w:val="59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599"/>
    <w:next w:val="599"/>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599"/>
    <w:next w:val="599"/>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599"/>
    <w:next w:val="599"/>
    <w:link w:val="39"/>
    <w:uiPriority w:val="29"/>
    <w:qFormat/>
    <w:pPr>
      <w:ind w:left="720" w:right="720"/>
    </w:pPr>
    <w:rPr>
      <w:i/>
    </w:rPr>
  </w:style>
  <w:style w:type="character" w:styleId="39">
    <w:name w:val="Quote Char"/>
    <w:link w:val="38"/>
    <w:uiPriority w:val="29"/>
    <w:rPr>
      <w:i/>
    </w:rPr>
  </w:style>
  <w:style w:type="paragraph" w:styleId="40">
    <w:name w:val="Intense Quote"/>
    <w:basedOn w:val="599"/>
    <w:next w:val="59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599"/>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599"/>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599"/>
    <w:next w:val="59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59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59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599"/>
    <w:next w:val="599"/>
    <w:uiPriority w:val="39"/>
    <w:unhideWhenUsed/>
    <w:pPr>
      <w:ind w:left="0" w:right="0" w:firstLine="0"/>
      <w:spacing w:after="57"/>
    </w:pPr>
  </w:style>
  <w:style w:type="paragraph" w:styleId="182">
    <w:name w:val="toc 2"/>
    <w:basedOn w:val="599"/>
    <w:next w:val="599"/>
    <w:uiPriority w:val="39"/>
    <w:unhideWhenUsed/>
    <w:pPr>
      <w:ind w:left="283" w:right="0" w:firstLine="0"/>
      <w:spacing w:after="57"/>
    </w:pPr>
  </w:style>
  <w:style w:type="paragraph" w:styleId="183">
    <w:name w:val="toc 3"/>
    <w:basedOn w:val="599"/>
    <w:next w:val="599"/>
    <w:uiPriority w:val="39"/>
    <w:unhideWhenUsed/>
    <w:pPr>
      <w:ind w:left="567" w:right="0" w:firstLine="0"/>
      <w:spacing w:after="57"/>
    </w:pPr>
  </w:style>
  <w:style w:type="paragraph" w:styleId="184">
    <w:name w:val="toc 4"/>
    <w:basedOn w:val="599"/>
    <w:next w:val="599"/>
    <w:uiPriority w:val="39"/>
    <w:unhideWhenUsed/>
    <w:pPr>
      <w:ind w:left="850" w:right="0" w:firstLine="0"/>
      <w:spacing w:after="57"/>
    </w:pPr>
  </w:style>
  <w:style w:type="paragraph" w:styleId="185">
    <w:name w:val="toc 5"/>
    <w:basedOn w:val="599"/>
    <w:next w:val="599"/>
    <w:uiPriority w:val="39"/>
    <w:unhideWhenUsed/>
    <w:pPr>
      <w:ind w:left="1134" w:right="0" w:firstLine="0"/>
      <w:spacing w:after="57"/>
    </w:pPr>
  </w:style>
  <w:style w:type="paragraph" w:styleId="186">
    <w:name w:val="toc 6"/>
    <w:basedOn w:val="599"/>
    <w:next w:val="599"/>
    <w:uiPriority w:val="39"/>
    <w:unhideWhenUsed/>
    <w:pPr>
      <w:ind w:left="1417" w:right="0" w:firstLine="0"/>
      <w:spacing w:after="57"/>
    </w:pPr>
  </w:style>
  <w:style w:type="paragraph" w:styleId="187">
    <w:name w:val="toc 7"/>
    <w:basedOn w:val="599"/>
    <w:next w:val="599"/>
    <w:uiPriority w:val="39"/>
    <w:unhideWhenUsed/>
    <w:pPr>
      <w:ind w:left="1701" w:right="0" w:firstLine="0"/>
      <w:spacing w:after="57"/>
    </w:pPr>
  </w:style>
  <w:style w:type="paragraph" w:styleId="188">
    <w:name w:val="toc 8"/>
    <w:basedOn w:val="599"/>
    <w:next w:val="599"/>
    <w:uiPriority w:val="39"/>
    <w:unhideWhenUsed/>
    <w:pPr>
      <w:ind w:left="1984" w:right="0" w:firstLine="0"/>
      <w:spacing w:after="57"/>
    </w:pPr>
  </w:style>
  <w:style w:type="paragraph" w:styleId="189">
    <w:name w:val="toc 9"/>
    <w:basedOn w:val="599"/>
    <w:next w:val="599"/>
    <w:uiPriority w:val="39"/>
    <w:unhideWhenUsed/>
    <w:pPr>
      <w:ind w:left="2268" w:right="0" w:firstLine="0"/>
      <w:spacing w:after="57"/>
    </w:pPr>
  </w:style>
  <w:style w:type="paragraph" w:styleId="190">
    <w:name w:val="TOC Heading"/>
    <w:uiPriority w:val="39"/>
    <w:unhideWhenUsed/>
  </w:style>
  <w:style w:type="paragraph" w:styleId="191">
    <w:name w:val="table of figures"/>
    <w:basedOn w:val="599"/>
    <w:next w:val="599"/>
    <w:uiPriority w:val="99"/>
    <w:unhideWhenUsed/>
    <w:pPr>
      <w:spacing w:after="0" w:afterAutospacing="0"/>
    </w:pPr>
  </w:style>
  <w:style w:type="paragraph" w:styleId="599" w:default="1">
    <w:name w:val="Normal"/>
    <w:qFormat/>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 w:type="paragraph" w:styleId="602">
    <w:name w:val="No Spacing"/>
    <w:basedOn w:val="599"/>
    <w:uiPriority w:val="1"/>
    <w:qFormat/>
    <w:pPr>
      <w:spacing w:after="0" w:line="240" w:lineRule="auto"/>
    </w:pPr>
  </w:style>
  <w:style w:type="paragraph" w:styleId="603">
    <w:name w:val="List Paragraph"/>
    <w:basedOn w:val="599"/>
    <w:uiPriority w:val="34"/>
    <w:qFormat/>
    <w:pPr>
      <w:contextualSpacing/>
      <w:ind w:left="720"/>
    </w:pPr>
  </w:style>
  <w:style w:type="character" w:styleId="608"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2023-05-28T09:22:27Z</dcterms:modified>
</cp:coreProperties>
</file>