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LMS 👍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5k8yselqq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LMS: System Architecture &amp; Requirements Specification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1.1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h2fx9r78c7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نظرة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والمبادئ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المعمارية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للصيانة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يرتكز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Clean Architecture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Separation of Concerns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CQRS with MediatR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Vertical Slicing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Cohesion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dqel5kgr9o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مواصفات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طبقة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النطاق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 Entity</w:t>
      </w:r>
      <w:r w:rsidDel="00000000" w:rsidR="00000000" w:rsidRPr="00000000">
        <w:rPr>
          <w:b w:val="1"/>
          <w:rtl w:val="0"/>
        </w:rPr>
        <w:t xml:space="preserve"> 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AcademicYear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CoverImageUrl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Lesson Entity</w:t>
      </w:r>
      <w:r w:rsidDel="00000000" w:rsidR="00000000" w:rsidRPr="00000000">
        <w:rPr>
          <w:b w:val="1"/>
          <w:rtl w:val="0"/>
        </w:rPr>
        <w:t xml:space="preserve"> 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AttachmentUrl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 Entity</w:t>
      </w:r>
      <w:r w:rsidDel="00000000" w:rsidR="00000000" w:rsidRPr="00000000">
        <w:rPr>
          <w:b w:val="1"/>
          <w:rtl w:val="0"/>
        </w:rPr>
        <w:t xml:space="preserve"> 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DurationInMinutes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PassingScore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Question &amp; Option Entities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وخياراته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 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SingleChoice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 Entity</w:t>
      </w:r>
      <w:r w:rsidDel="00000000" w:rsidR="00000000" w:rsidRPr="00000000">
        <w:rPr>
          <w:b w:val="1"/>
          <w:rtl w:val="0"/>
        </w:rPr>
        <w:t xml:space="preserve"> 👤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ParentPhoneNumber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AcademicYear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 Entity</w:t>
      </w:r>
      <w:r w:rsidDel="00000000" w:rsidR="00000000" w:rsidRPr="00000000">
        <w:rPr>
          <w:b w:val="1"/>
          <w:rtl w:val="0"/>
        </w:rPr>
        <w:t xml:space="preserve"> 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qf1tbe6kai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مواصفات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طبقة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التطبيق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Cases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1"/>
        </w:rPr>
        <w:t xml:space="preserve">ممثلة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w45nmvtby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حالات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المدير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المدرس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Teacher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الكتابة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CreateCourseCommand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UpdateCourseInfoCommand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AddLessonToCourseCommand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PublishCourseCommand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CreateExamCommand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AddQuestionToExamCommand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وخياراته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PublishExamCommand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Queries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القراءة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GetCourseByIdQuery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وامتحاناتها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GetAllCoursesQuery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GetEnrollmentsForCourseQuery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GetStudentProgressQuery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ودرجاته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llvsg5v1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حالات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الكتابة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RegisterStudentCommand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CompleteLessonCommand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SubmitExamCommand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Queries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القراءة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GetMyCoursesQuery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GetCourseContentQuery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والامتحانات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GetMyGradesQuery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6hfqcfifa7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الخدمات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Cutting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Concerns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الاستراتيجية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FluentValidation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MediatR Pipeline Behavior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400 Bad Request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 Handling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معالجة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الأخطاء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الاستراتيجية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 Exception Handling Middleware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ProblemDetails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الأحداث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الاستراتيجية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Structured Logging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MediatR Pipeline Behavior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CorrelationId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