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alatino Linotype" w:cs="Palatino Linotype" w:eastAsia="Palatino Linotype" w:hAnsi="Palatino Linotype"/>
        </w:rPr>
      </w:pPr>
      <w:bookmarkStart w:colFirst="0" w:colLast="0" w:name="_r01ej8k32w2u" w:id="0"/>
      <w:bookmarkEnd w:id="0"/>
      <w:r w:rsidDel="00000000" w:rsidR="00000000" w:rsidRPr="00000000">
        <w:rPr>
          <w:rFonts w:ascii="Palatino Linotype" w:cs="Palatino Linotype" w:eastAsia="Palatino Linotype" w:hAnsi="Palatino Linotype"/>
          <w:rtl w:val="0"/>
        </w:rPr>
        <w:t xml:space="preserve">1. Introduction</w:t>
      </w:r>
    </w:p>
    <w:p w:rsidR="00000000" w:rsidDel="00000000" w:rsidP="00000000" w:rsidRDefault="00000000" w:rsidRPr="00000000" w14:paraId="00000002">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Trust Engine introduces the blockchain industry's first Proof of Verification (PoV) mechanism—a novel cryptographic framework that solves the fundamental Verifier's Dilemma plaguing all deterministic verification systems. While protocols like Bitcoin solved the double-spending problem through Proof of Work, Trust Engine addresses an equally critical challenge: ensuring verifiers actually perform verification work rather than copying results.</w:t>
      </w:r>
    </w:p>
    <w:p w:rsidR="00000000" w:rsidDel="00000000" w:rsidP="00000000" w:rsidRDefault="00000000" w:rsidRPr="00000000" w14:paraId="0000000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Verifier's Dilemma Problem:</w:t>
      </w:r>
    </w:p>
    <w:p w:rsidR="00000000" w:rsidDel="00000000" w:rsidP="00000000" w:rsidRDefault="00000000" w:rsidRPr="00000000" w14:paraId="00000005">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zero-knowledge proof verification, all honest verifiers produce identical outputs when processing the same cryptographic proof. This creates no economic incentive for genuine computational work—verifiers can simply copy previous results without performing actual verification, undermining network security.</w:t>
      </w:r>
    </w:p>
    <w:p w:rsidR="00000000" w:rsidDel="00000000" w:rsidP="00000000" w:rsidRDefault="00000000" w:rsidRPr="00000000" w14:paraId="0000000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Trust Engine's PoV Solution:</w:t>
      </w:r>
    </w:p>
    <w:p w:rsidR="00000000" w:rsidDel="00000000" w:rsidP="00000000" w:rsidRDefault="00000000" w:rsidRPr="00000000" w14:paraId="0000000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Proof of Verification mechanism requires verifiers to submit cryptographic evidence of intermediate computation steps, making result copying computationally more expensive than honest verification. This breakthrough enables the first truly scalable, trustless verification network for digital asset provenance.</w:t>
      </w:r>
    </w:p>
    <w:p w:rsidR="00000000" w:rsidDel="00000000" w:rsidP="00000000" w:rsidRDefault="00000000" w:rsidRPr="00000000" w14:paraId="00000009">
      <w:pPr>
        <w:pStyle w:val="Heading2"/>
        <w:rPr>
          <w:rFonts w:ascii="Palatino Linotype" w:cs="Palatino Linotype" w:eastAsia="Palatino Linotype" w:hAnsi="Palatino Linotype"/>
        </w:rPr>
      </w:pPr>
      <w:bookmarkStart w:colFirst="0" w:colLast="0" w:name="_qr2amadvwoh3" w:id="1"/>
      <w:bookmarkEnd w:id="1"/>
      <w:r w:rsidDel="00000000" w:rsidR="00000000" w:rsidRPr="00000000">
        <w:rPr>
          <w:rFonts w:ascii="Palatino Linotype" w:cs="Palatino Linotype" w:eastAsia="Palatino Linotype" w:hAnsi="Palatino Linotype"/>
          <w:rtl w:val="0"/>
        </w:rPr>
        <w:t xml:space="preserve">    1.1 Digital Asset Definition</w:t>
      </w:r>
    </w:p>
    <w:p w:rsidR="00000000" w:rsidDel="00000000" w:rsidP="00000000" w:rsidRDefault="00000000" w:rsidRPr="00000000" w14:paraId="0000000A">
      <w:pPr>
        <w:jc w:val="center"/>
        <w:rPr>
          <w:rFonts w:ascii="Palatino Linotype" w:cs="Palatino Linotype" w:eastAsia="Palatino Linotype" w:hAnsi="Palatino Linotype"/>
          <w:i w:val="1"/>
          <w:vertAlign w:val="superscript"/>
        </w:rPr>
      </w:pPr>
      <w:r w:rsidDel="00000000" w:rsidR="00000000" w:rsidRPr="00000000">
        <w:rPr>
          <w:rFonts w:ascii="Palatino Linotype" w:cs="Palatino Linotype" w:eastAsia="Palatino Linotype" w:hAnsi="Palatino Linotype"/>
          <w:i w:val="1"/>
          <w:rtl w:val="0"/>
        </w:rPr>
        <w:t xml:space="preserve">“</w:t>
      </w:r>
      <w:r w:rsidDel="00000000" w:rsidR="00000000" w:rsidRPr="00000000">
        <w:rPr>
          <w:rFonts w:ascii="Palatino Linotype" w:cs="Palatino Linotype" w:eastAsia="Palatino Linotype" w:hAnsi="Palatino Linotype"/>
          <w:i w:val="1"/>
          <w:highlight w:val="white"/>
          <w:rtl w:val="0"/>
        </w:rPr>
        <w:t xml:space="preserve">A digital asset is generally anything created and stored digitally, is identifiable and discoverable, and has or provides value.</w:t>
      </w:r>
      <w:r w:rsidDel="00000000" w:rsidR="00000000" w:rsidRPr="00000000">
        <w:rPr>
          <w:rFonts w:ascii="Palatino Linotype" w:cs="Palatino Linotype" w:eastAsia="Palatino Linotype" w:hAnsi="Palatino Linotype"/>
          <w:i w:val="1"/>
          <w:rtl w:val="0"/>
        </w:rPr>
        <w:t xml:space="preserve">” </w:t>
      </w:r>
      <w:r w:rsidDel="00000000" w:rsidR="00000000" w:rsidRPr="00000000">
        <w:rPr>
          <w:rFonts w:ascii="Palatino Linotype" w:cs="Palatino Linotype" w:eastAsia="Palatino Linotype" w:hAnsi="Palatino Linotype"/>
          <w:rtl w:val="0"/>
        </w:rPr>
        <w:t xml:space="preserve">(Chavarria, n.d.)</w:t>
      </w:r>
      <w:r w:rsidDel="00000000" w:rsidR="00000000" w:rsidRPr="00000000">
        <w:rPr>
          <w:rtl w:val="0"/>
        </w:rPr>
      </w:r>
    </w:p>
    <w:p w:rsidR="00000000" w:rsidDel="00000000" w:rsidP="00000000" w:rsidRDefault="00000000" w:rsidRPr="00000000" w14:paraId="0000000B">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This is the definition of a digital asset we’ll be abiding by so that we are clear in what Trust Engine establishes provenance trials on. Examples of digital assets include (and are not limited to): articles, images, videos, audio, CAD files, training datasets, repositories, AI-generated images, game items, and medical scans.</w:t>
      </w:r>
    </w:p>
    <w:p w:rsidR="00000000" w:rsidDel="00000000" w:rsidP="00000000" w:rsidRDefault="00000000" w:rsidRPr="00000000" w14:paraId="0000000C">
      <w:pPr>
        <w:pStyle w:val="Heading2"/>
        <w:rPr>
          <w:rFonts w:ascii="Palatino Linotype" w:cs="Palatino Linotype" w:eastAsia="Palatino Linotype" w:hAnsi="Palatino Linotype"/>
        </w:rPr>
      </w:pPr>
      <w:bookmarkStart w:colFirst="0" w:colLast="0" w:name="_5eu5qtvkyy0l" w:id="2"/>
      <w:bookmarkEnd w:id="2"/>
      <w:r w:rsidDel="00000000" w:rsidR="00000000" w:rsidRPr="00000000">
        <w:rPr>
          <w:rFonts w:ascii="Palatino Linotype" w:cs="Palatino Linotype" w:eastAsia="Palatino Linotype" w:hAnsi="Palatino Linotype"/>
          <w:rtl w:val="0"/>
        </w:rPr>
        <w:t xml:space="preserve">    1.2 Problem (The Provenance Gap)</w:t>
      </w:r>
    </w:p>
    <w:p w:rsidR="00000000" w:rsidDel="00000000" w:rsidP="00000000" w:rsidRDefault="00000000" w:rsidRPr="00000000" w14:paraId="0000000D">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Digital assets move at internet speed globally. But, the </w:t>
      </w:r>
      <w:r w:rsidDel="00000000" w:rsidR="00000000" w:rsidRPr="00000000">
        <w:rPr>
          <w:rFonts w:ascii="Palatino Linotype" w:cs="Palatino Linotype" w:eastAsia="Palatino Linotype" w:hAnsi="Palatino Linotype"/>
          <w:b w:val="1"/>
          <w:rtl w:val="0"/>
        </w:rPr>
        <w:t xml:space="preserve">proofs of who “created what, when, and in what state” </w:t>
      </w:r>
      <w:r w:rsidDel="00000000" w:rsidR="00000000" w:rsidRPr="00000000">
        <w:rPr>
          <w:rFonts w:ascii="Palatino Linotype" w:cs="Palatino Linotype" w:eastAsia="Palatino Linotype" w:hAnsi="Palatino Linotype"/>
          <w:rtl w:val="0"/>
        </w:rPr>
        <w:t xml:space="preserve">are still siloed in centralized private databases or brittle content-delivery logs. This is critical to both retail consumers and businesses. Until recently, platforms didn’t need to prove where digital assets came from until the hockey-stick rise of synthetic media, new regulations – EU AI Act, DSA Article 16, NIST provenance guidelines, and the need to prove authorship and unchanged artefacts to partners &amp; courts without leaking sensitive data.</w:t>
      </w:r>
    </w:p>
    <w:p w:rsidR="00000000" w:rsidDel="00000000" w:rsidP="00000000" w:rsidRDefault="00000000" w:rsidRPr="00000000" w14:paraId="0000000E">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fact, these regulations will make tamper-proof, preservation history trails for digital assets a prerequisite for every platform that stores or exchanges them. </w:t>
      </w:r>
      <w:r w:rsidDel="00000000" w:rsidR="00000000" w:rsidRPr="00000000">
        <w:rPr>
          <w:rFonts w:ascii="Palatino Linotype" w:cs="Palatino Linotype" w:eastAsia="Palatino Linotype" w:hAnsi="Palatino Linotype"/>
          <w:b w:val="1"/>
          <w:rtl w:val="0"/>
        </w:rPr>
        <w:t xml:space="preserve">This is impossible to manage at scale, </w:t>
      </w:r>
      <w:r w:rsidDel="00000000" w:rsidR="00000000" w:rsidRPr="00000000">
        <w:rPr>
          <w:rFonts w:ascii="Palatino Linotype" w:cs="Palatino Linotype" w:eastAsia="Palatino Linotype" w:hAnsi="Palatino Linotype"/>
          <w:rtl w:val="0"/>
        </w:rPr>
        <w:t xml:space="preserve">as they’re already dealing with IP-theft (costing the U.S. hundreds of billions a year). So, </w:t>
      </w:r>
      <w:r w:rsidDel="00000000" w:rsidR="00000000" w:rsidRPr="00000000">
        <w:rPr>
          <w:rFonts w:ascii="Palatino Linotype" w:cs="Palatino Linotype" w:eastAsia="Palatino Linotype" w:hAnsi="Palatino Linotype"/>
          <w:b w:val="1"/>
          <w:rtl w:val="0"/>
        </w:rPr>
        <w:t xml:space="preserve">the problem is of two parts: origin and preservation</w:t>
      </w:r>
      <w:r w:rsidDel="00000000" w:rsidR="00000000" w:rsidRPr="00000000">
        <w:rPr>
          <w:rFonts w:ascii="Palatino Linotype" w:cs="Palatino Linotype" w:eastAsia="Palatino Linotype" w:hAnsi="Palatino Linotype"/>
          <w:rtl w:val="0"/>
        </w:rPr>
        <w:t xml:space="preserve">. The key insight here is that origin and preservation must be </w:t>
      </w:r>
      <w:r w:rsidDel="00000000" w:rsidR="00000000" w:rsidRPr="00000000">
        <w:rPr>
          <w:rFonts w:ascii="Palatino Linotype" w:cs="Palatino Linotype" w:eastAsia="Palatino Linotype" w:hAnsi="Palatino Linotype"/>
          <w:b w:val="1"/>
          <w:rtl w:val="0"/>
        </w:rPr>
        <w:t xml:space="preserve">verifiable without exposing the asset itself.</w:t>
      </w:r>
      <w:r w:rsidDel="00000000" w:rsidR="00000000" w:rsidRPr="00000000">
        <w:rPr>
          <w:rFonts w:ascii="Palatino Linotype" w:cs="Palatino Linotype" w:eastAsia="Palatino Linotype" w:hAnsi="Palatino Linotype"/>
          <w:rtl w:val="0"/>
        </w:rPr>
        <w:t xml:space="preserve"> Think verifying election ballots without revealing the voter.</w:t>
      </w:r>
    </w:p>
    <w:p w:rsidR="00000000" w:rsidDel="00000000" w:rsidP="00000000" w:rsidRDefault="00000000" w:rsidRPr="00000000" w14:paraId="0000000F">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1.119998931884766"/>
          <w:szCs w:val="21.119998931884766"/>
          <w:rtl w:val="0"/>
        </w:rPr>
        <w:t xml:space="preserve"> </w:t>
      </w:r>
      <w:r w:rsidDel="00000000" w:rsidR="00000000" w:rsidRPr="00000000">
        <w:rPr>
          <w:rFonts w:ascii="Palatino Linotype" w:cs="Palatino Linotype" w:eastAsia="Palatino Linotype" w:hAnsi="Palatino Linotype"/>
          <w:rtl w:val="0"/>
        </w:rPr>
        <w:t xml:space="preserve">Current digital asset provenance solutions face three fundamental limitations. Firstly, reliance on single authorities creates censorship risks and single points of failure. Secondly, attached manifests can be stripped or altered without detection. Lastly, deterministic verification workflows lack economic alignment for participants. So, unlike manifest-based systems vulnerable to metadata stripping, Trust Engine's zero-knowledge approach:</w:t>
      </w:r>
    </w:p>
    <w:p w:rsidR="00000000" w:rsidDel="00000000" w:rsidP="00000000" w:rsidRDefault="00000000" w:rsidRPr="00000000" w14:paraId="00000010">
      <w:pPr>
        <w:numPr>
          <w:ilvl w:val="0"/>
          <w:numId w:val="2"/>
        </w:numPr>
        <w:spacing w:after="0" w:afterAutospacing="0" w:befor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Cryptographically binds provenance to asset hashes, not removable metadata</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Uses decentralized consensus (≥⅔ verifier agreement) instead of centralized attestation</w:t>
      </w:r>
    </w:p>
    <w:p w:rsidR="00000000" w:rsidDel="00000000" w:rsidP="00000000" w:rsidRDefault="00000000" w:rsidRPr="00000000" w14:paraId="00000012">
      <w:pPr>
        <w:numPr>
          <w:ilvl w:val="0"/>
          <w:numId w:val="2"/>
        </w:numPr>
        <w:spacing w:after="24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Implements Proof of Verification to ensure genuine computational work</w:t>
      </w:r>
    </w:p>
    <w:p w:rsidR="00000000" w:rsidDel="00000000" w:rsidP="00000000" w:rsidRDefault="00000000" w:rsidRPr="00000000" w14:paraId="00000013">
      <w:pPr>
        <w:spacing w:after="240" w:before="240" w:lineRule="auto"/>
        <w:ind w:firstLine="720"/>
        <w:rPr>
          <w:rFonts w:ascii="Palatino Linotype" w:cs="Palatino Linotype" w:eastAsia="Palatino Linotype" w:hAnsi="Palatino Linotype"/>
          <w:sz w:val="21.119998931884766"/>
          <w:szCs w:val="21.119998931884766"/>
        </w:rPr>
      </w:pPr>
      <w:r w:rsidDel="00000000" w:rsidR="00000000" w:rsidRPr="00000000">
        <w:rPr>
          <w:rFonts w:ascii="Palatino Linotype" w:cs="Palatino Linotype" w:eastAsia="Palatino Linotype" w:hAnsi="Palatino Linotype"/>
          <w:rtl w:val="0"/>
        </w:rPr>
        <w:t xml:space="preserve">It’s important to note our</w:t>
      </w:r>
      <w:r w:rsidDel="00000000" w:rsidR="00000000" w:rsidRPr="00000000">
        <w:rPr>
          <w:rFonts w:ascii="Palatino Linotype" w:cs="Palatino Linotype" w:eastAsia="Palatino Linotype" w:hAnsi="Palatino Linotype"/>
          <w:b w:val="1"/>
          <w:rtl w:val="0"/>
        </w:rPr>
        <w:t xml:space="preserve"> core principles</w:t>
      </w:r>
      <w:r w:rsidDel="00000000" w:rsidR="00000000" w:rsidRPr="00000000">
        <w:rPr>
          <w:rFonts w:ascii="Palatino Linotype" w:cs="Palatino Linotype" w:eastAsia="Palatino Linotype" w:hAnsi="Palatino Linotype"/>
          <w:rtl w:val="0"/>
        </w:rPr>
        <w:t xml:space="preserve"> that anchor the design of the protocol: provenance over truth, token-weighted economic alignment, total on-chain transparency, milestone-based decentralisation, and permissionless participation for creators, verifiers, consumers, and members .</w:t>
      </w:r>
      <w:r w:rsidDel="00000000" w:rsidR="00000000" w:rsidRPr="00000000">
        <w:rPr>
          <w:rtl w:val="0"/>
        </w:rPr>
      </w:r>
    </w:p>
    <w:p w:rsidR="00000000" w:rsidDel="00000000" w:rsidP="00000000" w:rsidRDefault="00000000" w:rsidRPr="00000000" w14:paraId="00000014">
      <w:pPr>
        <w:pStyle w:val="Heading2"/>
        <w:rPr>
          <w:rFonts w:ascii="Palatino Linotype" w:cs="Palatino Linotype" w:eastAsia="Palatino Linotype" w:hAnsi="Palatino Linotype"/>
        </w:rPr>
      </w:pPr>
      <w:bookmarkStart w:colFirst="0" w:colLast="0" w:name="_8nqcf67rinzc" w:id="3"/>
      <w:bookmarkEnd w:id="3"/>
      <w:r w:rsidDel="00000000" w:rsidR="00000000" w:rsidRPr="00000000">
        <w:rPr>
          <w:rFonts w:ascii="Palatino Linotype" w:cs="Palatino Linotype" w:eastAsia="Palatino Linotype" w:hAnsi="Palatino Linotype"/>
          <w:rtl w:val="0"/>
        </w:rPr>
        <w:t xml:space="preserve">    1.3 Solution (at a glance)</w:t>
      </w:r>
    </w:p>
    <w:p w:rsidR="00000000" w:rsidDel="00000000" w:rsidP="00000000" w:rsidRDefault="00000000" w:rsidRPr="00000000" w14:paraId="00000015">
      <w:pPr>
        <w:ind w:firstLine="72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detailed technical implementation of the proof verification process and verifier selection mechanisms, see the Trust Engine Technical White Paper.</w:t>
      </w:r>
    </w:p>
    <w:p w:rsidR="00000000" w:rsidDel="00000000" w:rsidP="00000000" w:rsidRDefault="00000000" w:rsidRPr="00000000" w14:paraId="00000016">
      <w:pPr>
        <w:numPr>
          <w:ilvl w:val="0"/>
          <w:numId w:val="3"/>
        </w:numPr>
        <w:ind w:left="720" w:hanging="360"/>
      </w:pPr>
      <w:r w:rsidDel="00000000" w:rsidR="00000000" w:rsidRPr="00000000">
        <w:rPr>
          <w:rFonts w:ascii="Palatino Linotype" w:cs="Palatino Linotype" w:eastAsia="Palatino Linotype" w:hAnsi="Palatino Linotype"/>
          <w:b w:val="1"/>
          <w:rtl w:val="0"/>
        </w:rPr>
        <w:t xml:space="preserve">Stamp</w:t>
      </w:r>
      <w:r w:rsidDel="00000000" w:rsidR="00000000" w:rsidRPr="00000000">
        <w:rPr>
          <w:rFonts w:ascii="Palatino Linotype" w:cs="Palatino Linotype" w:eastAsia="Palatino Linotype" w:hAnsi="Palatino Linotype"/>
          <w:rtl w:val="0"/>
        </w:rPr>
        <w:t xml:space="preserve"> - Creator registers their digital asset on the protocol via our OpenAPI endpoint; the asset is hashed and the hash + metadata is shipped to the IPFS (decentralized storage)</w:t>
      </w:r>
    </w:p>
    <w:p w:rsidR="00000000" w:rsidDel="00000000" w:rsidP="00000000" w:rsidRDefault="00000000" w:rsidRPr="00000000" w14:paraId="00000017">
      <w:pPr>
        <w:numPr>
          <w:ilvl w:val="0"/>
          <w:numId w:val="3"/>
        </w:numPr>
        <w:ind w:left="720" w:hanging="360"/>
      </w:pPr>
      <w:r w:rsidDel="00000000" w:rsidR="00000000" w:rsidRPr="00000000">
        <w:rPr>
          <w:rFonts w:ascii="Palatino Linotype" w:cs="Palatino Linotype" w:eastAsia="Palatino Linotype" w:hAnsi="Palatino Linotype"/>
          <w:b w:val="1"/>
          <w:rtl w:val="0"/>
        </w:rPr>
        <w:t xml:space="preserve">Verify</w:t>
      </w:r>
      <w:r w:rsidDel="00000000" w:rsidR="00000000" w:rsidRPr="00000000">
        <w:rPr>
          <w:rFonts w:ascii="Palatino Linotype" w:cs="Palatino Linotype" w:eastAsia="Palatino Linotype" w:hAnsi="Palatino Linotype"/>
          <w:rtl w:val="0"/>
        </w:rPr>
        <w:t xml:space="preserve"> - Backend auto-generates the zero-knowledge proof and pushes it to Solana, where staked verifiers reproduce the check and vote. Two-thirds honesty finalises the record</w:t>
      </w:r>
    </w:p>
    <w:p w:rsidR="00000000" w:rsidDel="00000000" w:rsidP="00000000" w:rsidRDefault="00000000" w:rsidRPr="00000000" w14:paraId="00000018">
      <w:pPr>
        <w:numPr>
          <w:ilvl w:val="0"/>
          <w:numId w:val="3"/>
        </w:numPr>
        <w:ind w:left="720" w:hanging="360"/>
      </w:pPr>
      <w:r w:rsidDel="00000000" w:rsidR="00000000" w:rsidRPr="00000000">
        <w:rPr>
          <w:rFonts w:ascii="Palatino Linotype" w:cs="Palatino Linotype" w:eastAsia="Palatino Linotype" w:hAnsi="Palatino Linotype"/>
          <w:b w:val="1"/>
          <w:rtl w:val="0"/>
        </w:rPr>
        <w:t xml:space="preserve">Reveal</w:t>
      </w:r>
      <w:r w:rsidDel="00000000" w:rsidR="00000000" w:rsidRPr="00000000">
        <w:rPr>
          <w:rFonts w:ascii="Palatino Linotype" w:cs="Palatino Linotype" w:eastAsia="Palatino Linotype" w:hAnsi="Palatino Linotype"/>
          <w:rtl w:val="0"/>
        </w:rPr>
        <w:t xml:space="preserve"> - Any end-user viewing the asset can click the public Trust Engine Stamp to see: creator wallet, time-stamp, unforgeable log of all approved digital asset state changes – while the raw file never leaves the creator’s device.</w:t>
      </w:r>
    </w:p>
    <w:p w:rsidR="00000000" w:rsidDel="00000000" w:rsidP="00000000" w:rsidRDefault="00000000" w:rsidRPr="00000000" w14:paraId="00000019">
      <w:pPr>
        <w:pStyle w:val="Heading2"/>
        <w:rPr>
          <w:rFonts w:ascii="Palatino Linotype" w:cs="Palatino Linotype" w:eastAsia="Palatino Linotype" w:hAnsi="Palatino Linotype"/>
        </w:rPr>
      </w:pPr>
      <w:bookmarkStart w:colFirst="0" w:colLast="0" w:name="_831fm5seeblp" w:id="4"/>
      <w:bookmarkEnd w:id="4"/>
      <w:r w:rsidDel="00000000" w:rsidR="00000000" w:rsidRPr="00000000">
        <w:rPr>
          <w:rFonts w:ascii="Palatino Linotype" w:cs="Palatino Linotype" w:eastAsia="Palatino Linotype" w:hAnsi="Palatino Linotype"/>
          <w:rtl w:val="0"/>
        </w:rPr>
        <w:t xml:space="preserve">     1.4 Vision</w:t>
      </w:r>
    </w:p>
    <w:p w:rsidR="00000000" w:rsidDel="00000000" w:rsidP="00000000" w:rsidRDefault="00000000" w:rsidRPr="00000000" w14:paraId="0000001A">
      <w:pPr>
        <w:spacing w:after="240" w:before="240" w:lineRule="auto"/>
        <w:ind w:right="60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ab/>
      </w:r>
      <w:r w:rsidDel="00000000" w:rsidR="00000000" w:rsidRPr="00000000">
        <w:rPr>
          <w:rFonts w:ascii="Palatino Linotype" w:cs="Palatino Linotype" w:eastAsia="Palatino Linotype" w:hAnsi="Palatino Linotype"/>
          <w:rtl w:val="0"/>
        </w:rPr>
        <w:t xml:space="preserve">Our vision is a world where any piece of digital asset carries a public, tamper-proof, auditable record of its own creation and provenance-trail, without needing to reveal the assets. </w:t>
      </w:r>
      <w:r w:rsidDel="00000000" w:rsidR="00000000" w:rsidRPr="00000000">
        <w:rPr>
          <w:rFonts w:ascii="Palatino Linotype" w:cs="Palatino Linotype" w:eastAsia="Palatino Linotype" w:hAnsi="Palatino Linotype"/>
          <w:b w:val="1"/>
          <w:rtl w:val="0"/>
        </w:rPr>
        <w:t xml:space="preserve">We can only get there by phasing into a provenance-centric Layer-1 blockchain</w:t>
      </w:r>
      <w:r w:rsidDel="00000000" w:rsidR="00000000" w:rsidRPr="00000000">
        <w:rPr>
          <w:rFonts w:ascii="Palatino Linotype" w:cs="Palatino Linotype" w:eastAsia="Palatino Linotype" w:hAnsi="Palatino Linotype"/>
          <w:rtl w:val="0"/>
        </w:rPr>
        <w:t xml:space="preserve">, the Trust Engine Chain, purpose-built for verifying and indexing zero-knowledge proofs of any digital asset. The Trust Engine Chain is slated to have the following qualities:</w:t>
      </w:r>
    </w:p>
    <w:p w:rsidR="00000000" w:rsidDel="00000000" w:rsidP="00000000" w:rsidRDefault="00000000" w:rsidRPr="00000000" w14:paraId="0000001B">
      <w:pPr>
        <w:numPr>
          <w:ilvl w:val="0"/>
          <w:numId w:val="5"/>
        </w:numPr>
        <w:spacing w:after="0" w:afterAutospacing="0" w:before="240" w:lineRule="auto"/>
        <w:ind w:left="720" w:right="60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Proof of Proof consensus. </w:t>
      </w:r>
      <w:r w:rsidDel="00000000" w:rsidR="00000000" w:rsidRPr="00000000">
        <w:rPr>
          <w:rFonts w:ascii="Palatino Linotype" w:cs="Palatino Linotype" w:eastAsia="Palatino Linotype" w:hAnsi="Palatino Linotype"/>
          <w:rtl w:val="0"/>
        </w:rPr>
        <w:t xml:space="preserve">Block producers reach consensus over the correctness and finality of zk-proof batches, not raw transactions, slashing dishonest nodes instantly</w:t>
      </w:r>
    </w:p>
    <w:p w:rsidR="00000000" w:rsidDel="00000000" w:rsidP="00000000" w:rsidRDefault="00000000" w:rsidRPr="00000000" w14:paraId="0000001C">
      <w:pPr>
        <w:numPr>
          <w:ilvl w:val="0"/>
          <w:numId w:val="5"/>
        </w:numPr>
        <w:spacing w:after="0" w:afterAutospacing="0" w:before="0" w:beforeAutospacing="0" w:lineRule="auto"/>
        <w:ind w:left="720" w:right="600" w:hanging="360"/>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Universal proof schema registry. </w:t>
      </w:r>
      <w:r w:rsidDel="00000000" w:rsidR="00000000" w:rsidRPr="00000000">
        <w:rPr>
          <w:rFonts w:ascii="Palatino Linotype" w:cs="Palatino Linotype" w:eastAsia="Palatino Linotype" w:hAnsi="Palatino Linotype"/>
          <w:rtl w:val="0"/>
        </w:rPr>
        <w:t xml:space="preserve">Schema Authors publish versioned audited schemas; creators reuse them like ERC-types on Ethereum</w:t>
      </w:r>
    </w:p>
    <w:p w:rsidR="00000000" w:rsidDel="00000000" w:rsidP="00000000" w:rsidRDefault="00000000" w:rsidRPr="00000000" w14:paraId="0000001D">
      <w:pPr>
        <w:numPr>
          <w:ilvl w:val="0"/>
          <w:numId w:val="5"/>
        </w:numPr>
        <w:spacing w:after="240" w:before="0" w:beforeAutospacing="0" w:lineRule="auto"/>
        <w:ind w:left="720" w:right="600" w:hanging="360"/>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A provenance layer to build upon. </w:t>
      </w:r>
      <w:r w:rsidDel="00000000" w:rsidR="00000000" w:rsidRPr="00000000">
        <w:rPr>
          <w:rFonts w:ascii="Palatino Linotype" w:cs="Palatino Linotype" w:eastAsia="Palatino Linotype" w:hAnsi="Palatino Linotype"/>
          <w:rtl w:val="0"/>
        </w:rPr>
        <w:t xml:space="preserve">Expect stronger dApps to be built upon us in fields like licensing, deep-fake detection, fintech.</w:t>
      </w:r>
    </w:p>
    <w:p w:rsidR="00000000" w:rsidDel="00000000" w:rsidP="00000000" w:rsidRDefault="00000000" w:rsidRPr="00000000" w14:paraId="0000001E">
      <w:pPr>
        <w:pStyle w:val="Heading2"/>
        <w:rPr>
          <w:rFonts w:ascii="Palatino Linotype" w:cs="Palatino Linotype" w:eastAsia="Palatino Linotype" w:hAnsi="Palatino Linotype"/>
        </w:rPr>
      </w:pPr>
      <w:bookmarkStart w:colFirst="0" w:colLast="0" w:name="_capq1zjyw7tz" w:id="5"/>
      <w:bookmarkEnd w:id="5"/>
      <w:r w:rsidDel="00000000" w:rsidR="00000000" w:rsidRPr="00000000">
        <w:rPr>
          <w:rFonts w:ascii="Palatino Linotype" w:cs="Palatino Linotype" w:eastAsia="Palatino Linotype" w:hAnsi="Palatino Linotype"/>
          <w:rtl w:val="0"/>
        </w:rPr>
        <w:t xml:space="preserve">  1.5 Core Principles</w:t>
      </w:r>
    </w:p>
    <w:p w:rsidR="00000000" w:rsidDel="00000000" w:rsidP="00000000" w:rsidRDefault="00000000" w:rsidRPr="00000000" w14:paraId="0000001F">
      <w:pPr>
        <w:numPr>
          <w:ilvl w:val="0"/>
          <w:numId w:val="1"/>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Provenance Over Truth:</w:t>
      </w:r>
      <w:r w:rsidDel="00000000" w:rsidR="00000000" w:rsidRPr="00000000">
        <w:rPr>
          <w:rFonts w:ascii="Palatino Linotype" w:cs="Palatino Linotype" w:eastAsia="Palatino Linotype" w:hAnsi="Palatino Linotype"/>
          <w:rtl w:val="0"/>
        </w:rPr>
        <w:t xml:space="preserve"> We certify origin and integrity, not editorial, political, or even deep-fake correctness.</w:t>
      </w:r>
    </w:p>
    <w:p w:rsidR="00000000" w:rsidDel="00000000" w:rsidP="00000000" w:rsidRDefault="00000000" w:rsidRPr="00000000" w14:paraId="00000020">
      <w:pPr>
        <w:numPr>
          <w:ilvl w:val="0"/>
          <w:numId w:val="4"/>
        </w:numPr>
        <w:ind w:left="720" w:hanging="360"/>
      </w:pPr>
      <w:r w:rsidDel="00000000" w:rsidR="00000000" w:rsidRPr="00000000">
        <w:rPr>
          <w:rFonts w:ascii="Palatino Linotype" w:cs="Palatino Linotype" w:eastAsia="Palatino Linotype" w:hAnsi="Palatino Linotype"/>
          <w:b w:val="1"/>
          <w:rtl w:val="0"/>
        </w:rPr>
        <w:t xml:space="preserve">Economic Alignment: </w:t>
      </w:r>
      <w:r w:rsidDel="00000000" w:rsidR="00000000" w:rsidRPr="00000000">
        <w:rPr>
          <w:rFonts w:ascii="Palatino Linotype" w:cs="Palatino Linotype" w:eastAsia="Palatino Linotype" w:hAnsi="Palatino Linotype"/>
          <w:rtl w:val="0"/>
        </w:rPr>
        <w:t xml:space="preserve">Token-weighted incentives ensure stakeholders bear upside and downside to their decisions</w:t>
      </w:r>
    </w:p>
    <w:p w:rsidR="00000000" w:rsidDel="00000000" w:rsidP="00000000" w:rsidRDefault="00000000" w:rsidRPr="00000000" w14:paraId="00000021">
      <w:pPr>
        <w:numPr>
          <w:ilvl w:val="0"/>
          <w:numId w:val="4"/>
        </w:numPr>
        <w:ind w:left="720" w:hanging="360"/>
      </w:pPr>
      <w:r w:rsidDel="00000000" w:rsidR="00000000" w:rsidRPr="00000000">
        <w:rPr>
          <w:rFonts w:ascii="Palatino Linotype" w:cs="Palatino Linotype" w:eastAsia="Palatino Linotype" w:hAnsi="Palatino Linotype"/>
          <w:b w:val="1"/>
          <w:rtl w:val="0"/>
        </w:rPr>
        <w:t xml:space="preserve">Open Transparency: </w:t>
      </w:r>
      <w:r w:rsidDel="00000000" w:rsidR="00000000" w:rsidRPr="00000000">
        <w:rPr>
          <w:rFonts w:ascii="Palatino Linotype" w:cs="Palatino Linotype" w:eastAsia="Palatino Linotype" w:hAnsi="Palatino Linotype"/>
          <w:rtl w:val="0"/>
        </w:rPr>
        <w:t xml:space="preserve">Every decision, fund flow, and dispute is recorded on-chain.</w:t>
      </w:r>
    </w:p>
    <w:p w:rsidR="00000000" w:rsidDel="00000000" w:rsidP="00000000" w:rsidRDefault="00000000" w:rsidRPr="00000000" w14:paraId="00000022">
      <w:pPr>
        <w:numPr>
          <w:ilvl w:val="0"/>
          <w:numId w:val="4"/>
        </w:numPr>
        <w:ind w:left="720" w:hanging="360"/>
      </w:pPr>
      <w:r w:rsidDel="00000000" w:rsidR="00000000" w:rsidRPr="00000000">
        <w:rPr>
          <w:rFonts w:ascii="Palatino Linotype" w:cs="Palatino Linotype" w:eastAsia="Palatino Linotype" w:hAnsi="Palatino Linotype"/>
          <w:b w:val="1"/>
          <w:rtl w:val="0"/>
        </w:rPr>
        <w:t xml:space="preserve">Progressive Decentralization:</w:t>
      </w:r>
      <w:r w:rsidDel="00000000" w:rsidR="00000000" w:rsidRPr="00000000">
        <w:rPr>
          <w:rFonts w:ascii="Palatino Linotype" w:cs="Palatino Linotype" w:eastAsia="Palatino Linotype" w:hAnsi="Palatino Linotype"/>
          <w:rtl w:val="0"/>
        </w:rPr>
        <w:t xml:space="preserve"> Control shifts from founders to community via quantitative milestones</w:t>
      </w:r>
    </w:p>
    <w:p w:rsidR="00000000" w:rsidDel="00000000" w:rsidP="00000000" w:rsidRDefault="00000000" w:rsidRPr="00000000" w14:paraId="00000023">
      <w:pPr>
        <w:numPr>
          <w:ilvl w:val="0"/>
          <w:numId w:val="4"/>
        </w:numPr>
        <w:ind w:left="720" w:hanging="360"/>
      </w:pPr>
      <w:r w:rsidDel="00000000" w:rsidR="00000000" w:rsidRPr="00000000">
        <w:rPr>
          <w:rFonts w:ascii="Palatino Linotype" w:cs="Palatino Linotype" w:eastAsia="Palatino Linotype" w:hAnsi="Palatino Linotype"/>
          <w:b w:val="1"/>
          <w:rtl w:val="0"/>
        </w:rPr>
        <w:t xml:space="preserve">Permissionless Participation: </w:t>
      </w:r>
      <w:r w:rsidDel="00000000" w:rsidR="00000000" w:rsidRPr="00000000">
        <w:rPr>
          <w:rFonts w:ascii="Palatino Linotype" w:cs="Palatino Linotype" w:eastAsia="Palatino Linotype" w:hAnsi="Palatino Linotype"/>
          <w:rtl w:val="0"/>
        </w:rPr>
        <w:t xml:space="preserve">Anyone can join as a Member, Creator, Verifier, or Consumer subject to minimal on-chain criteria</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