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OpenStudio bij UWV</w:t>
      </w:r>
    </w:p>
    <w:p>
      <w:pPr>
        <w:spacing w:after="120"/>
      </w:pPr>
      <w:r>
        <w:rPr>
          <w:b/>
          <w:bCs/>
          <w:i w:val="false"/>
          <w:iCs w:val="false"/>
          <w:sz w:val="26"/>
          <w:szCs w:val="26"/>
        </w:rPr>
        <w:t xml:space="preserve">Toetsing aan wet- en regelgeving voor de Nederlandse publieke sector</w:t>
      </w:r>
    </w:p>
    <w:p>
      <w:pPr>
        <w:spacing w:after="200"/>
      </w:pPr>
      <w:r>
        <w:rPr>
          <w:b w:val="false"/>
          <w:bCs w:val="false"/>
          <w:i/>
          <w:iCs/>
          <w:sz w:val="19"/>
          <w:szCs w:val="19"/>
        </w:rPr>
        <w:t xml:space="preserve">Versie 1  |  Bijlage bij PROJECT_SPEC.md (v4)  |  Stand van de wetgeving geverifieerd op 22 juli 2026</w:t>
      </w:r>
    </w:p>
    <w:p>
      <w:pPr>
        <w:pBdr>
          <w:top w:val="single" w:color="C77F2E" w:sz="6"/>
          <w:bottom w:val="single" w:color="C77F2E" w:sz="6"/>
          <w:left w:val="single" w:color="C77F2E" w:sz="6"/>
          <w:right w:val="single" w:color="C77F2E" w:sz="6"/>
        </w:pBdr>
        <w:shd w:fill="FDF3E7" w:val="clear"/>
        <w:spacing w:after="200" w:before="160"/>
      </w:pPr>
      <w:r>
        <w:rPr>
          <w:sz w:val="19"/>
          <w:szCs w:val="19"/>
        </w:rPr>
        <w:t xml:space="preserve">Reikwijdte en voorbehoud. Dit document koppelt het OpenStudio-platform (zoals gespecificeerd in PROJECT_SPEC.md v4) aan het regelgevend kader dat geldt voor UWV als zelfstandig bestuursorgaan dat data- en AI-systemen inzet. Het betreft een technische compliancetoetsing volgens het principe van compliance by design en is uitdrukkelijk geen juridisch advies. De Functionaris Gegevensbescherming, de CISO, de privacyorganisatie en de juridische afdeling van UWV dienen elke conclusie te valideren. Onderdelen met de aanduiding 'in ontwikkeling' waren medio 2026 nog in een wetgevingsprocedure en moeten voor productiegebruik opnieuw worden geverifieerd.</w:t>
      </w:r>
    </w:p>
    <w:p>
      <w:pPr>
        <w:spacing w:after="80" w:before="100"/>
      </w:pPr>
      <w:r>
        <w:rPr>
          <w:b/>
          <w:bCs/>
          <w:color w:val="1F4E79"/>
          <w:sz w:val="24"/>
          <w:szCs w:val="24"/>
        </w:rPr>
        <w:t xml:space="preserve">Inhoud</w:t>
      </w:r>
    </w:p>
    <w:sdt>
      <w:sdtPr>
        <w:alias w:val="Inhoud"/>
      </w:sdtPr>
      <w:sdtContent>
        <w:p>
          <w:r>
            <w:fldChar w:fldCharType="begin" w:dirty="true"/>
            <w:instrText xml:space="preserve">TOC \h \o "1-2"</w:instrText>
            <w:fldChar w:fldCharType="separate"/>
          </w:r>
        </w:p>
        <w:p>
          <w:r>
            <w:fldChar w:fldCharType="end"/>
          </w:r>
        </w:p>
      </w:sdtContent>
    </w:sdt>
    <w:p>
      <w:pPr>
        <w:pStyle w:val="Heading1"/>
        <w:spacing w:after="140" w:before="300"/>
      </w:pPr>
      <w:r>
        <w:t xml:space="preserve">1. Het regelgevend kader van UWV</w:t>
      </w:r>
    </w:p>
    <w:p>
      <w:pPr>
        <w:spacing w:after="120"/>
      </w:pPr>
      <w:r>
        <w:rPr>
          <w:b w:val="false"/>
          <w:bCs w:val="false"/>
          <w:i w:val="false"/>
          <w:iCs w:val="false"/>
        </w:rPr>
        <w:t xml:space="preserve">Onderstaande tabel geeft weer welke wet- en regelgeving op UWV en op dit platform van toepassing is, en waarom.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626"/>
      </w:tblGrid>
      <w:tr>
        <w:trPr>
          <w:tblHeader/>
        </w:trPr>
        <w:tc>
          <w:tcPr>
            <w:tcW w:type="dxa" w:w="2500"/>
            <w:shd w:fill="1F4E79" w:val="clear"/>
            <w:tcMar>
              <w:top w:type="dxa" w:w="70"/>
              <w:left w:type="dxa" w:w="100"/>
              <w:bottom w:type="dxa" w:w="70"/>
              <w:right w:type="dxa" w:w="100"/>
            </w:tcMar>
          </w:tcPr>
          <w:p>
            <w:pPr>
              <w:spacing w:after="0"/>
            </w:pPr>
            <w:r>
              <w:rPr>
                <w:b/>
                <w:bCs/>
                <w:color w:val="FFFFFF"/>
                <w:sz w:val="19"/>
                <w:szCs w:val="19"/>
              </w:rPr>
              <w:t xml:space="preserve">Instrument</w:t>
            </w:r>
          </w:p>
        </w:tc>
        <w:tc>
          <w:tcPr>
            <w:tcW w:type="dxa" w:w="1900"/>
            <w:shd w:fill="1F4E79" w:val="clear"/>
            <w:tcMar>
              <w:top w:type="dxa" w:w="70"/>
              <w:left w:type="dxa" w:w="100"/>
              <w:bottom w:type="dxa" w:w="70"/>
              <w:right w:type="dxa" w:w="100"/>
            </w:tcMar>
          </w:tcPr>
          <w:p>
            <w:pPr>
              <w:spacing w:after="0"/>
            </w:pPr>
            <w:r>
              <w:rPr>
                <w:b/>
                <w:bCs/>
                <w:color w:val="FFFFFF"/>
                <w:sz w:val="19"/>
                <w:szCs w:val="19"/>
              </w:rPr>
              <w:t xml:space="preserve">Aard</w:t>
            </w:r>
          </w:p>
        </w:tc>
        <w:tc>
          <w:tcPr>
            <w:tcW w:type="dxa" w:w="4626"/>
            <w:shd w:fill="1F4E79" w:val="clear"/>
            <w:tcMar>
              <w:top w:type="dxa" w:w="70"/>
              <w:left w:type="dxa" w:w="100"/>
              <w:bottom w:type="dxa" w:w="70"/>
              <w:right w:type="dxa" w:w="100"/>
            </w:tcMar>
          </w:tcPr>
          <w:p>
            <w:pPr>
              <w:spacing w:after="0"/>
            </w:pPr>
            <w:r>
              <w:rPr>
                <w:b/>
                <w:bCs/>
                <w:color w:val="FFFFFF"/>
                <w:sz w:val="19"/>
                <w:szCs w:val="19"/>
              </w:rPr>
              <w:t xml:space="preserve">Relevantie voor UWV en het platform</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AVG + UAVG</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EU-verordening en Nederlandse uitvoeringswet</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Kernverwerking van persoonsgegevens van uitkeringsgerechtigden, waaronder BSN en gezondheidsgerelateerde gegevens voor WIA en Ziektewet.</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AI-verordening (Verordening (EU) 2024/1689), gewijzigd door de Digital Omnibus AI (aangenomen juni/juli 2026)</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EU-verordening</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Bijlage III, punt 5(a), noemt AI die overheden gebruiken om aanspraak op essentiële overheidsuitkeringen te beoordelen: de kerntaak van UWV. Verplichtingen voor hoog risico (bijlage III) gelden vanaf 2 december 2027; verboden praktijken en AI-geletterdheid gelden sinds 2 februari 2025; GPAI-regels sinds 2 augustus 2025.</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BIO2 v1.3 (Staatscourant, 5 maart 2026)</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Overheidsbrede baseline informatiebeveiliging; uitwerking van ISO 27001:2023 en 27002:2022</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Bindend normenkader voor alle overheidslagen. Zbo's zijn ook bij uitzondering van de Cbw gebonden via ministerraadsbesluit en circulaire.</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Cyberbeveiligingswet (Cbw) + Wwke (implementatie NIS2 en CER)</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Nederlandse wet, in werking op 15 augustus 2026</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Zorgplicht (voor de overheid ingevuld via de BIO2 in de Cyberbeveiligingsregeling sector Overheid), meldplicht, registratieplicht en bestuurdersaansprakelijkheid.</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Wet SUWI + Besluit en Regeling SUWI</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Nederlandse wet</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Institutionele wet van UWV: taakafbakening, gegevensuitwisseling (Suwinet/GeVS), doelbinding, beveiligings- en verantwoordingseisen.</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Materiewetten (WW, WIA, WAO, ZW, Wajong, Toeslagenwet, IOW, WAZO)</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Nederlandse wet</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Bepalen de besluiten waaraan platformuitvoer mag bijdragen en de rechtsgrondslagen (art. 6, lid 1, onder c en e, AVG).</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Awb</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Nederlandse wet</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Zorgvuldigheid (art. 3:2), evenredigheid (art. 3:4) en motivering (art. 3:46 en 3:47) voor elk besluit, ook wanneer algoritmes ondersteunen; besluiten moeten reconstrueerbaar zijn.</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Wabb (BSN-wetgeving)</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Nederlandse wet</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Regels voor de verwerking van het burgerservicenummer.</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Woo + Algoritmeregisterbeleid</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Nederlandse wet en kabinetsbeleid</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Actieve openbaarmaking. Rijkscommitment: impactvolle algoritmes uiterlijk eind 2026 registreren; privacyverklaringen vermelden geautomatiseerde risicoselectie uiterlijk 31 december 2026. Geen wettelijke registerplicht (besluit september 2025); in plaats daarvan een auditeerbaar Algoritmekader. In ontwikkeling: concept-Kaderwet Toetsing Algoritmen (consultatie).</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Archiefwet</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Nederlandse wet</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Bewaren en vernietigen volgens de selectielijst; duurzame toegankelijkheid van informatie.</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Besluit digitale toegankelijkheid / EN 301 549 (WCAG 2.1 AA)</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Nederlands besluit en EU-norm</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Alle digitale overheidskanalen: Studio (medewerkers) en Hub (indien burgergericht, strikt).</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NORA + Forum Standaardisatie (pas toe of leg uit)</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Bindende architectuurafspraken en verplichte open standaarden</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Referentiearchitectuur en verplichte standaarden: HTTPS en HSTS, TLS volgens NCSC-richtlijnen, OpenAPI, REST API Design Rules, NLGov-profielen voor OAuth en OpenID Connect, DNSSEC, Digikoppeling waar ketens raken.</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ISO/IEC 42001:2023 (AIMS) + ISO/IEC 23894, 42005:2025 en 42006:2025</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Vrijwillige, certificeerbare internationale managementsysteemnorm</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AI-evenknie van het ISMS (ISO 27001) onder de BIO2; leidend certificeerbaar AI-governancekader en auditanker voor de Algoritmekaderroute. Geen geharmoniseerde norm onder de AI-verordening; zie hoofdstuk 3.11.</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Rijksbreed cloudbeleid + implementatiekader</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Kabinetsbeleid</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Risicoafweging voorafgaand aan (public) cloudgebruik; koers richting digitale soevereiniteit; bevoordeelt zelf hosten.</w:t>
            </w:r>
          </w:p>
        </w:tc>
      </w:tr>
      <w:tr>
        <w:tc>
          <w:tcPr>
            <w:tcW w:type="dxa" w:w="2500"/>
            <w:shd w:fill="FFFFFF" w:val="clear"/>
            <w:tcMar>
              <w:top w:type="dxa" w:w="70"/>
              <w:left w:type="dxa" w:w="100"/>
              <w:bottom w:type="dxa" w:w="70"/>
              <w:right w:type="dxa" w:w="100"/>
            </w:tcMar>
          </w:tcPr>
          <w:p>
            <w:pPr>
              <w:spacing w:after="0"/>
            </w:pPr>
            <w:r>
              <w:rPr>
                <w:b w:val="false"/>
                <w:bCs w:val="false"/>
                <w:color w:val="262626"/>
                <w:sz w:val="18"/>
                <w:szCs w:val="18"/>
              </w:rPr>
              <w:t xml:space="preserve">EVRM art. 8 en EU-Handvest + SyRI-uitspraak (Rb. Den Haag, 2020)</w:t>
            </w:r>
          </w:p>
        </w:tc>
        <w:tc>
          <w:tcPr>
            <w:tcW w:type="dxa" w:w="1900"/>
            <w:shd w:fill="FFFFFF" w:val="clear"/>
            <w:tcMar>
              <w:top w:type="dxa" w:w="70"/>
              <w:left w:type="dxa" w:w="100"/>
              <w:bottom w:type="dxa" w:w="70"/>
              <w:right w:type="dxa" w:w="100"/>
            </w:tcMar>
          </w:tcPr>
          <w:p>
            <w:pPr>
              <w:spacing w:after="0"/>
            </w:pPr>
            <w:r>
              <w:rPr>
                <w:b w:val="false"/>
                <w:bCs w:val="false"/>
                <w:color w:val="262626"/>
                <w:sz w:val="18"/>
                <w:szCs w:val="18"/>
              </w:rPr>
              <w:t xml:space="preserve">Grondrechtenjurisprudentie</w:t>
            </w:r>
          </w:p>
        </w:tc>
        <w:tc>
          <w:tcPr>
            <w:tcW w:type="dxa" w:w="4626"/>
            <w:shd w:fill="FFFFFF" w:val="clear"/>
            <w:tcMar>
              <w:top w:type="dxa" w:w="70"/>
              <w:left w:type="dxa" w:w="100"/>
              <w:bottom w:type="dxa" w:w="70"/>
              <w:right w:type="dxa" w:w="100"/>
            </w:tcMar>
          </w:tcPr>
          <w:p>
            <w:pPr>
              <w:spacing w:after="0"/>
            </w:pPr>
            <w:r>
              <w:rPr>
                <w:b w:val="false"/>
                <w:bCs w:val="false"/>
                <w:color w:val="262626"/>
                <w:sz w:val="18"/>
                <w:szCs w:val="18"/>
              </w:rPr>
              <w:t xml:space="preserve">Harde grenzen aan ondoorzichtige risicoprofilering van uitkeringsgerechtigden.</w:t>
            </w:r>
          </w:p>
        </w:tc>
      </w:tr>
      <w:tr>
        <w:tc>
          <w:tcPr>
            <w:tcW w:type="dxa" w:w="2500"/>
            <w:shd w:fill="EEF3F8" w:val="clear"/>
            <w:tcMar>
              <w:top w:type="dxa" w:w="70"/>
              <w:left w:type="dxa" w:w="100"/>
              <w:bottom w:type="dxa" w:w="70"/>
              <w:right w:type="dxa" w:w="100"/>
            </w:tcMar>
          </w:tcPr>
          <w:p>
            <w:pPr>
              <w:spacing w:after="0"/>
            </w:pPr>
            <w:r>
              <w:rPr>
                <w:b w:val="false"/>
                <w:bCs w:val="false"/>
                <w:color w:val="262626"/>
                <w:sz w:val="18"/>
                <w:szCs w:val="18"/>
              </w:rPr>
              <w:t xml:space="preserve">CRA (Cyber Resilience Act), gefaseerd 2026 en 2027 (in ontwikkeling)</w:t>
            </w:r>
          </w:p>
        </w:tc>
        <w:tc>
          <w:tcPr>
            <w:tcW w:type="dxa" w:w="1900"/>
            <w:shd w:fill="EEF3F8" w:val="clear"/>
            <w:tcMar>
              <w:top w:type="dxa" w:w="70"/>
              <w:left w:type="dxa" w:w="100"/>
              <w:bottom w:type="dxa" w:w="70"/>
              <w:right w:type="dxa" w:w="100"/>
            </w:tcMar>
          </w:tcPr>
          <w:p>
            <w:pPr>
              <w:spacing w:after="0"/>
            </w:pPr>
            <w:r>
              <w:rPr>
                <w:b w:val="false"/>
                <w:bCs w:val="false"/>
                <w:color w:val="262626"/>
                <w:sz w:val="18"/>
                <w:szCs w:val="18"/>
              </w:rPr>
              <w:t xml:space="preserve">EU-verordening</w:t>
            </w:r>
          </w:p>
        </w:tc>
        <w:tc>
          <w:tcPr>
            <w:tcW w:type="dxa" w:w="4626"/>
            <w:shd w:fill="EEF3F8" w:val="clear"/>
            <w:tcMar>
              <w:top w:type="dxa" w:w="70"/>
              <w:left w:type="dxa" w:w="100"/>
              <w:bottom w:type="dxa" w:w="70"/>
              <w:right w:type="dxa" w:w="100"/>
            </w:tcMar>
          </w:tcPr>
          <w:p>
            <w:pPr>
              <w:spacing w:after="0"/>
            </w:pPr>
            <w:r>
              <w:rPr>
                <w:b w:val="false"/>
                <w:bCs w:val="false"/>
                <w:color w:val="262626"/>
                <w:sz w:val="18"/>
                <w:szCs w:val="18"/>
              </w:rPr>
              <w:t xml:space="preserve">Relevant voor OpenStudio als gedistribueerde software (regime voor opensourcestewards); beperkt voor UWV als gebruiker.</w:t>
            </w:r>
          </w:p>
        </w:tc>
      </w:tr>
    </w:tbl>
    <w:p>
      <w:pPr>
        <w:pStyle w:val="Heading1"/>
        <w:spacing w:after="140" w:before="300"/>
      </w:pPr>
      <w:r>
        <w:t xml:space="preserve">2. Rol- en risicoanalyse onder de AI-verordening</w:t>
      </w:r>
    </w:p>
    <w:p>
      <w:pPr>
        <w:spacing w:after="120"/>
      </w:pPr>
      <w:r>
        <w:rPr>
          <w:b/>
          <w:bCs/>
        </w:rPr>
        <w:t xml:space="preserve">Platform versus systeem. </w:t>
      </w:r>
      <w:r>
        <w:t xml:space="preserve">OpenStudio is zelf een generiek AI-gereedschap; de AI-verordening grijpt aan op de AI-systemen die ermee worden gebouwd (agents, modellen en risicoselectiestromen). Naleving wordt daarom per agent of model afgedwongen, precies zoals de certificerings-, evaluatie- en uitrolpoorten van het platform zijn ingericht (SPEC 5c en fase 7).</w:t>
      </w:r>
    </w:p>
    <w:p>
      <w:pPr>
        <w:spacing w:after="120"/>
      </w:pPr>
      <w:r>
        <w:rPr>
          <w:b/>
          <w:bCs/>
          <w:i w:val="false"/>
          <w:iCs w:val="false"/>
        </w:rPr>
        <w:t xml:space="preserve">Rollen van UWV onder de AI-verordening:</w:t>
      </w:r>
    </w:p>
    <w:p>
      <w:pPr>
        <w:pStyle w:val="ListParagraph"/>
        <w:numPr>
          <w:ilvl w:val="0"/>
          <w:numId w:val="2"/>
        </w:numPr>
        <w:spacing w:after="90"/>
      </w:pPr>
      <w:r>
        <w:rPr>
          <w:b/>
          <w:bCs/>
        </w:rPr>
        <w:t xml:space="preserve">Gebruiksverantwoordelijke: </w:t>
      </w:r>
      <w:r>
        <w:t xml:space="preserve">altijd van toepassing (art. 26).</w:t>
      </w:r>
    </w:p>
    <w:p>
      <w:pPr>
        <w:pStyle w:val="ListParagraph"/>
        <w:numPr>
          <w:ilvl w:val="0"/>
          <w:numId w:val="2"/>
        </w:numPr>
        <w:spacing w:after="90"/>
      </w:pPr>
      <w:r>
        <w:rPr>
          <w:b/>
          <w:bCs/>
        </w:rPr>
        <w:t xml:space="preserve">Aanbieder (art. 16 en verder): </w:t>
      </w:r>
      <w:r>
        <w:t xml:space="preserve">waarschijnlijk zodra UWV zelf agents of modellen ontwikkelt voor gebruik in een hoogrisicocontext, of modellen substantieel wijzigt of finetunet (art. 25). Ga uit van aanbiedersplichten voor alles wat uitkeringsbesluiten raakt.</w:t>
      </w:r>
    </w:p>
    <w:p>
      <w:pPr>
        <w:pStyle w:val="ListParagraph"/>
        <w:numPr>
          <w:ilvl w:val="0"/>
          <w:numId w:val="2"/>
        </w:numPr>
        <w:spacing w:after="90"/>
      </w:pPr>
      <w:r>
        <w:rPr>
          <w:b/>
          <w:bCs/>
        </w:rPr>
        <w:t xml:space="preserve">GPAI: </w:t>
      </w:r>
      <w:r>
        <w:t xml:space="preserve">upstream-LLM-leveranciers dragen de GPAI-plichten; het platform legt per uitvoer vast welk model, welke versie en welke leverancier is gebruikt (grootboek van de mesh plus traces).</w:t>
      </w:r>
    </w:p>
    <w:p>
      <w:pPr>
        <w:spacing w:after="120"/>
      </w:pPr>
      <w:r>
        <w:rPr>
          <w:b/>
          <w:bCs/>
          <w:i w:val="false"/>
          <w:iCs w:val="false"/>
        </w:rPr>
        <w:t xml:space="preserve">Te verwachten risicoklassen bij UWV:</w:t>
      </w:r>
    </w:p>
    <w:p>
      <w:pPr>
        <w:pStyle w:val="ListParagraph"/>
        <w:numPr>
          <w:ilvl w:val="0"/>
          <w:numId w:val="2"/>
        </w:numPr>
        <w:spacing w:after="90"/>
      </w:pPr>
      <w:r>
        <w:rPr>
          <w:b/>
          <w:bCs/>
        </w:rPr>
        <w:t xml:space="preserve">Verboden (uitsluiten in het ontwerp, art. 5): </w:t>
      </w:r>
      <w:r>
        <w:t xml:space="preserve">sociale scoring, ongerichte scraping, emotieherkenning op de werkplek; de Omnibus voegt een verbod toe op AI-gegenereerd niet-consensueel intiem beeldmateriaal. De SyRI-uitspraak en de affaire rond de Risicoscan Verblijf Buiten Nederland (heimelijk online volgen van WW-gerechtigden; herstel onder toezicht van de AP; 703 besluiten heroverwogen) markeren de grens: geen heimelijke gegevensverzameling, geen profilering zonder specifieke grondslag, geen ondoorzichtigheid. Platformhandhaving: verbindingen vereisen een geregistreerde grondslag en een doel (CP-2); guardrails blokkeren scraping-achtige tools op burgergegevens standaard.</w:t>
      </w:r>
    </w:p>
    <w:p>
      <w:pPr>
        <w:pStyle w:val="ListParagraph"/>
        <w:numPr>
          <w:ilvl w:val="0"/>
          <w:numId w:val="2"/>
        </w:numPr>
        <w:spacing w:after="90"/>
      </w:pPr>
      <w:r>
        <w:rPr>
          <w:b/>
          <w:bCs/>
        </w:rPr>
        <w:t xml:space="preserve">Hoog risico (bijlage III, punt 5(a)): </w:t>
      </w:r>
      <w:r>
        <w:t xml:space="preserve">alles wat aanspraak beoordeelt of uitkeringen toekent, verlaagt, intrekt of terugvordert; het volledige regime van hoofdstuk III geldt vanaf 2 december 2027.</w:t>
      </w:r>
    </w:p>
    <w:p>
      <w:pPr>
        <w:pStyle w:val="ListParagraph"/>
        <w:numPr>
          <w:ilvl w:val="0"/>
          <w:numId w:val="2"/>
        </w:numPr>
        <w:spacing w:after="90"/>
      </w:pPr>
      <w:r>
        <w:rPr>
          <w:b/>
          <w:bCs/>
        </w:rPr>
        <w:t xml:space="preserve">Beperkt risico (art. 50): </w:t>
      </w:r>
      <w:r>
        <w:t xml:space="preserve">chatfuncties (Answers en Hub) vereisen een AI-melding; markering van gegenereerde inhoud, met een overgangstermijn voor bestaande systemen tot 2 december 2026.</w:t>
      </w:r>
    </w:p>
    <w:p>
      <w:pPr>
        <w:pStyle w:val="ListParagraph"/>
        <w:numPr>
          <w:ilvl w:val="0"/>
          <w:numId w:val="2"/>
        </w:numPr>
        <w:spacing w:after="90"/>
      </w:pPr>
      <w:r>
        <w:rPr>
          <w:b/>
          <w:bCs/>
        </w:rPr>
        <w:t xml:space="preserve">Minimaal risico: </w:t>
      </w:r>
      <w:r>
        <w:t xml:space="preserve">interne productiviteitsagents; deze blijven onder BIO2, AVG en Awb vallen.</w:t>
      </w:r>
    </w:p>
    <w:p>
      <w:pPr>
        <w:pStyle w:val="Heading1"/>
        <w:spacing w:after="140" w:before="300"/>
      </w:pPr>
      <w:r>
        <w:t xml:space="preserve">3. Toetsing per kader</w:t>
      </w:r>
    </w:p>
    <w:p>
      <w:pPr>
        <w:spacing w:after="120"/>
      </w:pPr>
      <w:r>
        <w:rPr>
          <w:b w:val="false"/>
          <w:bCs w:val="false"/>
          <w:i/>
          <w:iCs/>
        </w:rPr>
        <w:t xml:space="preserve">Legenda voor de statuskolom: Gedekt = aanwezig in SPEC v4; Deels = gedeeltelijk aanwezig; CP-x = aanvulling vereist uit het Compliance Pack (hoofdstuk 5); Org = organisatorische maatregel bij UWV.</w:t>
      </w:r>
    </w:p>
    <w:p>
      <w:pPr>
        <w:pStyle w:val="Heading2"/>
        <w:spacing w:after="120" w:before="240"/>
      </w:pPr>
      <w:r>
        <w:t xml:space="preserve">3.1 AVG en UAVG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Verplichting</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Rechtmatigheid en doelbinding (art. 5 en 6)</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Register van grondslagen en doelen op verbindingen en datasets; toets op doelverenigbaarheid in recepten en tools.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CP-2</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Dataminimalisatie</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Kolomselectie in recepten; classificatielabels sturen op noodzaak.</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Deels, CP-1</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Bijzondere categorieën (art. 9) en BSN (Wabb)</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Classificatielabels; meshbeleid: gelabelde gegevens uitsluitend naar lokale of EU-modellen; PII-redactie met Presidio in de guardrails (SPEC 3.2).</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Deels, CP-1 en CP-11</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Transparantie (art. 13 en 14); vermelding risicoselectie in de privacyverklaring (per 31 december 2026)</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Algoritmekaarten en registerexport voeden de privacyverklaring.</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Rechten van betrokkenen (art. 15 tot en met 22)</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De lineagegraaf beantwoordt waar gegevens van een persoon staan; inzage-exporttaak.</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Deels, CP-3</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Art. 22 AVG, art. 40 UAVG en de Awb</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Geen volledig geautomatiseerde belastende besluiten: goedkeuringsknopen, override met redenen, bewijs van betekenisvolle menselijke tussenkomst conform de AP-handvatten (2025).</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CP-10</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Gegevensbescherming door ontwerp (art. 25)</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Least privilege in de toolbroker, doorgifte van gebruikersrechten (permission passthrough, SPEC 5c en 5e), sandbox zonder ambient credentials.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Verwerkingsregister (art. 30)</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Automatisch afgeleid uit projecten, verbindingen, datasets en doelen.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CP-4</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Beveiliging (art. 32)</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Zie de BIO2-toetsing in hoofdstuk 3.3.</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Gedekt/Deels</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Datalekken (art. 33 en 34)</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Incident- en datalekregister met 72-uurstimers.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CP-8</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DPIA (art. 35; AP-lijst met onder meer fraudedetectie en risicoselectie)</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DPIA-werkstroomobject gekoppeld aan projecten en agents; poort voor uitrol.</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CP-4</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Verwerkers en doorgifte (art. 28 en 44 en verder)</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Zelf hosten betekent minimale verwerkers; externe LLM-API's vormen het doorgifterisico; soevereiniteitsmodus (EU of lokaal, per classificatie).</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Deels, CP-11</w:t>
            </w:r>
          </w:p>
        </w:tc>
      </w:tr>
    </w:tbl>
    <w:p>
      <w:pPr>
        <w:pStyle w:val="Heading2"/>
        <w:spacing w:after="120" w:before="240"/>
      </w:pPr>
      <w:r>
        <w:t xml:space="preserve">3.2 AI-verordening (zoals gewijzigd door de Digital Omnibus 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Verplichting</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AI-geletterdheid, art. 4 (sinds 2 februari 2025, alle systemen)</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Rolgebaseerde trainingsmodus in het product plus registratie van competenties.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CP-10</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Verboden praktijken, art. 5 (sinds 2 februari 2025; de Omnibus voegt het verbod op intiem beeldmateriaal toe)</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Uitsluitingen in het ontwerp, guardrailbeleid, toets op verboden patronen bij de agentreview.</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Gedekt/Deels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Risicobeheer, art. 9</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Levenscycluspoorten voor agents, veld voor risicoclassificatie, gekoppelde FRIA en DPIA.</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CP-4</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Data en databeheer, art. 10</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Lineage, datasetmetrieken en controles, kwaliteitspoorten, herkomst in traces.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Technische documentatie, art. 11 en bijlage IV</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Automatisch gegenereerde model- en agentkaarten op basis van metadata, evaluaties en lineage.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Logging, art. 12 en 19</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OTel-tracestore; append-only met hashketen.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CP-7</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Transparantie en gebruiksinstructies, art. 13</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Agentkaarten met mogelijkheden en beperkingen; instructies in de interface.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Menselijk toezicht, art. 14</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Goedkeuringsknopen, vierogenconfiguratie, vastlegging van overrides, blind beoordelen.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CP-9 en CP-10</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Nauwkeurigheid, robuustheid en cyberbeveiliging, art. 15</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Evaluatieraamwerk (gouden sets, beoordelaars), driftbewaking, injectietestsets (SPEC 5d), BIO2-maatregelen.</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Plichten van de gebruiksverantwoordelijke, art. 26 (onder meer logbewaring van ten minste zes maanden, controle op invoerdata, monitoring, informeren van betrokkenen en medewerkers)</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Bewaarbeleid op traces en grootboek (standaard minimaal zes maanden, langer configureerbaar conform de Archiefwet), monitoringdashboards, kennisgevingssjablonen.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CP-7</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FRIA, art. 27 (publiekrechtelijke organen, voor het eerste gebruik)</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FRIA-werkstroomobject (IAMA-compatibel sjabloon) als uitrolpoort; kennisgevingsartefact voor de markttoezichtautoriteit.</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CP-4</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Registratie, art. 49, lid 3, en art. 71 (EU-databank voor overheidsgebruikers)</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Registerexport: velden van de EU-databank plus de metadatastandaard van het Nederlandse Algoritmeregister.</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Recht op uitleg, art. 86</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Motiveringsbundel: semantisch plan, trace-uittreksel en versie van de modelkaart per besluit.</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 plus CP-5</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Transparantie bij beperkt risico, art. 50 (chatmelding; markering van inhoud, overgang voor bestaande systemen tot 2 december 2026)</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AI-meldingsbanners in Answers en Hub; markeringshaken op gegenereerde artefacten.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CP-6</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Tijdlijn (Omnibus): bijlage III per 2 december 2027; bijlage I (ingebed) per 2 augustus 2028</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Alle Compliance Pack-onderdelen ruim voor 2 december 2027 ingepland.</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Planning</w:t>
            </w:r>
          </w:p>
        </w:tc>
      </w:tr>
    </w:tbl>
    <w:p>
      <w:pPr>
        <w:pStyle w:val="Heading2"/>
        <w:spacing w:after="120" w:before="240"/>
      </w:pPr>
      <w:r>
        <w:t xml:space="preserve">3.3 BIO2 v1.3 en de Cyberbeveiligingswet</w:t>
      </w:r>
    </w:p>
    <w:p>
      <w:pPr>
        <w:spacing w:after="120"/>
      </w:pPr>
      <w:r>
        <w:rPr>
          <w:b w:val="false"/>
          <w:bCs w:val="false"/>
          <w:i w:val="false"/>
          <w:iCs w:val="false"/>
        </w:rPr>
        <w:t xml:space="preserve">De BIO2 is de overheidsuitwerking van ISO 27001:2023 (het managementsysteem) en ISO 27002:2022 (de beheersmaatregelen). Onder de Cbw, die op 15 augustus 2026 in werking treedt, wordt de BIO2 via de Cyberbeveiligingsregeling sector Overheid de wettelijke invulling van de zorgplicht. De koppeling hieronder richt zich op de maatregelgebieden die een toetsing als eerste raakt.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Gebied BIO2 / ISO 27002:2022</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5.9 tot 5.14: middelenbeheer en classificatie van informatie</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Classificatielabels op datasets en kolommen (BBN, persoonsgegevens, BSN), zichtbaar in de interface, exports en tools.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5.15 tot 5.18 en 8.2 tot 8.5: toegangsbeheer en bevoorrechte toegang</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OIDC (Keycloak), project-RBAC, scopes per tool, doorgifte van gebruikersrechten, periodieke hercertificering van toegangsrechten.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CP-2</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5.19 tot 5.23: leveranciersrelaties, inclusief open source</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Licentiebeleid (SPEC 3.1), SBOM per release, ondertekende images, scans op afhankelijkheden en kwetsbaarheden, VDP en security.txt.</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CP-12</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5.24 tot 5.28: incidentbeheer (plus Cbw-meldplicht: vroegtijdige waarschuwing binnen 24 uur, melding binnen 72 uur, eindrapport binnen 1 maand)</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Incident- en datalekregister met timers en export naar het centrale meldloket; webhooks voor beveiligingsgebeurtenissen.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CP-8</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5.29, 5.30, 8.13 en 8.14: continuïteit en back-up</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Geversioneerde datasets, draaiboeken voor back-up en herstel, hersteltests in de beheerdocumentatie.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Deels</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8.8 en 8.9: kwetsbaarheden- en configuratiebeheer</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Vastgezette afhankelijkheden, CI-scans, geharde referentieconfiguraties, NCSC-TLS-presets.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CP-12 en CP-14</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8.12: preventie van gegevenslekken</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Guardrailpijplijn (Presidio-PII, denylists) op elke meshaanroep; egress-allowlists op tools.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8.15 tot 8.17: logging, monitoring en kloksynchronisatie</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Append-only audit, grootboek en traces; SIEM-export; NTP in de infrastructuurbasis.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CP-7</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8.24: cryptografie</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Overal TLS, geheimen versleuteld in rust (Fernet, met KMS als optie), gehashte tokens.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Gedekt/Deels</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8.25 tot 8.31: veilige ontwikkeling</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Conventies uit SPEC hoofdstuk 8, ADR's, codereview, e2e- en injectietests.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ISMS (ISO 27001): scope, risicobeoordeling, verklaring van toepasselijkheid, directiebeoordeling</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Organisatorisch; het platform levert het bewijs (controledashboards en auditexports).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Org</w:t>
            </w:r>
          </w:p>
        </w:tc>
      </w:tr>
    </w:tbl>
    <w:p>
      <w:pPr>
        <w:pStyle w:val="Heading2"/>
        <w:spacing w:after="120" w:before="240"/>
      </w:pPr>
      <w:r>
        <w:t xml:space="preserve">3.4 NORA, open standaarden (pas toe of leg uit) en de Wdo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Vereiste</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HTTPS en HSTS, TLS volgens NCSC-richtlijnen, DNSSEC</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Infrastructuurpresets in compose en Helm plus een uitrolchecklist.</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CP-14</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OpenAPI en de REST API Design Rules</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OpenAPI is al de bron van waarheid (SPEC 3.2); linting op de API Design Rules in CI voor publieke API's.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CP-14</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NLGov-profielen voor OAuth en OpenID Connect</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Keycloak-realmpreset conform de NL-profielen; DigiD en eHerkenning bereikbaar via OIDC-brokering, indien ooit burger- of bedrijfslogin nodig is.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CP-14</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Digikoppeling en ketenkoppelingen</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Buiten de kern; de connectorlaag kan dit per integratie invullen.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Notitie</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NORA-principes: hergebruik, standaard waar mogelijk, transparant, veilig en verantwoord</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Hergebruik van open source, open standaarden, audittrail, algoritmekaarten en gepubliceerde documentatie.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Gedekt/Deels</w:t>
            </w:r>
          </w:p>
        </w:tc>
      </w:tr>
    </w:tbl>
    <w:p>
      <w:pPr>
        <w:pStyle w:val="Heading2"/>
        <w:spacing w:after="120" w:before="240"/>
      </w:pPr>
      <w:r>
        <w:t xml:space="preserve">3.5 Wet SUWI, Suwinet en de Wabb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Vereiste</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Doelbinding van SUWI-gegevens; uitsluitend taakgebonden raadpleging</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Doelcodes op verbindingen en datasets, afgedwongen op het moment van bevraging; agents en tools dragen toegestane doelen.</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CP-2</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Suwinet-verantwoording: logging van raadplegingen, autorisatiematrices, gebruiksrapportages</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Vastlegging van de raadpleegreden bij persoonsgerichte bevragingen; rapportages per gebruiker; exports voor hercertificering.</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CP-2</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BSN-verwerking (Wabb)</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BSN-klasse; pseudonimiseringsdienst (BSN naar surrogaat) voor analyse en ML; ruwe BSN gaat nooit naar LLM's (meshbeleid).</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CP-1 en CP-11</w:t>
            </w:r>
          </w:p>
        </w:tc>
      </w:tr>
    </w:tbl>
    <w:p>
      <w:pPr>
        <w:pStyle w:val="Heading2"/>
        <w:spacing w:after="120" w:before="240"/>
      </w:pPr>
      <w:r>
        <w:t xml:space="preserve">3.6 Awb: besluiten met algoritmische ondersteuning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Vereiste</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Motivering (art. 3:46 en 3:47) en reconstrueerbaarheid</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Besluitbundel per uitvoer: het semantische plan (het model schrijft nooit SQL, SPEC 5e), een trace-uittreksel, de versie van de model- of agentkaart en een lineagesnapshot.</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 plus CP-5</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Zorgvuldigheid en evenredigheid; betekenisvolle menselijke tussenkomst (AP-handvatten 2025)</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Goedkeuringsknopen met volledige context, override met redenen, registratie van competenties, werklastanalyse die stempelgedrag signaleert.</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CP-10</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Non-discriminatie bij risicoselectie (toetsingskader van het College voor de Rechten van de Mens; concept-Kaderwet Toetsing Algoritmen in ontwikkeling)</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Fairnessbeoordelaars (groepsmetrieken, toetsen met referentiegroepen) en blind beoordelen: een configureerbaar percentage willekeurig toegevoegde zaken in de behandelwachtrij, de werkwijze die de Algemene Rekenkamer bij de Risicoscan Verwijtbare Werkloosheid van UWV positief waardeerde.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CP-9</w:t>
            </w:r>
          </w:p>
        </w:tc>
      </w:tr>
    </w:tbl>
    <w:p>
      <w:pPr>
        <w:pStyle w:val="Heading2"/>
        <w:spacing w:after="120" w:before="240"/>
      </w:pPr>
      <w:r>
        <w:t xml:space="preserve">3.7 Woo en Algoritmeregister, Archiefwet en digitale toegankelijkheid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Vereiste</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Registratie van impactvolle algoritmes (Rijk: uiterlijk eind 2026) volgens de metadatastandaard</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Export met een klik van agent- en modelkaarten naar het schema van het Algoritmeregister; publicatieveilige redactie van misbruikgevoelige velden.</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Woo: actieve openbaarmaking en verzoeken</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Algoritmekaarten, samenvattingen van DPIA en FRIA en evaluatierapporten worden Woo-gereed bijgehouden.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Deels, CP-4 en CP-5</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Archiefwet: bewaren en vernietigen volgens de selectielijst; duurzame toegankelijkheid</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Bewaartermijnklassen per dataset-, trace- en auditstroom; geautomatiseerde vernietiging met een ondertekend verslag; open exportformaten.</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CP-3</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WCAG 2.1 AA / EN 301 549 en de toegankelijkheidsverklaring</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SPEC 6.4 verplicht al niveau AA en volledige toetsenbordbediening; aanvullend geautomatiseerde toegankelijkheidstests in CI en een generator voor de verklaring.</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CP-13</w:t>
            </w:r>
          </w:p>
        </w:tc>
      </w:tr>
    </w:tbl>
    <w:p>
      <w:pPr>
        <w:pStyle w:val="Heading2"/>
        <w:spacing w:after="120" w:before="240"/>
      </w:pPr>
      <w:r>
        <w:t xml:space="preserve">3.10 Cloud, soevereiniteit en de CRA</w:t>
      </w:r>
    </w:p>
    <w:p>
      <w:pPr>
        <w:spacing w:after="120"/>
      </w:pPr>
      <w:r>
        <w:rPr>
          <w:b w:val="false"/>
          <w:bCs w:val="false"/>
          <w:i w:val="false"/>
          <w:iCs w:val="false"/>
        </w:rPr>
        <w:t xml:space="preserve">Zelf hosten op permissief gelicentieerde open source is op zichzelf al een nalevingsmaatregel: het past bij de risicohouding van het rijksbrede cloudbeleid, het haalt derdelandenverwerkers uit de kern, en de soevereiniteitsmodus van de mesh (CP-11: leverancierslijsten gekoppeld aan dataclassificatie; lokale vLLM of Ollama voor alles met het label persoonsgegeven, bijzondere categorie of BSN) beheerst de enige werkelijk doorgiftegevoelige stroom: externe LLM-API's. CRA (in ontwikkeling): als opensourceproject valt OpenStudio onder het lichte regime voor opensourcestewards; wie het platform commercieel distribueert, krijgt fabrikantplichten (CE-markering, kwetsbaarheidsafhandeling, rapportage). Leg deze rolbepaling vast in een ADR.</w:t>
      </w:r>
    </w:p>
    <w:p>
      <w:pPr>
        <w:pStyle w:val="Heading2"/>
        <w:spacing w:after="120" w:before="240"/>
      </w:pPr>
      <w:r>
        <w:t xml:space="preserve">3.11 ISO/IEC 42001: managementsysteem voor AI (AIMS)</w:t>
      </w:r>
    </w:p>
    <w:p>
      <w:pPr>
        <w:spacing w:after="120"/>
      </w:pPr>
      <w:r>
        <w:rPr>
          <w:b/>
          <w:bCs/>
        </w:rPr>
        <w:t xml:space="preserve">Stand van zaken in het EU-landschap (geverifieerd in juli 2026). </w:t>
      </w:r>
      <w:r>
        <w:t xml:space="preserve">ISO/IEC 42001:2023 is de certificeerbare managementsysteemnorm voor AI (hoofdstukken 4 tot en met 10 volgens plan-do-check-act, plus bijlage A met 38 beheersmaatregelen in negen doelgebieden). De norm wordt als Europese norm overgenomen (prEN ISO/IEC 42001; de enquête sloot in februari 2026), maar is niet de geharmoniseerde norm onder de AI-verordening: de Europese Commissie achtte de doelen en definities onvoldoende aangesloten op het kwaliteitsmanagementsysteem dat de verordening vereist en heeft daarom een eigen norm gevraagd, prEN 18286 (kwaliteitsmanagementsysteem voor de doeleinden van de AI-verordening; publicatie uiterlijk in het vierde kwartaal van 2026 verwacht). Die norm bouwt voort op 42001 en bevat bijlagen die de structuur koppelen aan ISO/IEC 42001 en ISO 9001. De eerste geharmoniseerde normen van JTC 21 worden in 2026 verwacht; pas na beoordeling door de Commissie en vermelding in het Publicatieblad ontstaat het vermoeden van conformiteit (art. 40). De praktische conclusie voor UWV: voer 42001 nu in als governanceparaplu (certificeerbaar via geaccrediteerde schema's op basis van ISO/IEC 42006:2025, met ISO/IEC 23894 voor AI-risicomanagement en ISO/IEC 42005:2025 voor impactbeoordeling) en behandel prEN 18286 plus de geharmoniseerde set als de conformiteitslaag die wordt geadopteerd zodra deze is vermeld.</w:t>
      </w:r>
    </w:p>
    <w:p>
      <w:pPr>
        <w:spacing w:after="120"/>
      </w:pPr>
      <w:r>
        <w:rPr>
          <w:b/>
          <w:bCs/>
        </w:rPr>
        <w:t xml:space="preserve">Waarom dit bij UWV past. </w:t>
      </w:r>
      <w:r>
        <w:t xml:space="preserve">De BIO2 veronderstelt al een managementsysteem naar ISO 27001; 42001 is ontworpen voor integratie met 27001 tot een gezamenlijk managementsysteem: een governanceritme (risicobeoordeling, verklaring van toepasselijkheid, interne audit, directiebeoordeling) voor informatiebeveiliging en AI samen. Het is bovendien het natuurlijke auditanker voor de Nederlandse route van het auditeerbare Algoritmekader.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6"/>
      </w:tblGrid>
      <w:tr>
        <w:trPr>
          <w:tblHeader/>
        </w:trPr>
        <w:tc>
          <w:tcPr>
            <w:tcW w:type="dxa" w:w="3300"/>
            <w:shd w:fill="1F4E79" w:val="clear"/>
            <w:tcMar>
              <w:top w:type="dxa" w:w="70"/>
              <w:left w:type="dxa" w:w="100"/>
              <w:bottom w:type="dxa" w:w="70"/>
              <w:right w:type="dxa" w:w="100"/>
            </w:tcMar>
          </w:tcPr>
          <w:p>
            <w:pPr>
              <w:spacing w:after="0"/>
            </w:pPr>
            <w:r>
              <w:rPr>
                <w:b/>
                <w:bCs/>
                <w:color w:val="FFFFFF"/>
                <w:sz w:val="19"/>
                <w:szCs w:val="19"/>
              </w:rPr>
              <w:t xml:space="preserve">Doelgebied bijlage A (ISO/IEC 42001)</w:t>
            </w:r>
          </w:p>
        </w:tc>
        <w:tc>
          <w:tcPr>
            <w:tcW w:type="dxa" w:w="4100"/>
            <w:shd w:fill="1F4E79" w:val="clear"/>
            <w:tcMar>
              <w:top w:type="dxa" w:w="70"/>
              <w:left w:type="dxa" w:w="100"/>
              <w:bottom w:type="dxa" w:w="70"/>
              <w:right w:type="dxa" w:w="100"/>
            </w:tcMar>
          </w:tcPr>
          <w:p>
            <w:pPr>
              <w:spacing w:after="0"/>
            </w:pPr>
            <w:r>
              <w:rPr>
                <w:b/>
                <w:bCs/>
                <w:color w:val="FFFFFF"/>
                <w:sz w:val="19"/>
                <w:szCs w:val="19"/>
              </w:rPr>
              <w:t xml:space="preserve">Invulling door het platform</w:t>
            </w:r>
          </w:p>
        </w:tc>
        <w:tc>
          <w:tcPr>
            <w:tcW w:type="dxa" w:w="1626"/>
            <w:shd w:fill="1F4E79" w:val="clear"/>
            <w:tcMar>
              <w:top w:type="dxa" w:w="70"/>
              <w:left w:type="dxa" w:w="100"/>
              <w:bottom w:type="dxa" w:w="70"/>
              <w:right w:type="dxa" w:w="100"/>
            </w:tcMar>
          </w:tcPr>
          <w:p>
            <w:pPr>
              <w:spacing w:after="0"/>
            </w:pPr>
            <w:r>
              <w:rPr>
                <w:b/>
                <w:bCs/>
                <w:color w:val="FFFFFF"/>
                <w:sz w:val="19"/>
                <w:szCs w:val="19"/>
              </w:rPr>
              <w:t xml:space="preserve">Status</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A.2: AI-beleid</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Guardrail- en meshbeleid als afdwingbare objecten; beleidsdocumenten via ADR's.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Gedekt/Org</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A.3: interne organisatie (rollen, melden van zorgen)</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Besturingsmodel (hoofdstuk 6), goedkeuringswachtrij, append-only audit.</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Org, plus Gedekt</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A.4: middelen (data, tooling, rekenkracht, competenties)</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Modelregister in de mesh, codeomgevingen, datasetcatalogus, registratie van competenties.</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 plus CP-10</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A.5: impactbeoordeling van AI-systemen</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DPIA-, FRIA- en IAMA-werkstromen met sjablonen conform ISO/IEC 42005, als uitrolpoort.</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CP-4</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A.6: levenscyclus van AI-systemen</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Agentlevenscyclus (concept, review, goedgekeurd, uitgerold), versiebeheer, evaluaties met gouden sets, traces, driftbewaking, incidentregister.</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 plus CP-8</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A.7: data voor AI-systemen (herkomst, kwaliteit, voorbereiding)</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Lineagegraaf, datasetmetrieken en controles, classificatie- en doellabels.</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CP-1 en CP-2</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A.8: informatie voor belanghebbenden</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Algoritmekaarten en registerexport, meldingen conform art. 50, datalekcommunicatie.</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CP-5, CP-6 en CP-8</w:t>
            </w:r>
          </w:p>
        </w:tc>
      </w:tr>
      <w:tr>
        <w:tc>
          <w:tcPr>
            <w:tcW w:type="dxa" w:w="3300"/>
            <w:shd w:fill="EEF3F8" w:val="clear"/>
            <w:tcMar>
              <w:top w:type="dxa" w:w="70"/>
              <w:left w:type="dxa" w:w="100"/>
              <w:bottom w:type="dxa" w:w="70"/>
              <w:right w:type="dxa" w:w="100"/>
            </w:tcMar>
          </w:tcPr>
          <w:p>
            <w:pPr>
              <w:spacing w:after="0"/>
            </w:pPr>
            <w:r>
              <w:rPr>
                <w:b w:val="false"/>
                <w:bCs w:val="false"/>
                <w:color w:val="262626"/>
                <w:sz w:val="18"/>
                <w:szCs w:val="18"/>
              </w:rPr>
              <w:t xml:space="preserve">A.9: verantwoord gebruik (beoogd gebruik, menselijk toezicht)</w:t>
            </w:r>
          </w:p>
        </w:tc>
        <w:tc>
          <w:tcPr>
            <w:tcW w:type="dxa" w:w="4100"/>
            <w:shd w:fill="EEF3F8" w:val="clear"/>
            <w:tcMar>
              <w:top w:type="dxa" w:w="70"/>
              <w:left w:type="dxa" w:w="100"/>
              <w:bottom w:type="dxa" w:w="70"/>
              <w:right w:type="dxa" w:w="100"/>
            </w:tcMar>
          </w:tcPr>
          <w:p>
            <w:pPr>
              <w:spacing w:after="0"/>
            </w:pPr>
            <w:r>
              <w:rPr>
                <w:b w:val="false"/>
                <w:bCs w:val="false"/>
                <w:color w:val="262626"/>
                <w:sz w:val="18"/>
                <w:szCs w:val="18"/>
              </w:rPr>
              <w:t xml:space="preserve">Goedkeuringsknopen, vier ogen, override met redenen, toets op verboden patronen.</w:t>
            </w:r>
          </w:p>
        </w:tc>
        <w:tc>
          <w:tcPr>
            <w:tcW w:type="dxa" w:w="1626"/>
            <w:shd w:fill="EEF3F8" w:val="clear"/>
            <w:tcMar>
              <w:top w:type="dxa" w:w="70"/>
              <w:left w:type="dxa" w:w="100"/>
              <w:bottom w:type="dxa" w:w="70"/>
              <w:right w:type="dxa" w:w="100"/>
            </w:tcMar>
          </w:tcPr>
          <w:p>
            <w:pPr>
              <w:spacing w:after="0"/>
            </w:pPr>
            <w:r>
              <w:rPr>
                <w:b w:val="false"/>
                <w:bCs w:val="false"/>
                <w:color w:val="262626"/>
                <w:sz w:val="18"/>
                <w:szCs w:val="18"/>
              </w:rPr>
              <w:t xml:space="preserve">Gedekt, plus CP-10</w:t>
            </w:r>
          </w:p>
        </w:tc>
      </w:tr>
      <w:tr>
        <w:tc>
          <w:tcPr>
            <w:tcW w:type="dxa" w:w="3300"/>
            <w:shd w:fill="FFFFFF" w:val="clear"/>
            <w:tcMar>
              <w:top w:type="dxa" w:w="70"/>
              <w:left w:type="dxa" w:w="100"/>
              <w:bottom w:type="dxa" w:w="70"/>
              <w:right w:type="dxa" w:w="100"/>
            </w:tcMar>
          </w:tcPr>
          <w:p>
            <w:pPr>
              <w:spacing w:after="0"/>
            </w:pPr>
            <w:r>
              <w:rPr>
                <w:b w:val="false"/>
                <w:bCs w:val="false"/>
                <w:color w:val="262626"/>
                <w:sz w:val="18"/>
                <w:szCs w:val="18"/>
              </w:rPr>
              <w:t xml:space="preserve">A.10: relaties met derden en afnemers</w:t>
            </w:r>
          </w:p>
        </w:tc>
        <w:tc>
          <w:tcPr>
            <w:tcW w:type="dxa" w:w="4100"/>
            <w:shd w:fill="FFFFFF" w:val="clear"/>
            <w:tcMar>
              <w:top w:type="dxa" w:w="70"/>
              <w:left w:type="dxa" w:w="100"/>
              <w:bottom w:type="dxa" w:w="70"/>
              <w:right w:type="dxa" w:w="100"/>
            </w:tcMar>
          </w:tcPr>
          <w:p>
            <w:pPr>
              <w:spacing w:after="0"/>
            </w:pPr>
            <w:r>
              <w:rPr>
                <w:b w:val="false"/>
                <w:bCs w:val="false"/>
                <w:color w:val="262626"/>
                <w:sz w:val="18"/>
                <w:szCs w:val="18"/>
              </w:rPr>
              <w:t xml:space="preserve">Vastlegging van leverancier en modelversie in de mesh (GPAI-upstream), SBOM en leveranciersmaatregelen.</w:t>
            </w:r>
          </w:p>
        </w:tc>
        <w:tc>
          <w:tcPr>
            <w:tcW w:type="dxa" w:w="1626"/>
            <w:shd w:fill="FFFFFF" w:val="clear"/>
            <w:tcMar>
              <w:top w:type="dxa" w:w="70"/>
              <w:left w:type="dxa" w:w="100"/>
              <w:bottom w:type="dxa" w:w="70"/>
              <w:right w:type="dxa" w:w="100"/>
            </w:tcMar>
          </w:tcPr>
          <w:p>
            <w:pPr>
              <w:spacing w:after="0"/>
            </w:pPr>
            <w:r>
              <w:rPr>
                <w:b w:val="false"/>
                <w:bCs w:val="false"/>
                <w:color w:val="262626"/>
                <w:sz w:val="18"/>
                <w:szCs w:val="18"/>
              </w:rPr>
              <w:t xml:space="preserve">Gedekt, plus CP-12</w:t>
            </w:r>
          </w:p>
        </w:tc>
      </w:tr>
    </w:tbl>
    <w:p>
      <w:pPr>
        <w:pStyle w:val="Heading1"/>
        <w:spacing w:after="140" w:before="300"/>
      </w:pPr>
      <w:r>
        <w:t xml:space="preserve">4. Geconsolideerde nalevingsmatrix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900"/>
        <w:gridCol w:w="2426"/>
      </w:tblGrid>
      <w:tr>
        <w:trPr>
          <w:tblHeader/>
        </w:trPr>
        <w:tc>
          <w:tcPr>
            <w:tcW w:type="dxa" w:w="2200"/>
            <w:shd w:fill="1F4E79" w:val="clear"/>
            <w:tcMar>
              <w:top w:type="dxa" w:w="70"/>
              <w:left w:type="dxa" w:w="100"/>
              <w:bottom w:type="dxa" w:w="70"/>
              <w:right w:type="dxa" w:w="100"/>
            </w:tcMar>
          </w:tcPr>
          <w:p>
            <w:pPr>
              <w:spacing w:after="0"/>
            </w:pPr>
            <w:r>
              <w:rPr>
                <w:b/>
                <w:bCs/>
                <w:color w:val="FFFFFF"/>
                <w:sz w:val="19"/>
                <w:szCs w:val="19"/>
              </w:rPr>
              <w:t xml:space="preserve">Kader</w:t>
            </w:r>
          </w:p>
        </w:tc>
        <w:tc>
          <w:tcPr>
            <w:tcW w:type="dxa" w:w="1500"/>
            <w:shd w:fill="1F4E79" w:val="clear"/>
            <w:tcMar>
              <w:top w:type="dxa" w:w="70"/>
              <w:left w:type="dxa" w:w="100"/>
              <w:bottom w:type="dxa" w:w="70"/>
              <w:right w:type="dxa" w:w="100"/>
            </w:tcMar>
          </w:tcPr>
          <w:p>
            <w:pPr>
              <w:spacing w:after="0"/>
            </w:pPr>
            <w:r>
              <w:rPr>
                <w:b/>
                <w:bCs/>
                <w:color w:val="FFFFFF"/>
                <w:sz w:val="19"/>
                <w:szCs w:val="19"/>
              </w:rPr>
              <w:t xml:space="preserve">Ingangsmoment</w:t>
            </w:r>
          </w:p>
        </w:tc>
        <w:tc>
          <w:tcPr>
            <w:tcW w:type="dxa" w:w="2900"/>
            <w:shd w:fill="1F4E79" w:val="clear"/>
            <w:tcMar>
              <w:top w:type="dxa" w:w="70"/>
              <w:left w:type="dxa" w:w="100"/>
              <w:bottom w:type="dxa" w:w="70"/>
              <w:right w:type="dxa" w:w="100"/>
            </w:tcMar>
          </w:tcPr>
          <w:p>
            <w:pPr>
              <w:spacing w:after="0"/>
            </w:pPr>
            <w:r>
              <w:rPr>
                <w:b/>
                <w:bCs/>
                <w:color w:val="FFFFFF"/>
                <w:sz w:val="19"/>
                <w:szCs w:val="19"/>
              </w:rPr>
              <w:t xml:space="preserve">Zwaarste verplichtingen</w:t>
            </w:r>
          </w:p>
        </w:tc>
        <w:tc>
          <w:tcPr>
            <w:tcW w:type="dxa" w:w="2426"/>
            <w:shd w:fill="1F4E79" w:val="clear"/>
            <w:tcMar>
              <w:top w:type="dxa" w:w="70"/>
              <w:left w:type="dxa" w:w="100"/>
              <w:bottom w:type="dxa" w:w="70"/>
              <w:right w:type="dxa" w:w="100"/>
            </w:tcMar>
          </w:tcPr>
          <w:p>
            <w:pPr>
              <w:spacing w:after="0"/>
            </w:pPr>
            <w:r>
              <w:rPr>
                <w:b/>
                <w:bCs/>
                <w:color w:val="FFFFFF"/>
                <w:sz w:val="19"/>
                <w:szCs w:val="19"/>
              </w:rPr>
              <w:t xml:space="preserve">Gereedheid van het platform</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AVG en UAVG</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DPIA, art. 22 en 40, verwerkingsregister, doorgifte</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Sterk: passthrough, guardrails en lineage, plus CP-1 tot en met CP-4 en CP-11</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AI-verordening: verboden en geletterdheid</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2 februari 2025</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Uitsluiting art. 5, AI-geletterdheid</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Sterk, plus CP-10</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AI-verordening: art. 50</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Overgang markering tot 2 december 2026</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Chatmelding, markering van inhoud</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CP-6</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AI-verordening: bijlage III, hoog risico</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2 december 2027</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Art. 9 tot en met 15, 26, 27 (FRIA), 49 (registratie), 86 (uitleg)</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Kernbewijsvoering aanwezig (traces, evaluaties, poorten); CP-4, CP-5 en CP-7 dichten de resterende gaten</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BIO2 v1.3</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Nu (verplichtende zelfregulering)</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ISMS plus 27002-maatregelen</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Goede technische dekking; CP-1, 7, 8, 12 en 14 plus ISMS (organisatorisch)</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Cbw en NIS2</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15 augustus 2026</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Zorgplicht (BIO2), meldplicht binnen 24 en 72 uur, bestuurdersaansprakelijkheid</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CP-8 plus organisatorische processen</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ISO/IEC 42001 (plus 23894, 42005 en 42006)</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Vrijwillig; nu certificeerbaar</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AIMS-hoofdstukken 4 tot en met 10, bijlage A, risico- en impactbeoordeling</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Het platform is de bewijslaag; CP-15 bundelt; integreer met het ISMS van BIO2 en 27001</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Wet SUWI, Suwinet en Wabb</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Doelbinding, logging van raadplegingen, BSN-discipline</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CP-1 en CP-2</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Awb</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Motivering, betekenisvolle menselijke tussenkomst</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Native (plannen, traces, goedkeuringen), plus CP-9 en CP-10</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Woo en Algoritmeregister</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Rijksdeadlines eind 2026</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Registratie van impactvolle algoritmes; privacyverklaring</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CP-5</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Archiefwet</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Bewaren, vernietigen, verslaglegging</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CP-3</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Toegankelijkheid</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WCAG 2.1 AA / EN 301 549</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SPEC 6.4 plus CP-13</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NORA, Forum Standaardisatie en Wdo</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Van kracht</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API Design Rules, NLGov OIDC en OAuth, TLS</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CP-14</w:t>
            </w:r>
          </w:p>
        </w:tc>
      </w:tr>
      <w:tr>
        <w:tc>
          <w:tcPr>
            <w:tcW w:type="dxa" w:w="2200"/>
            <w:shd w:fill="EEF3F8" w:val="clear"/>
            <w:tcMar>
              <w:top w:type="dxa" w:w="70"/>
              <w:left w:type="dxa" w:w="100"/>
              <w:bottom w:type="dxa" w:w="70"/>
              <w:right w:type="dxa" w:w="100"/>
            </w:tcMar>
          </w:tcPr>
          <w:p>
            <w:pPr>
              <w:spacing w:after="0"/>
            </w:pPr>
            <w:r>
              <w:rPr>
                <w:b w:val="false"/>
                <w:bCs w:val="false"/>
                <w:color w:val="262626"/>
                <w:sz w:val="18"/>
                <w:szCs w:val="18"/>
              </w:rPr>
              <w:t xml:space="preserve">Cloud en soevereiniteit</w:t>
            </w:r>
          </w:p>
        </w:tc>
        <w:tc>
          <w:tcPr>
            <w:tcW w:type="dxa" w:w="1500"/>
            <w:shd w:fill="EEF3F8" w:val="clear"/>
            <w:tcMar>
              <w:top w:type="dxa" w:w="70"/>
              <w:left w:type="dxa" w:w="100"/>
              <w:bottom w:type="dxa" w:w="70"/>
              <w:right w:type="dxa" w:w="100"/>
            </w:tcMar>
          </w:tcPr>
          <w:p>
            <w:pPr>
              <w:spacing w:after="0"/>
            </w:pPr>
            <w:r>
              <w:rPr>
                <w:b w:val="false"/>
                <w:bCs w:val="false"/>
                <w:color w:val="262626"/>
                <w:sz w:val="18"/>
                <w:szCs w:val="18"/>
              </w:rPr>
              <w:t xml:space="preserve">Beleid</w:t>
            </w:r>
          </w:p>
        </w:tc>
        <w:tc>
          <w:tcPr>
            <w:tcW w:type="dxa" w:w="2900"/>
            <w:shd w:fill="EEF3F8" w:val="clear"/>
            <w:tcMar>
              <w:top w:type="dxa" w:w="70"/>
              <w:left w:type="dxa" w:w="100"/>
              <w:bottom w:type="dxa" w:w="70"/>
              <w:right w:type="dxa" w:w="100"/>
            </w:tcMar>
          </w:tcPr>
          <w:p>
            <w:pPr>
              <w:spacing w:after="0"/>
            </w:pPr>
            <w:r>
              <w:rPr>
                <w:b w:val="false"/>
                <w:bCs w:val="false"/>
                <w:color w:val="262626"/>
                <w:sz w:val="18"/>
                <w:szCs w:val="18"/>
              </w:rPr>
              <w:t xml:space="preserve">Gegevens binnen de EU, risicoafweging, exitplan</w:t>
            </w:r>
          </w:p>
        </w:tc>
        <w:tc>
          <w:tcPr>
            <w:tcW w:type="dxa" w:w="2426"/>
            <w:shd w:fill="EEF3F8" w:val="clear"/>
            <w:tcMar>
              <w:top w:type="dxa" w:w="70"/>
              <w:left w:type="dxa" w:w="100"/>
              <w:bottom w:type="dxa" w:w="70"/>
              <w:right w:type="dxa" w:w="100"/>
            </w:tcMar>
          </w:tcPr>
          <w:p>
            <w:pPr>
              <w:spacing w:after="0"/>
            </w:pPr>
            <w:r>
              <w:rPr>
                <w:b w:val="false"/>
                <w:bCs w:val="false"/>
                <w:color w:val="262626"/>
                <w:sz w:val="18"/>
                <w:szCs w:val="18"/>
              </w:rPr>
              <w:t xml:space="preserve">Zelf hosten, lokale LLM-routering en soevereiniteitsmodus; UWV documenteert de afweging</w:t>
            </w:r>
          </w:p>
        </w:tc>
      </w:tr>
      <w:tr>
        <w:tc>
          <w:tcPr>
            <w:tcW w:type="dxa" w:w="2200"/>
            <w:shd w:fill="FFFFFF" w:val="clear"/>
            <w:tcMar>
              <w:top w:type="dxa" w:w="70"/>
              <w:left w:type="dxa" w:w="100"/>
              <w:bottom w:type="dxa" w:w="70"/>
              <w:right w:type="dxa" w:w="100"/>
            </w:tcMar>
          </w:tcPr>
          <w:p>
            <w:pPr>
              <w:spacing w:after="0"/>
            </w:pPr>
            <w:r>
              <w:rPr>
                <w:b w:val="false"/>
                <w:bCs w:val="false"/>
                <w:color w:val="262626"/>
                <w:sz w:val="18"/>
                <w:szCs w:val="18"/>
              </w:rPr>
              <w:t xml:space="preserve">CRA</w:t>
            </w:r>
          </w:p>
        </w:tc>
        <w:tc>
          <w:tcPr>
            <w:tcW w:type="dxa" w:w="1500"/>
            <w:shd w:fill="FFFFFF" w:val="clear"/>
            <w:tcMar>
              <w:top w:type="dxa" w:w="70"/>
              <w:left w:type="dxa" w:w="100"/>
              <w:bottom w:type="dxa" w:w="70"/>
              <w:right w:type="dxa" w:w="100"/>
            </w:tcMar>
          </w:tcPr>
          <w:p>
            <w:pPr>
              <w:spacing w:after="0"/>
            </w:pPr>
            <w:r>
              <w:rPr>
                <w:b w:val="false"/>
                <w:bCs w:val="false"/>
                <w:color w:val="262626"/>
                <w:sz w:val="18"/>
                <w:szCs w:val="18"/>
              </w:rPr>
              <w:t xml:space="preserve">Gefaseerd 2026 en 2027</w:t>
            </w:r>
          </w:p>
        </w:tc>
        <w:tc>
          <w:tcPr>
            <w:tcW w:type="dxa" w:w="2900"/>
            <w:shd w:fill="FFFFFF" w:val="clear"/>
            <w:tcMar>
              <w:top w:type="dxa" w:w="70"/>
              <w:left w:type="dxa" w:w="100"/>
              <w:bottom w:type="dxa" w:w="70"/>
              <w:right w:type="dxa" w:w="100"/>
            </w:tcMar>
          </w:tcPr>
          <w:p>
            <w:pPr>
              <w:spacing w:after="0"/>
            </w:pPr>
            <w:r>
              <w:rPr>
                <w:b w:val="false"/>
                <w:bCs w:val="false"/>
                <w:color w:val="262626"/>
                <w:sz w:val="18"/>
                <w:szCs w:val="18"/>
              </w:rPr>
              <w:t xml:space="preserve">Kwetsbaarheidsrapportage, stewardregime</w:t>
            </w:r>
          </w:p>
        </w:tc>
        <w:tc>
          <w:tcPr>
            <w:tcW w:type="dxa" w:w="2426"/>
            <w:shd w:fill="FFFFFF" w:val="clear"/>
            <w:tcMar>
              <w:top w:type="dxa" w:w="70"/>
              <w:left w:type="dxa" w:w="100"/>
              <w:bottom w:type="dxa" w:w="70"/>
              <w:right w:type="dxa" w:w="100"/>
            </w:tcMar>
          </w:tcPr>
          <w:p>
            <w:pPr>
              <w:spacing w:after="0"/>
            </w:pPr>
            <w:r>
              <w:rPr>
                <w:b w:val="false"/>
                <w:bCs w:val="false"/>
                <w:color w:val="262626"/>
                <w:sz w:val="18"/>
                <w:szCs w:val="18"/>
              </w:rPr>
              <w:t xml:space="preserve">CP-12; rolbepaling vereist</w:t>
            </w:r>
          </w:p>
        </w:tc>
      </w:tr>
    </w:tbl>
    <w:p>
      <w:pPr>
        <w:pStyle w:val="Heading1"/>
        <w:spacing w:after="140" w:before="300"/>
      </w:pPr>
      <w:r>
        <w:t xml:space="preserve">5. Het Compliance Pack: aanvullingen op PROJECT_SPEC.md</w:t>
      </w:r>
    </w:p>
    <w:p>
      <w:pPr>
        <w:spacing w:after="120"/>
      </w:pPr>
      <w:r>
        <w:rPr>
          <w:b w:val="false"/>
          <w:bCs w:val="false"/>
          <w:i w:val="false"/>
          <w:iCs w:val="false"/>
        </w:rPr>
        <w:t xml:space="preserve">Vijftien concrete voorzieningen; de voorgestelde faseplaatsing staat tussen haken. Voeg ze in de SPEC toe als een nieuw blok Compliance (LOCKED) in hoofdstuk 3.2, plus acceptatiecriteria per fase. Geen van deze voorzieningen conflicteert met bestaande vastgelegde keuzes; de meeste breiden bestaande objecten uit.</w:t>
      </w:r>
    </w:p>
    <w:p>
      <w:pPr>
        <w:pStyle w:val="ListParagraph"/>
        <w:numPr>
          <w:ilvl w:val="0"/>
          <w:numId w:val="2"/>
        </w:numPr>
        <w:spacing w:after="90"/>
      </w:pPr>
      <w:r>
        <w:rPr>
          <w:b/>
          <w:bCs/>
        </w:rPr>
        <w:t xml:space="preserve">CP-1 Classificatie en labels [fase 1]: </w:t>
      </w:r>
      <w:r>
        <w:t xml:space="preserve">labels op datasets en kolommen (persoonsgegevens, bijzondere categorieën, BSN, BBN-niveau, vertrouwelijkheid); doorwerking via lineage; zichtbaar in interface, exports en tools.</w:t>
      </w:r>
    </w:p>
    <w:p>
      <w:pPr>
        <w:pStyle w:val="ListParagraph"/>
        <w:numPr>
          <w:ilvl w:val="0"/>
          <w:numId w:val="2"/>
        </w:numPr>
        <w:spacing w:after="90"/>
      </w:pPr>
      <w:r>
        <w:rPr>
          <w:b/>
          <w:bCs/>
        </w:rPr>
        <w:t xml:space="preserve">CP-2 Doelbinding en grondslagenregister [fase 1]: </w:t>
      </w:r>
      <w:r>
        <w:t xml:space="preserve">verbindingen en datasets dragen een rechtsgrondslag en doelcodes; recepten en tools declareren doelen; onverenigbaar gebruik blokkeert met een uitgelegde fout; persoonsgerichte bevragingen leggen een raadpleegreden vast (naar Suwinet-model); rapportages voor hercertificering.</w:t>
      </w:r>
    </w:p>
    <w:p>
      <w:pPr>
        <w:pStyle w:val="ListParagraph"/>
        <w:numPr>
          <w:ilvl w:val="0"/>
          <w:numId w:val="2"/>
        </w:numPr>
        <w:spacing w:after="90"/>
      </w:pPr>
      <w:r>
        <w:rPr>
          <w:b/>
          <w:bCs/>
        </w:rPr>
        <w:t xml:space="preserve">CP-3 Bewaar- en vernietigingsengine [fase 8]: </w:t>
      </w:r>
      <w:r>
        <w:t xml:space="preserve">bewaartermijnklasse per dataset-, trace- en auditstroom (selectielijstcode); geplande vernietigingstaken met ondertekende vernietigingsverslagen; exporttaak voor inzageverzoeken.</w:t>
      </w:r>
    </w:p>
    <w:p>
      <w:pPr>
        <w:pStyle w:val="ListParagraph"/>
        <w:numPr>
          <w:ilvl w:val="0"/>
          <w:numId w:val="2"/>
        </w:numPr>
        <w:spacing w:after="90"/>
      </w:pPr>
      <w:r>
        <w:rPr>
          <w:b/>
          <w:bCs/>
        </w:rPr>
        <w:t xml:space="preserve">CP-4 Beoordelingswerkstromen [fase 7]: </w:t>
      </w:r>
      <w:r>
        <w:t xml:space="preserve">DPIA-, FRIA- en IAMA-objecten met sjablonen, eigenaren en status; gekoppeld aan projecten en agents; uitrolpoort: hoogrisico-agents vereisen een goedgekeurde FRIA en DPIA plus een geslaagde evaluatie. Het verwerkingsregister wordt automatisch gegenereerd.</w:t>
      </w:r>
    </w:p>
    <w:p>
      <w:pPr>
        <w:pStyle w:val="ListParagraph"/>
        <w:numPr>
          <w:ilvl w:val="0"/>
          <w:numId w:val="2"/>
        </w:numPr>
        <w:spacing w:after="90"/>
      </w:pPr>
      <w:r>
        <w:rPr>
          <w:b/>
          <w:bCs/>
        </w:rPr>
        <w:t xml:space="preserve">CP-5 Algoritmekaarten en registerexport [fase 7]: </w:t>
      </w:r>
      <w:r>
        <w:t xml:space="preserve">technische documentatie in de vorm van bijlage IV, automatisch samengesteld (doel, data, lineage, evaluaties, toezichtconfiguratie, versies); exporteurs voor de metadatastandaard van het Nederlandse Algoritmeregister en de velden van de EU-databank; publicatieveilige redactie; motiveringsbundel per besluit via de API.</w:t>
      </w:r>
    </w:p>
    <w:p>
      <w:pPr>
        <w:pStyle w:val="ListParagraph"/>
        <w:numPr>
          <w:ilvl w:val="0"/>
          <w:numId w:val="2"/>
        </w:numPr>
        <w:spacing w:after="90"/>
      </w:pPr>
      <w:r>
        <w:rPr>
          <w:b/>
          <w:bCs/>
        </w:rPr>
        <w:t xml:space="preserve">CP-6 AI-transparantie in de interface [fase 4]: </w:t>
      </w:r>
      <w:r>
        <w:t xml:space="preserve">AI-meldingen in Answers en Hub; machineleesbare markeringshaken voor gegenereerde artefacten.</w:t>
      </w:r>
    </w:p>
    <w:p>
      <w:pPr>
        <w:pStyle w:val="ListParagraph"/>
        <w:numPr>
          <w:ilvl w:val="0"/>
          <w:numId w:val="2"/>
        </w:numPr>
        <w:spacing w:after="90"/>
      </w:pPr>
      <w:r>
        <w:rPr>
          <w:b/>
          <w:bCs/>
        </w:rPr>
        <w:t xml:space="preserve">CP-7 Bewijsbestendige logging [fase 0 en 3]: </w:t>
      </w:r>
      <w:r>
        <w:t xml:space="preserve">append-only audit met hashketen; bewaarbeleid op traces en grootboek (standaard minimaal zes maanden, configureerbaar conform de Archiefwet); SIEM-export (syslog of CEF); kloksynchronisatie in de infrastructuurbasis.</w:t>
      </w:r>
    </w:p>
    <w:p>
      <w:pPr>
        <w:pStyle w:val="ListParagraph"/>
        <w:numPr>
          <w:ilvl w:val="0"/>
          <w:numId w:val="2"/>
        </w:numPr>
        <w:spacing w:after="90"/>
      </w:pPr>
      <w:r>
        <w:rPr>
          <w:b/>
          <w:bCs/>
        </w:rPr>
        <w:t xml:space="preserve">CP-8 Incident- en datalekregister [fase 8]: </w:t>
      </w:r>
      <w:r>
        <w:t xml:space="preserve">beveiligingsgebeurtenissen en datalekken met AVG-timer (72 uur) en Cbw-timers (24 uur, 72 uur en 1 maand), besluitenlog en export naar het formaat van het centrale meldloket.</w:t>
      </w:r>
    </w:p>
    <w:p>
      <w:pPr>
        <w:pStyle w:val="ListParagraph"/>
        <w:numPr>
          <w:ilvl w:val="0"/>
          <w:numId w:val="2"/>
        </w:numPr>
        <w:spacing w:after="90"/>
      </w:pPr>
      <w:r>
        <w:rPr>
          <w:b/>
          <w:bCs/>
        </w:rPr>
        <w:t xml:space="preserve">CP-9 Fairness en blind beoordelen [fase 7]: </w:t>
      </w:r>
      <w:r>
        <w:t xml:space="preserve">fairnessbeoordelaars (groepsmetrieken volgens het toetsingskader risicoprofilering van het College voor de Rechten van de Mens) als volwaardige evaluatiebeoordelaars; modus blind beoordelen voor risicoselectieagents: configureerbaar percentage willekeurige toevoeging aan behandelwachtrijen, met upliftrapportage.</w:t>
      </w:r>
    </w:p>
    <w:p>
      <w:pPr>
        <w:pStyle w:val="ListParagraph"/>
        <w:numPr>
          <w:ilvl w:val="0"/>
          <w:numId w:val="2"/>
        </w:numPr>
        <w:spacing w:after="90"/>
      </w:pPr>
      <w:r>
        <w:rPr>
          <w:b/>
          <w:bCs/>
        </w:rPr>
        <w:t xml:space="preserve">CP-10 Aantoonbaar toezicht [fase 7]: </w:t>
      </w:r>
      <w:r>
        <w:t xml:space="preserve">vierogenconfiguratie, competentieattest van beoordelaars (register AI-geletterdheid), vastlegging van overrides met redenen, analyse van stempelgedrag (doorlooptijd en variatie van goedkeuringen), bewijsexport voor betekenisvolle menselijke tussenkomst.</w:t>
      </w:r>
    </w:p>
    <w:p>
      <w:pPr>
        <w:pStyle w:val="ListParagraph"/>
        <w:numPr>
          <w:ilvl w:val="0"/>
          <w:numId w:val="2"/>
        </w:numPr>
        <w:spacing w:after="90"/>
      </w:pPr>
      <w:r>
        <w:rPr>
          <w:b/>
          <w:bCs/>
        </w:rPr>
        <w:t xml:space="preserve">CP-11 Soevereiniteitsmodus [fase 3]: </w:t>
      </w:r>
      <w:r>
        <w:t xml:space="preserve">beleidsengine in de mesh, gekoppeld aan dataclassificatie: prompts met BSN of bijzondere categorieën mogen uitsluitend naar lokale modellen (vLLM of Ollama) of EU-verbindingen; residentiemetadata per verbinding; harde blokkade met auditgebeurtenis.</w:t>
      </w:r>
    </w:p>
    <w:p>
      <w:pPr>
        <w:pStyle w:val="ListParagraph"/>
        <w:numPr>
          <w:ilvl w:val="0"/>
          <w:numId w:val="2"/>
        </w:numPr>
        <w:spacing w:after="90"/>
      </w:pPr>
      <w:r>
        <w:rPr>
          <w:b/>
          <w:bCs/>
        </w:rPr>
        <w:t xml:space="preserve">CP-12 Integriteit van de leveranciersketen [fase 0 en CI]: </w:t>
      </w:r>
      <w:r>
        <w:t xml:space="preserve">CycloneDX-SBOM per release; met cosign ondertekende images; poorten voor afhankelijkheids- en licentiescans; security.txt en een beleid voor gecoördineerde melding van kwetsbaarheden.</w:t>
      </w:r>
    </w:p>
    <w:p>
      <w:pPr>
        <w:pStyle w:val="ListParagraph"/>
        <w:numPr>
          <w:ilvl w:val="0"/>
          <w:numId w:val="2"/>
        </w:numPr>
        <w:spacing w:after="90"/>
      </w:pPr>
      <w:r>
        <w:rPr>
          <w:b/>
          <w:bCs/>
        </w:rPr>
        <w:t xml:space="preserve">CP-13 Toegankelijkheidsconformiteit [fase 0 en hoofdstuk 6]: </w:t>
      </w:r>
      <w:r>
        <w:t xml:space="preserve">geautomatiseerde controles op EN 301 549 en WCAG in CI voor Hub en de belangrijkste Studio-stromen; generator voor de toegankelijkheidsverklaring.</w:t>
      </w:r>
    </w:p>
    <w:p>
      <w:pPr>
        <w:pStyle w:val="ListParagraph"/>
        <w:numPr>
          <w:ilvl w:val="0"/>
          <w:numId w:val="2"/>
        </w:numPr>
        <w:spacing w:after="90"/>
      </w:pPr>
      <w:r>
        <w:rPr>
          <w:b/>
          <w:bCs/>
        </w:rPr>
        <w:t xml:space="preserve">CP-14 Nederlandse standaardenpresets [fase 0 en 3]: </w:t>
      </w:r>
      <w:r>
        <w:t xml:space="preserve">NCSC-conforme TLS-configuratie; NLGov-realmpreset voor OIDC en OAuth; linting op de REST API Design Rules voor publieke API's; checklist voor HSTS en DNSSEC bij uitrol.</w:t>
      </w:r>
    </w:p>
    <w:p>
      <w:pPr>
        <w:pStyle w:val="ListParagraph"/>
        <w:numPr>
          <w:ilvl w:val="0"/>
          <w:numId w:val="2"/>
        </w:numPr>
        <w:spacing w:after="90"/>
      </w:pPr>
      <w:r>
        <w:rPr>
          <w:b/>
          <w:bCs/>
        </w:rPr>
        <w:t xml:space="preserve">CP-15 AIMS-bewijspakket (ISO/IEC 42001) [fase 7]: </w:t>
      </w:r>
      <w:r>
        <w:t xml:space="preserve">koppeling van beheersmaatregelen aan bewijs (bijlage A tegenover platformartefacten), exporteerbaar voor auditors; hulpmiddel voor de verklaring van toepasselijkheid; dashboards voor interne audit en directiebeoordeling (AI-risicoregister, incidenten, evaluatieregressies, drift, quota- en guardrailgebeurtenissen); ontworpen om samen te gaan met het ISMS van BIO2 en 27001 en voorbereid op prEN 18286 zodra die is vermeld.</w:t>
      </w:r>
    </w:p>
    <w:p>
      <w:pPr>
        <w:spacing w:after="120"/>
      </w:pPr>
      <w:r>
        <w:rPr>
          <w:b/>
          <w:bCs/>
        </w:rPr>
        <w:t xml:space="preserve">Poort voor productiegebruik bij UWV: </w:t>
      </w:r>
      <w:r>
        <w:t xml:space="preserve">een geconsolideerde mijlpaal compliancehardening (alle CP-onderdelen gereed, bewijsexports van het managementsysteem operationeel, per uitgerolde hoogrisico-agent een goedgekeurde FRIA en DPIA) moet zijn afgerond voor elk gebruik dat burgers raakt, en in elk geval voor 2 december 2027.</w:t>
      </w:r>
    </w:p>
    <w:p>
      <w:pPr>
        <w:pStyle w:val="Heading1"/>
        <w:spacing w:after="140" w:before="300"/>
      </w:pPr>
      <w:r>
        <w:t xml:space="preserve">6. Besturingsmodel: platform tegenover organisatie</w:t>
      </w:r>
    </w:p>
    <w:p>
      <w:pPr>
        <w:spacing w:after="120"/>
      </w:pPr>
      <w:r>
        <w:rPr>
          <w:b w:val="false"/>
          <w:bCs w:val="false"/>
          <w:i w:val="false"/>
          <w:iCs w:val="false"/>
        </w:rPr>
        <w:t xml:space="preserve">Het platform produceert bewijs; mensen dragen de naleving. De minimale rolverdeling: de FG (goedkeuring van DPIA's, toezicht op art. 22), de CISO (BIO2 en het managementsysteem, de Cbw-meldplicht), een AI-governanceboard (akkoord op FRIA's, certificering van agents, publicatie in het register), een producteigenaar per agent (de plichten van de gebruiksverantwoordelijke, kennisgevingen aan medewerkers en betrokkenen) en de auditors (ADR en IT-audit langs het Algoritmekader; de controledashboards en exports van het platform vormen hun werkmateriaal). Kiest UWV voor certificering op ISO/IEC 42001, dan fungeert de AI-governanceboard tevens als eigenaar van het AIMS en draait er een geïntegreerde cyclus voor 27001 en 42001 met gedeelde interne audits.</w:t>
      </w:r>
    </w:p>
    <w:p>
      <w:pPr>
        <w:pStyle w:val="Heading1"/>
        <w:spacing w:after="140" w:before="300"/>
      </w:pPr>
      <w:r>
        <w:t xml:space="preserve">7. Tijdlijn van harde data (geverifieerd op 22 juli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F4E79" w:val="clear"/>
            <w:tcMar>
              <w:top w:type="dxa" w:w="70"/>
              <w:left w:type="dxa" w:w="100"/>
              <w:bottom w:type="dxa" w:w="70"/>
              <w:right w:type="dxa" w:w="100"/>
            </w:tcMar>
          </w:tcPr>
          <w:p>
            <w:pPr>
              <w:spacing w:after="0"/>
            </w:pPr>
            <w:r>
              <w:rPr>
                <w:b/>
                <w:bCs/>
                <w:color w:val="FFFFFF"/>
                <w:sz w:val="19"/>
                <w:szCs w:val="19"/>
              </w:rPr>
              <w:t xml:space="preserve">Datum</w:t>
            </w:r>
          </w:p>
        </w:tc>
        <w:tc>
          <w:tcPr>
            <w:tcW w:type="dxa" w:w="7026"/>
            <w:shd w:fill="1F4E79" w:val="clear"/>
            <w:tcMar>
              <w:top w:type="dxa" w:w="70"/>
              <w:left w:type="dxa" w:w="100"/>
              <w:bottom w:type="dxa" w:w="70"/>
              <w:right w:type="dxa" w:w="100"/>
            </w:tcMar>
          </w:tcPr>
          <w:p>
            <w:pPr>
              <w:spacing w:after="0"/>
            </w:pPr>
            <w:r>
              <w:rPr>
                <w:b/>
                <w:bCs/>
                <w:color w:val="FFFFFF"/>
                <w:sz w:val="19"/>
                <w:szCs w:val="19"/>
              </w:rPr>
              <w:t xml:space="preserve">Gebeurtenis</w:t>
            </w:r>
          </w:p>
        </w:tc>
      </w:tr>
      <w:tr>
        <w:tc>
          <w:tcPr>
            <w:tcW w:type="dxa" w:w="2000"/>
            <w:shd w:fill="FFFFFF" w:val="clear"/>
            <w:tcMar>
              <w:top w:type="dxa" w:w="70"/>
              <w:left w:type="dxa" w:w="100"/>
              <w:bottom w:type="dxa" w:w="70"/>
              <w:right w:type="dxa" w:w="100"/>
            </w:tcMar>
          </w:tcPr>
          <w:p>
            <w:pPr>
              <w:spacing w:after="0"/>
            </w:pPr>
            <w:r>
              <w:rPr>
                <w:b w:val="false"/>
                <w:bCs w:val="false"/>
                <w:color w:val="262626"/>
                <w:sz w:val="18"/>
                <w:szCs w:val="18"/>
              </w:rPr>
              <w:t xml:space="preserve">2 februari 2025</w:t>
            </w:r>
          </w:p>
        </w:tc>
        <w:tc>
          <w:tcPr>
            <w:tcW w:type="dxa" w:w="7026"/>
            <w:shd w:fill="FFFFFF" w:val="clear"/>
            <w:tcMar>
              <w:top w:type="dxa" w:w="70"/>
              <w:left w:type="dxa" w:w="100"/>
              <w:bottom w:type="dxa" w:w="70"/>
              <w:right w:type="dxa" w:w="100"/>
            </w:tcMar>
          </w:tcPr>
          <w:p>
            <w:pPr>
              <w:spacing w:after="0"/>
            </w:pPr>
            <w:r>
              <w:rPr>
                <w:b w:val="false"/>
                <w:bCs w:val="false"/>
                <w:color w:val="262626"/>
                <w:sz w:val="18"/>
                <w:szCs w:val="18"/>
              </w:rPr>
              <w:t xml:space="preserve">Verboden praktijken en de AI-geletterdheidsplicht van kracht (reeds geldend).</w:t>
            </w:r>
          </w:p>
        </w:tc>
      </w:tr>
      <w:tr>
        <w:tc>
          <w:tcPr>
            <w:tcW w:type="dxa" w:w="2000"/>
            <w:shd w:fill="EEF3F8" w:val="clear"/>
            <w:tcMar>
              <w:top w:type="dxa" w:w="70"/>
              <w:left w:type="dxa" w:w="100"/>
              <w:bottom w:type="dxa" w:w="70"/>
              <w:right w:type="dxa" w:w="100"/>
            </w:tcMar>
          </w:tcPr>
          <w:p>
            <w:pPr>
              <w:spacing w:after="0"/>
            </w:pPr>
            <w:r>
              <w:rPr>
                <w:b w:val="false"/>
                <w:bCs w:val="false"/>
                <w:color w:val="262626"/>
                <w:sz w:val="18"/>
                <w:szCs w:val="18"/>
              </w:rPr>
              <w:t xml:space="preserve">2 augustus 2025</w:t>
            </w:r>
          </w:p>
        </w:tc>
        <w:tc>
          <w:tcPr>
            <w:tcW w:type="dxa" w:w="7026"/>
            <w:shd w:fill="EEF3F8" w:val="clear"/>
            <w:tcMar>
              <w:top w:type="dxa" w:w="70"/>
              <w:left w:type="dxa" w:w="100"/>
              <w:bottom w:type="dxa" w:w="70"/>
              <w:right w:type="dxa" w:w="100"/>
            </w:tcMar>
          </w:tcPr>
          <w:p>
            <w:pPr>
              <w:spacing w:after="0"/>
            </w:pPr>
            <w:r>
              <w:rPr>
                <w:b w:val="false"/>
                <w:bCs w:val="false"/>
                <w:color w:val="262626"/>
                <w:sz w:val="18"/>
                <w:szCs w:val="18"/>
              </w:rPr>
              <w:t xml:space="preserve">GPAI-verplichtingen van kracht (reeds geldend).</w:t>
            </w:r>
          </w:p>
        </w:tc>
      </w:tr>
      <w:tr>
        <w:tc>
          <w:tcPr>
            <w:tcW w:type="dxa" w:w="2000"/>
            <w:shd w:fill="FFFFFF" w:val="clear"/>
            <w:tcMar>
              <w:top w:type="dxa" w:w="70"/>
              <w:left w:type="dxa" w:w="100"/>
              <w:bottom w:type="dxa" w:w="70"/>
              <w:right w:type="dxa" w:w="100"/>
            </w:tcMar>
          </w:tcPr>
          <w:p>
            <w:pPr>
              <w:spacing w:after="0"/>
            </w:pPr>
            <w:r>
              <w:rPr>
                <w:b w:val="false"/>
                <w:bCs w:val="false"/>
                <w:color w:val="262626"/>
                <w:sz w:val="18"/>
                <w:szCs w:val="18"/>
              </w:rPr>
              <w:t xml:space="preserve">5 maart 2026</w:t>
            </w:r>
          </w:p>
        </w:tc>
        <w:tc>
          <w:tcPr>
            <w:tcW w:type="dxa" w:w="7026"/>
            <w:shd w:fill="FFFFFF" w:val="clear"/>
            <w:tcMar>
              <w:top w:type="dxa" w:w="70"/>
              <w:left w:type="dxa" w:w="100"/>
              <w:bottom w:type="dxa" w:w="70"/>
              <w:right w:type="dxa" w:w="100"/>
            </w:tcMar>
          </w:tcPr>
          <w:p>
            <w:pPr>
              <w:spacing w:after="0"/>
            </w:pPr>
            <w:r>
              <w:rPr>
                <w:b w:val="false"/>
                <w:bCs w:val="false"/>
                <w:color w:val="262626"/>
                <w:sz w:val="18"/>
                <w:szCs w:val="18"/>
              </w:rPr>
              <w:t xml:space="preserve">BIO2 v1.3 in de Staatscourant; verplichtende zelfregulering voor Rijk, provincies en waterschappen.</w:t>
            </w:r>
          </w:p>
        </w:tc>
      </w:tr>
      <w:tr>
        <w:tc>
          <w:tcPr>
            <w:tcW w:type="dxa" w:w="2000"/>
            <w:shd w:fill="EEF3F8" w:val="clear"/>
            <w:tcMar>
              <w:top w:type="dxa" w:w="70"/>
              <w:left w:type="dxa" w:w="100"/>
              <w:bottom w:type="dxa" w:w="70"/>
              <w:right w:type="dxa" w:w="100"/>
            </w:tcMar>
          </w:tcPr>
          <w:p>
            <w:pPr>
              <w:spacing w:after="0"/>
            </w:pPr>
            <w:r>
              <w:rPr>
                <w:b w:val="false"/>
                <w:bCs w:val="false"/>
                <w:color w:val="262626"/>
                <w:sz w:val="18"/>
                <w:szCs w:val="18"/>
              </w:rPr>
              <w:t xml:space="preserve">juni en juli 2026</w:t>
            </w:r>
          </w:p>
        </w:tc>
        <w:tc>
          <w:tcPr>
            <w:tcW w:type="dxa" w:w="7026"/>
            <w:shd w:fill="EEF3F8" w:val="clear"/>
            <w:tcMar>
              <w:top w:type="dxa" w:w="70"/>
              <w:left w:type="dxa" w:w="100"/>
              <w:bottom w:type="dxa" w:w="70"/>
              <w:right w:type="dxa" w:w="100"/>
            </w:tcMar>
          </w:tcPr>
          <w:p>
            <w:pPr>
              <w:spacing w:after="0"/>
            </w:pPr>
            <w:r>
              <w:rPr>
                <w:b w:val="false"/>
                <w:bCs w:val="false"/>
                <w:color w:val="262626"/>
                <w:sz w:val="18"/>
                <w:szCs w:val="18"/>
              </w:rPr>
              <w:t xml:space="preserve">Digital Omnibus AI aangenomen (Europees Parlement 16 juni, Raad 29 juni, ondertekend 8 juli); inwerkingtreding na publicatie in het Publicatieblad.</w:t>
            </w:r>
          </w:p>
        </w:tc>
      </w:tr>
      <w:tr>
        <w:tc>
          <w:tcPr>
            <w:tcW w:type="dxa" w:w="2000"/>
            <w:shd w:fill="FFFFFF" w:val="clear"/>
            <w:tcMar>
              <w:top w:type="dxa" w:w="70"/>
              <w:left w:type="dxa" w:w="100"/>
              <w:bottom w:type="dxa" w:w="70"/>
              <w:right w:type="dxa" w:w="100"/>
            </w:tcMar>
          </w:tcPr>
          <w:p>
            <w:pPr>
              <w:spacing w:after="0"/>
            </w:pPr>
            <w:r>
              <w:rPr>
                <w:b w:val="false"/>
                <w:bCs w:val="false"/>
                <w:color w:val="262626"/>
                <w:sz w:val="18"/>
                <w:szCs w:val="18"/>
              </w:rPr>
              <w:t xml:space="preserve">15 augustus 2026</w:t>
            </w:r>
          </w:p>
        </w:tc>
        <w:tc>
          <w:tcPr>
            <w:tcW w:type="dxa" w:w="7026"/>
            <w:shd w:fill="FFFFFF" w:val="clear"/>
            <w:tcMar>
              <w:top w:type="dxa" w:w="70"/>
              <w:left w:type="dxa" w:w="100"/>
              <w:bottom w:type="dxa" w:w="70"/>
              <w:right w:type="dxa" w:w="100"/>
            </w:tcMar>
          </w:tcPr>
          <w:p>
            <w:pPr>
              <w:spacing w:after="0"/>
            </w:pPr>
            <w:r>
              <w:rPr>
                <w:b w:val="false"/>
                <w:bCs w:val="false"/>
                <w:color w:val="262626"/>
                <w:sz w:val="18"/>
                <w:szCs w:val="18"/>
              </w:rPr>
              <w:t xml:space="preserve">Cbw en Wwke in werking; de BIO2 wordt de wettelijke invulling van de zorgplicht voor de overheid.</w:t>
            </w:r>
          </w:p>
        </w:tc>
      </w:tr>
      <w:tr>
        <w:tc>
          <w:tcPr>
            <w:tcW w:type="dxa" w:w="2000"/>
            <w:shd w:fill="EEF3F8" w:val="clear"/>
            <w:tcMar>
              <w:top w:type="dxa" w:w="70"/>
              <w:left w:type="dxa" w:w="100"/>
              <w:bottom w:type="dxa" w:w="70"/>
              <w:right w:type="dxa" w:w="100"/>
            </w:tcMar>
          </w:tcPr>
          <w:p>
            <w:pPr>
              <w:spacing w:after="0"/>
            </w:pPr>
            <w:r>
              <w:rPr>
                <w:b w:val="false"/>
                <w:bCs w:val="false"/>
                <w:color w:val="262626"/>
                <w:sz w:val="18"/>
                <w:szCs w:val="18"/>
              </w:rPr>
              <w:t xml:space="preserve">2 december 2026</w:t>
            </w:r>
          </w:p>
        </w:tc>
        <w:tc>
          <w:tcPr>
            <w:tcW w:type="dxa" w:w="7026"/>
            <w:shd w:fill="EEF3F8" w:val="clear"/>
            <w:tcMar>
              <w:top w:type="dxa" w:w="70"/>
              <w:left w:type="dxa" w:w="100"/>
              <w:bottom w:type="dxa" w:w="70"/>
              <w:right w:type="dxa" w:w="100"/>
            </w:tcMar>
          </w:tcPr>
          <w:p>
            <w:pPr>
              <w:spacing w:after="0"/>
            </w:pPr>
            <w:r>
              <w:rPr>
                <w:b w:val="false"/>
                <w:bCs w:val="false"/>
                <w:color w:val="262626"/>
                <w:sz w:val="18"/>
                <w:szCs w:val="18"/>
              </w:rPr>
              <w:t xml:space="preserve">Markering conform art. 50, lid 2, voor bestaande systemen; nieuw verbod van kracht. Rijk: impactvolle algoritmes in het Algoritmeregister; privacyverklaringen vermelden risicoselectie (uiterlijk 31 december 2026).</w:t>
            </w:r>
          </w:p>
        </w:tc>
      </w:tr>
      <w:tr>
        <w:tc>
          <w:tcPr>
            <w:tcW w:type="dxa" w:w="2000"/>
            <w:shd w:fill="FFFFFF" w:val="clear"/>
            <w:tcMar>
              <w:top w:type="dxa" w:w="70"/>
              <w:left w:type="dxa" w:w="100"/>
              <w:bottom w:type="dxa" w:w="70"/>
              <w:right w:type="dxa" w:w="100"/>
            </w:tcMar>
          </w:tcPr>
          <w:p>
            <w:pPr>
              <w:spacing w:after="0"/>
            </w:pPr>
            <w:r>
              <w:rPr>
                <w:b w:val="false"/>
                <w:bCs w:val="false"/>
                <w:color w:val="262626"/>
                <w:sz w:val="18"/>
                <w:szCs w:val="18"/>
              </w:rPr>
              <w:t xml:space="preserve">2 december 2027</w:t>
            </w:r>
          </w:p>
        </w:tc>
        <w:tc>
          <w:tcPr>
            <w:tcW w:type="dxa" w:w="7026"/>
            <w:shd w:fill="FFFFFF" w:val="clear"/>
            <w:tcMar>
              <w:top w:type="dxa" w:w="70"/>
              <w:left w:type="dxa" w:w="100"/>
              <w:bottom w:type="dxa" w:w="70"/>
              <w:right w:type="dxa" w:w="100"/>
            </w:tcMar>
          </w:tcPr>
          <w:p>
            <w:pPr>
              <w:spacing w:after="0"/>
            </w:pPr>
            <w:r>
              <w:rPr>
                <w:b w:val="false"/>
                <w:bCs w:val="false"/>
                <w:color w:val="262626"/>
                <w:sz w:val="18"/>
                <w:szCs w:val="18"/>
              </w:rPr>
              <w:t xml:space="preserve">Verplichtingen voor hoog risico volgens bijlage III van kracht (uitkeringsgerelateerde AI van UWV).</w:t>
            </w:r>
          </w:p>
        </w:tc>
      </w:tr>
      <w:tr>
        <w:tc>
          <w:tcPr>
            <w:tcW w:type="dxa" w:w="2000"/>
            <w:shd w:fill="EEF3F8" w:val="clear"/>
            <w:tcMar>
              <w:top w:type="dxa" w:w="70"/>
              <w:left w:type="dxa" w:w="100"/>
              <w:bottom w:type="dxa" w:w="70"/>
              <w:right w:type="dxa" w:w="100"/>
            </w:tcMar>
          </w:tcPr>
          <w:p>
            <w:pPr>
              <w:spacing w:after="0"/>
            </w:pPr>
            <w:r>
              <w:rPr>
                <w:b w:val="false"/>
                <w:bCs w:val="false"/>
                <w:color w:val="262626"/>
                <w:sz w:val="18"/>
                <w:szCs w:val="18"/>
              </w:rPr>
              <w:t xml:space="preserve">2 augustus 2028</w:t>
            </w:r>
          </w:p>
        </w:tc>
        <w:tc>
          <w:tcPr>
            <w:tcW w:type="dxa" w:w="7026"/>
            <w:shd w:fill="EEF3F8" w:val="clear"/>
            <w:tcMar>
              <w:top w:type="dxa" w:w="70"/>
              <w:left w:type="dxa" w:w="100"/>
              <w:bottom w:type="dxa" w:w="70"/>
              <w:right w:type="dxa" w:w="100"/>
            </w:tcMar>
          </w:tcPr>
          <w:p>
            <w:pPr>
              <w:spacing w:after="0"/>
            </w:pPr>
            <w:r>
              <w:rPr>
                <w:b w:val="false"/>
                <w:bCs w:val="false"/>
                <w:color w:val="262626"/>
                <w:sz w:val="18"/>
                <w:szCs w:val="18"/>
              </w:rPr>
              <w:t xml:space="preserve">Verplichtingen voor ingebedde hoogrisicosystemen (bijlage I) van kracht.</w:t>
            </w:r>
          </w:p>
        </w:tc>
      </w:tr>
    </w:tbl>
    <w:p>
      <w:pPr>
        <w:pStyle w:val="Heading1"/>
        <w:spacing w:after="140" w:before="300"/>
      </w:pPr>
      <w:r>
        <w:t xml:space="preserve">8. Nog te verifiëren punten (wetgeving in beweging)</w:t>
      </w:r>
    </w:p>
    <w:p>
      <w:pPr>
        <w:spacing w:after="120"/>
      </w:pPr>
      <w:r>
        <w:rPr>
          <w:b w:val="false"/>
          <w:bCs w:val="false"/>
          <w:i w:val="false"/>
          <w:iCs w:val="false"/>
        </w:rPr>
        <w:t xml:space="preserve">Publicatie in het Publicatieblad en de definitieve geconsolideerde tekst van de Digital Omnibus; of UWV rechtstreeks onder de Cbw valt als overheidsorganisatie dan wel via de circulaireroute voor zbo's; de details van de Regeling SUWI en de actuele versie van het Suwinet-normenkader; de status van de Kaderwet Toetsing Algoritmen; de actuele versie van de metadatastandaard van het Algoritmeregister; nieuwe AP-richtsnoeren (RAN 2026, handvatten voor betekenisvolle tussenkomst); actualisaties van het rijksbrede cloudbeleid en eventuele soevereiniteitseisen voor externe LLM-API's; de revisiestatus van EN 301 549; de data van het CRA-stewardregime; de publicatie- en vermeldingsstatus van prEN 18286 en de eerste geharmoniseerde JTC 21-normen, plus de NEN-overname van EN ISO/IEC 42001; en UWV-specifieke kaders (informatieplan van UWV, selectielijst van SZW).</w:t>
      </w:r>
    </w:p>
    <w:p>
      <w:pPr>
        <w:spacing w:after="120"/>
      </w:pPr>
      <w:r>
        <w:rPr>
          <w:b w:val="false"/>
          <w:bCs w:val="false"/>
          <w:i/>
          <w:iCs/>
        </w:rPr>
        <w:t xml:space="preserve">Slotopmerking: dit document is geen juridisch advies. Formele toetsing door de FG, de CISO en de juridische afdeling van UWV is vereist voordat een uitrolbesluit wordt genomen.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44"/>
      <w:szCs w:val="44"/>
    </w:rPr>
  </w:style>
  <w:style w:type="paragraph" w:styleId="Heading1">
    <w:name w:val="Heading 1"/>
    <w:basedOn w:val="Normal"/>
    <w:next w:val="Normal"/>
    <w:qFormat/>
    <w:pPr>
      <w:spacing w:after="140" w:before="300"/>
    </w:pPr>
    <w:rPr>
      <w:b/>
      <w:bCs/>
      <w:color w:val="1F4E79"/>
      <w:sz w:val="30"/>
      <w:szCs w:val="30"/>
    </w:rPr>
  </w:style>
  <w:style w:type="paragraph" w:styleId="Heading2">
    <w:name w:val="Heading 2"/>
    <w:basedOn w:val="Normal"/>
    <w:next w:val="Normal"/>
    <w:qFormat/>
    <w:pPr>
      <w:spacing w:after="110" w:before="220"/>
    </w:pPr>
    <w:rPr>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OpenStudio bij UWV: toetsing aan wet- en regelgeving</dc:title>
  <dc:creator>OpenStudio</dc:creator>
  <cp:lastModifiedBy>Un-named</cp:lastModifiedBy>
  <cp:revision>1</cp:revision>
  <dcterms:created xsi:type="dcterms:W3CDTF">2026-07-22T11:01:01.384Z</dcterms:created>
  <dcterms:modified xsi:type="dcterms:W3CDTF">2026-07-22T11:01:01.384Z</dcterms:modified>
</cp:coreProperties>
</file>

<file path=docProps/custom.xml><?xml version="1.0" encoding="utf-8"?>
<Properties xmlns="http://schemas.openxmlformats.org/officeDocument/2006/custom-properties" xmlns:vt="http://schemas.openxmlformats.org/officeDocument/2006/docPropsVTypes"/>
</file>