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jc w:val="center"/>
      </w:pPr>
      <w:r>
        <w:rPr>
          <w:rFonts w:ascii="Calibri" w:hAnsi="Calibri"/>
          <w:b/>
          <w:color w:val="2E74B5"/>
          <w:sz w:val="20"/>
        </w:rPr>
        <w:t>KAJOVOCML - TECHNICKÝ KATALOG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4"/>
        </w:rPr>
        <w:t>Obecný komponentový model a Secret Manager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32"/>
        </w:rPr>
        <w:t>Onboarding Catalog 2026.07.22</w:t>
      </w:r>
    </w:p>
    <w:p>
      <w:pPr>
        <w:spacing w:after="1600"/>
        <w:jc w:val="center"/>
      </w:pPr>
      <w:r>
        <w:rPr>
          <w:rFonts w:ascii="Calibri" w:hAnsi="Calibri"/>
          <w:i/>
          <w:color w:val="5B6570"/>
          <w:sz w:val="22"/>
        </w:rPr>
        <w:t>Kanonický model komponent, pověření, Secret API, oprávnění, auditních streamů a kompatibilních adaptérů.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Vlastnost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Hodnota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Dopad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COMPATIBLE IMPACT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Katalogová změna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MINOR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Release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 protokol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2025-11-25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Manifest schema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Účel a kompatibilita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Katalog 2026.07.22 zachovává komponentový onboarding jako zpětně kompatibilní model a přidává centrální Secret Manager pro bezpečnou správu, rotaci a auditované zpřístupnění tajemství.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Stávající MCP, managed-service, Kaja a onboarding rozhraní zůstávají funkční jako adaptéry. Deaktivace komponenty technicky blokuje ingress, Pulse a egress, ale nerevokuje dlouhodobý credential; rotace a revokace jsou explicitní operace.</w:t>
      </w:r>
    </w:p>
    <w:p>
      <w:pPr>
        <w:pStyle w:val="Heading1"/>
      </w:pPr>
      <w:r>
        <w:t>2. Komponentový kontrakt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Oblast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Kanonická pravidla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AI_CLIENT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AUTHORIZATION, TECHNICAL_DISABLE, MONITORING, AUDIT_CONTINUITY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AI_AGENT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AUTHORIZATION, TECHNICAL_DISABLE, MONITORING, AUDIT_CONTINUITY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MCP_SERVER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mcp.initialize, mcp.notifications.initialized, mcp.tools.list, mcp.tools.call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MANAGED_RUNTIME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AUTHORIZATION, PUBLIC_ENDPOINT, TECHNICAL_DISABLE, MONITORING, AUDIT_CONTINUITY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EXTERNAL_SERVICE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AUTHORIZATION, PUBLIC_ENDPOINT, TECHNICAL_DISABLE, MONITORING, AUDIT_CONTINUITY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PLATFORM_SERVICE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AUTHORIZATION, PUBLIC_ENDPOINT, TECHNICAL_DISABLE, MONITORING, AUDIT_CONTINUITY</w:t>
            </w:r>
          </w:p>
        </w:tc>
      </w:tr>
    </w:tbl>
    <w:p>
      <w:pPr>
        <w:spacing w:after="0"/>
      </w:pPr>
    </w:p>
    <w:p>
      <w:pPr>
        <w:pStyle w:val="Heading1"/>
      </w:pPr>
      <w:r>
        <w:t>3. Capability kontrakty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300"/>
        <w:gridCol w:w="3760"/>
      </w:tblGrid>
      <w:tr>
        <w:trPr>
          <w:tblHeader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Capability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Protokol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Požadavek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mcp.initialize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 for MCP_SERVER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mcp.notifications.initialized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 for MCP_SERVER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mcp.tools.list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 for MCP_SERVER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mcp.tools.call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 for MCP_SERVER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component.discovery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HTTPS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 xml:space="preserve">required for 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component.pulse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KCML_PULSE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 xml:space="preserve">required for 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component.audit.write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KCML_AUDIT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 xml:space="preserve">required for </w:t>
            </w:r>
          </w:p>
        </w:tc>
      </w:tr>
    </w:tbl>
    <w:p>
      <w:pPr>
        <w:spacing w:after="0"/>
      </w:pPr>
    </w:p>
    <w:p>
      <w:pPr>
        <w:pStyle w:val="Heading1"/>
      </w:pPr>
      <w:r>
        <w:t>4. Secret Manager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Oblast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Pravidlo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Resolve API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secrets.{PUBLIC_BASE_DOMAIN} /v1/secrets/resolve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Token pro Secret API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Bearer integration token nebo Basic client_id:client_secret; OAuth access token se pro resolve nepoužívá.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Lifecycle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Platnost integration tokenu i client_secret je pro Secret API nezávislá na lifecycle stavu komponenty; rozhoduje autenticita credentialu a explicitní secret grant.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Reveal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Admin reveal vyžaduje čerstvé heslo, aktuální TOTP a jednorázový grant vázaný na admina, session, secret, verzi a účel.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Úložiště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AES-256-GCM envelope with HKDF-SHA-256 key derivation from CONFIG_VAULT_MASTER_KEY_BASE64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Onboarding API v2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Operace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Endpoint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Výsledek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Vytvořit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Job a přidělená KCML identita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Stav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GET /v2/component-onboardings/{id}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Aktuální stav a gates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Revize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/v2/component-onboardings/{id}/revisions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Nová kanonická revize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Readiness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/v2/component-onboardings/{id}/readiness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Vyhodnocení gates a claim token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Credential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POST /v2/component-onboardings/{id}/credential-claims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Jednorázové zobrazení client_secret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Zrušit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DELETE /v2/component-onboardings/{id}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Auditované zrušení</w:t>
            </w:r>
          </w:p>
        </w:tc>
      </w:tr>
    </w:tbl>
    <w:p>
      <w:pPr>
        <w:spacing w:after="0"/>
      </w:pPr>
    </w:p>
    <w:p>
      <w:pPr>
        <w:pStyle w:val="Heading1"/>
      </w:pPr>
      <w:r>
        <w:t>6. Autorizační důvody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Stabilní kód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Český význam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invalid_integration_token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integration_token_kind_mismatch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implementation_token_scope_mismatch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blueprint_component_not_allowed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duplicate_blueprint_component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max_child_jobs_exceeded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invalid_idempotency_key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idempotency_key_reused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multipart_required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invalid_manifest_json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manifest_and_source_required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invalid_source_part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source_must_be_zip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invalid_manifest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Stabilní chybový kód katalogu.</w:t>
            </w:r>
          </w:p>
        </w:tc>
      </w:tr>
    </w:tbl>
    <w:p>
      <w:pPr>
        <w:spacing w:after="0"/>
      </w:pPr>
    </w:p>
    <w:p>
      <w:pPr>
        <w:pStyle w:val="Heading1"/>
      </w:pPr>
      <w:r>
        <w:t>7. Kompatibilitní matice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700"/>
        <w:gridCol w:w="3300"/>
        <w:gridCol w:w="1910"/>
      </w:tblGrid>
      <w:tr>
        <w:trPr>
          <w:tblHeader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Profil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Katalog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Intake / adaptér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Výsledek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legacy-ai-client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/v1/onboardings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component-ai-client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/v2/component-onboardings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legacy-ai-agent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/v1/onboardings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component-ai-agent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/v2/component-onboardings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legacy-mcp-server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/v1/onboardings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component-mcp-server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/v2/component-onboardings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legacy-managed-runtime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external-api-1.0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/v1/service-onboardings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component-managed-runtime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/v2/component-onboardings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legacy-external-service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external-api-1.0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/v1/service-onboardings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component-external-service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/v2/component-onboardings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legacy-platform-service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/api/managed-services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component-platform-service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2026.07.22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/v2/component-onboardings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</w:tbl>
    <w:p>
      <w:pPr>
        <w:spacing w:after="0"/>
      </w:pPr>
    </w:p>
    <w:p>
      <w:pPr>
        <w:pStyle w:val="Heading1"/>
      </w:pPr>
      <w:r>
        <w:t>8. Runtime kompatibilita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Oblast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Kombinace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Výsledek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pulse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legacyBlueprintPulseTypes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SUPPORTED_ADAPTED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pulse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componentPulse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SUPPORTED_NATIVE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pulse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unknownPulseType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REJECTED_CATALOG_INCOMPATIBLE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scopesAndAcl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currentDatabaseScope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REQUIRED_EACH_CALL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scopesAndAcl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currentRouteAcl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REQUIRED_EACH_CALL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scopesAndAcl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removedPermission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REJECTED_ROUTE_DENIED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endpointAndAudience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canonicalHostname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endpointAndAudience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matchingHostSniAudience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endpointAndAudience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alternateHostname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REJECTED_INVALID_AUDIENCE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endpointAndAudience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ipLocalhostDirectPortServiceName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REJECTED_INVALID_COMPONENT_HOSTNAME</w:t>
            </w:r>
          </w:p>
        </w:tc>
      </w:tr>
    </w:tbl>
    <w:p>
      <w:pPr>
        <w:spacing w:after="0"/>
      </w:pPr>
    </w:p>
    <w:p>
      <w:pPr>
        <w:pStyle w:val="Heading1"/>
      </w:pPr>
      <w:r>
        <w:t>9. Provozní zásady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Gateway ověřuje Host, SNI a token audience. Interní runtime hop není zvenku adresovatelný. Autorizační rozhodnutí při každém volání čte aktuální databázový stav a aktuální route/scope oprávnění.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Secret Manager nikdy neukládá otevřené tajemství mimo šifrovanou verzi. Maskovaný readback, rotace, deaktivace, restore, granty, revoke a reveal jsou auditované a řízené oprávněními.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0"/>
        <w:sz w:val="17"/>
      </w:rPr>
      <w:t>COMPATIBLE IMPACT | katalogová změna MINOR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0"/>
        <w:sz w:val="18"/>
      </w:rPr>
      <w:t>KCML | Onboarding Catalog 2026.07.22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KajovoCML Onboarding Catalog 2026.07.22</dc:title>
  <dc:subject>Obecný komponentový model KCML a Secret Manager</dc:subject>
  <dc:creator>KajovoCML</dc:creator>
  <cp:keywords>KCML, component, onboarding, OAuth, audit, Secret Manager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