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jc w:val="center"/>
      </w:pPr>
      <w:r>
        <w:rPr>
          <w:rFonts w:ascii="Calibri" w:hAnsi="Calibri"/>
          <w:b/>
          <w:color w:val="2E74B5"/>
          <w:sz w:val="20"/>
        </w:rPr>
        <w:t>KAJOVOCML - TECHNICKÝ KATALOG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60"/>
        </w:rPr>
        <w:t>Obecný komponentový model</w:t>
      </w:r>
    </w:p>
    <w:p>
      <w:pPr>
        <w:spacing w:after="480"/>
        <w:jc w:val="center"/>
      </w:pPr>
      <w:r>
        <w:rPr>
          <w:rFonts w:ascii="Calibri" w:hAnsi="Calibri"/>
          <w:color w:val="2E74B5"/>
          <w:sz w:val="32"/>
        </w:rPr>
        <w:t>Onboarding Catalog 2026.07.21</w:t>
      </w:r>
    </w:p>
    <w:p>
      <w:pPr>
        <w:spacing w:after="1600"/>
        <w:jc w:val="center"/>
      </w:pPr>
      <w:r>
        <w:rPr>
          <w:rFonts w:ascii="Calibri" w:hAnsi="Calibri"/>
          <w:i/>
          <w:color w:val="5B6570"/>
          <w:sz w:val="22"/>
        </w:rPr>
        <w:t>Kanonický model komponent, capabilities, pověření, oprávnění, auditních streamů a kompatibilních adaptérů.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Vlastnost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Hodnota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Dopad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COMPATIBLE IMPACT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Katalogová změna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MINOR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Release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 protokol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2025-11-25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Lokalizace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Čeština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Účel a kompatibilita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Katalog 2026.07.21 zavádí komponentu jako jediný zdroj identity, KCML hostname, kategorie, registračního typu, role, vlastníka a oddělených stavů. Historické katalogy a migrace zůstávají neměnné.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Stávající MCP, managed-service, Kaja a onboarding rozhraní zůstávají funkční jako adaptéry. Deaktivace technicky zablokuje ingress, Pulse a egress, zvýší policy_epoch, ale nerevokuje dlouhodobé component credential.</w:t>
      </w:r>
    </w:p>
    <w:p>
      <w:pPr>
        <w:pStyle w:val="Heading1"/>
      </w:pPr>
      <w:r>
        <w:t>2. Komponentový kontrakt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Oblast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Kanonická pravidla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Identita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UUID, KCML kód a výhradní kcmlNNNN.&lt;domain&gt; hostname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Revize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Manifest, digest, capabilities, protokoly, transporty a odvozené gates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Autorizace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OAuth client credentials, krátkodobé audience-bound tokeny a aktuální route/scope kontrola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Stavy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Lifecycle, activation, operational, monitoring a recertification jsou oddělené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Audit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Sekvenční stream, detekce mezer, replay, ACK a korelace</w:t>
            </w:r>
          </w:p>
        </w:tc>
      </w:tr>
    </w:tbl>
    <w:p>
      <w:pPr>
        <w:spacing w:after="0"/>
      </w:pPr>
    </w:p>
    <w:p>
      <w:pPr>
        <w:pStyle w:val="Heading1"/>
      </w:pPr>
      <w:r>
        <w:t>3. Kategorie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Kategorie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Role / použití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AI_CLIENT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Klientský principal a spotřebitel capabilities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AI_AGENT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Agentní workflow a řízené tool scopes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MCP_SERVER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Povinný MCP modul a streamable HTTP transport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MANAGED_RUNTIME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Spravovaný výpočetní runtime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EXTERNAL_SERVICE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Externí služba dostupná pouze přes KCML gateway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PLATFORM_SERVICE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Řídicí, auditní, monitoring nebo bezpečnostní služba</w:t>
            </w:r>
          </w:p>
        </w:tc>
      </w:tr>
    </w:tbl>
    <w:p>
      <w:pPr>
        <w:spacing w:after="0"/>
      </w:pPr>
    </w:p>
    <w:p>
      <w:pPr>
        <w:pStyle w:val="Heading1"/>
      </w:pPr>
      <w:r>
        <w:t>4. Povinné aktivační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Gate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Podmínka aktivace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AUTHORIZATION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Funkční OAuth a aktuální kontrola audience, scope a route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PUBLIC_ENDPOINT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Výhradní KCML hostname; alternativní host/IP/port/service name se odmítá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TECHNICAL_DISABLE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Ověřený mechanismus okamžitého zablokování ingress/Pulse/egress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MONITORING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Aktivní profil a zdravé povinné sondy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AUDIT_CONTINUITY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Dostupný souvislý stream bez nevyřešené mezery</w:t>
            </w:r>
          </w:p>
        </w:tc>
      </w:tr>
    </w:tbl>
    <w:p>
      <w:pPr>
        <w:spacing w:after="0"/>
      </w:pPr>
    </w:p>
    <w:p>
      <w:pPr>
        <w:pStyle w:val="Heading1"/>
      </w:pPr>
      <w:r>
        <w:t>5. Capability kontrakty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2100"/>
        <w:gridCol w:w="3360"/>
      </w:tblGrid>
      <w:tr>
        <w:trPr>
          <w:tblHeader/>
        </w:trPr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Capability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Protokol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Požadavek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mcp.initialize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Povinné pro MCP_SERVER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mcp.notifications.initialized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Povinné pro MCP_SERVER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mcp.tools.list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Povinné pro MCP_SERVER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mcp.tools.call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Povinné pro MCP_SERVER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component.discovery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HTTPS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Discovery kontrakt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component.pulse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KCML Pulse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Monitoring a provozní stav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component.audit.write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KCML Audit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Sekvenční audit ingest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Onboarding API v2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Operace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Endpoint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Výsledek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Vytvořit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POST /v2/component-onboardings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Job a přidělená KCML identita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Stav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GET /v2/component-onboardings/{id}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Aktuální stav a gates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Revize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POST /v2/component-onboardings/{id}/revisions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Nová kanonická revize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Readiness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POST /v2/component-onboardings/{id}/readiness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Vyhodnocení gates a claim token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Credential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POST /v2/component-onboardings/{id}/credential-claims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Jednorázové zobrazení client secret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Zrušit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DELETE /v2/component-onboardings/{id}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Auditované zrušení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/>
          <w:sz w:val="22"/>
        </w:rPr>
        <w:t>Component secret se neukládá v otevřené podobě. Uchovává se pouze HMAC digest a bezpečný fingerprint; rotace a revokace jsou explicitní operace.</w:t>
      </w:r>
    </w:p>
    <w:p>
      <w:pPr>
        <w:pStyle w:val="Heading1"/>
      </w:pPr>
      <w:r>
        <w:t>7. Autorizační důvody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Stabilní kód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Český význam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invalid_token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Token není platný.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expired_token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Platnost tokenu vypršela.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revoked_token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Token nebo pověření bylo revokováno.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insufficient_scope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Chybí požadovaný scope.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invalid_audience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Audience nebo hostname neodpovídá cílové komponentě.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component_disabled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Komponenta je deaktivovaná.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component_quarantined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Komponenta je v karanténě.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route_denied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Aktuální route oprávnění volání nepovoluje.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catalog_incompatible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Revize komponenty není kompatibilní s aktuálním katalogem.</w:t>
            </w:r>
          </w:p>
        </w:tc>
      </w:tr>
    </w:tbl>
    <w:p>
      <w:pPr>
        <w:spacing w:after="0"/>
      </w:pPr>
    </w:p>
    <w:p>
      <w:pPr>
        <w:pStyle w:val="Heading1"/>
      </w:pPr>
      <w:r>
        <w:t>8. Auditní rekonstrukce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Každá událost nese workflow a krok, iniciátora, čas, model/tool/službu, bezpečně klasifikované vstupy a výstupy, principal/fingerprint, scope/route rozhodnutí, protokolový výsledek, retry/idempotency, correlation/causation/trace/span, změnu stavu a verzi katalogu.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Přijaté sekvence jsou potvrzovány. Skok vytvoří GAP_DETECTED a replay požadavek od první chybějící sekvence. Nevyřešená mezera blokuje aktivaci; překročení grace limitu vede k bezpečnému odstavení nebo karanténě.</w:t>
      </w:r>
    </w:p>
    <w:p>
      <w:pPr>
        <w:pStyle w:val="Heading1"/>
      </w:pPr>
      <w:r>
        <w:t>9. Kompatibilitní matice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Klient / artefakt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2026.07.20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2026.07.21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 blueprint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Adaptér - podporováno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Kanonický profil - podporováno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AI/Kaja klient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Adaptér - podporováno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Komponentový principal - podporováno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Managed service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Adaptér - podporováno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Kanonický profil - podporováno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Manifest 1.4 / 1.5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Pouze uložené/migrační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Pouze uložené/migrační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Manifest 2026.07.20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Nový intake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Kompatibilní adaptér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Manifest 2026.07.21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Není dostupný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Nový intake</w:t>
            </w:r>
          </w:p>
        </w:tc>
      </w:tr>
    </w:tbl>
    <w:p>
      <w:pPr>
        <w:spacing w:after="0"/>
      </w:pPr>
    </w:p>
    <w:p>
      <w:pPr>
        <w:pStyle w:val="Heading1"/>
      </w:pPr>
      <w:r>
        <w:t>10. Provozní zásady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Gateway ověřuje Host, SNI a token audience. Interní runtime hop není zvenku adresovatelný. Autorizační rozhodnutí při každém volání čte aktuální databázový stav a aktuální route/scope oprávnění; dlouhá lokální cache se nepoužívá.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Retirement, deregistration, revokace, karanténa a monitoring failure jsou samostatné auditované operace. Žádná z nich není implicitním vedlejším účinkem prosté technické deaktivace.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0"/>
        <w:sz w:val="17"/>
      </w:rPr>
      <w:t>COMPATIBLE IMPACT | katalogová změna MINOR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0"/>
        <w:sz w:val="18"/>
      </w:rPr>
      <w:t>KCML | Onboarding Catalog 2026.07.21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KajovoCML Onboarding Catalog 2026.07.21</dc:title>
  <dc:subject>Obecný komponentový model KCML</dc:subject>
  <dc:creator>KajovoCML</dc:creator>
  <cp:keywords>KCML, component, onboarding, OAuth,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