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60"/>
        </w:rPr>
        <w:t>CONNECT IN CATALOG</w:t>
      </w:r>
    </w:p>
    <w:p>
      <w:pPr>
        <w:jc w:val="center"/>
      </w:pPr>
      <w:r>
        <w:rPr>
          <w:b/>
          <w:sz w:val="30"/>
        </w:rPr>
        <w:t>Vývojářský integrační standard pro nový samostatný MCP server v systému KajovoMCPCML</w:t>
      </w:r>
    </w:p>
    <w:p>
      <w:pPr>
        <w:jc w:val="center"/>
      </w:pPr>
      <w:r>
        <w:rPr>
          <w:i/>
        </w:rPr>
        <w:t>SSOT - jediný závazný dokument pro připojení do katalogu</w:t>
      </w:r>
    </w:p>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Stav dokumentu</w:t>
            </w:r>
          </w:p>
        </w:tc>
        <w:tc>
          <w:tcPr>
            <w:tcW w:type="dxa" w:w="5112"/>
            <w:shd w:fill="EAF2F8"/>
            <w:tcMar>
              <w:top w:w="80" w:type="dxa"/>
              <w:start w:w="100" w:type="dxa"/>
              <w:bottom w:w="80" w:type="dxa"/>
              <w:end w:w="100" w:type="dxa"/>
            </w:tcMar>
            <w:vAlign w:val="center"/>
          </w:tcPr>
          <w:p>
            <w:r>
              <w:t>Závazný integrační a generativní kontrakt pro implementaci, registraci, autorizaci, monitoring, ověření a provoz každého nového KCML MCP serveru.</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Cílový systém</w:t>
            </w:r>
          </w:p>
        </w:tc>
        <w:tc>
          <w:tcPr>
            <w:tcW w:type="dxa" w:w="5112"/>
            <w:shd w:fill="EAF2F8"/>
            <w:tcMar>
              <w:top w:w="80" w:type="dxa"/>
              <w:start w:w="100" w:type="dxa"/>
              <w:bottom w:w="80" w:type="dxa"/>
              <w:end w:w="100" w:type="dxa"/>
            </w:tcMar>
            <w:vAlign w:val="center"/>
          </w:tcPr>
          <w:p>
            <w:r>
              <w:rPr>
                <w:sz w:val="18"/>
              </w:rPr>
              <w:t>GitHub repozitář karelmartinek-a11y/KajovoMCPCML, produkční Ubuntu server, veřejná doména hcasc.cz.</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Základní princip</w:t>
            </w:r>
          </w:p>
        </w:tc>
        <w:tc>
          <w:tcPr>
            <w:tcW w:type="dxa" w:w="5112"/>
            <w:shd w:fill="EAF2F8"/>
            <w:tcMar>
              <w:top w:w="80" w:type="dxa"/>
              <w:start w:w="100" w:type="dxa"/>
              <w:bottom w:w="80" w:type="dxa"/>
              <w:end w:w="100" w:type="dxa"/>
            </w:tcMar>
            <w:vAlign w:val="center"/>
          </w:tcPr>
          <w:p>
            <w:r>
              <w:rPr>
                <w:sz w:val="18"/>
              </w:rPr>
              <w:t>Jedna KCML funkce = jeden samostatně působící MCP server = jedna jedinečná subdoména = právě jeden zveřejněný MCP nástroj.</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Nevyjednatelné</w:t>
            </w:r>
          </w:p>
        </w:tc>
        <w:tc>
          <w:tcPr>
            <w:tcW w:type="dxa" w:w="5112"/>
            <w:shd w:fill="EAF2F8"/>
            <w:tcMar>
              <w:top w:w="80" w:type="dxa"/>
              <w:start w:w="100" w:type="dxa"/>
              <w:bottom w:w="80" w:type="dxa"/>
              <w:end w:w="100" w:type="dxa"/>
            </w:tcMar>
            <w:vAlign w:val="center"/>
          </w:tcPr>
          <w:p>
            <w:r>
              <w:rPr>
                <w:sz w:val="18"/>
              </w:rPr>
              <w:t>Žádný nový MCP server nesmí být dostupný přes jinou KCML adresu, společný vícefunkční MCP endpoint ani skrytou alternativní cestu.</w:t>
            </w:r>
          </w:p>
        </w:tc>
      </w:tr>
    </w:tbl>
    <w:p>
      <w:pPr>
        <w:spacing w:after="0"/>
      </w:pPr>
    </w:p>
    <w:p>
      <w:pPr>
        <w:spacing w:before="700"/>
        <w:jc w:val="center"/>
      </w:pPr>
      <w:r>
        <w:rPr>
          <w:rFonts w:ascii="Aptos" w:hAnsi="Aptos"/>
          <w:sz w:val="20"/>
        </w:rPr>
        <w:t>Verze 1.1  |  13. července 2026</w:t>
      </w:r>
    </w:p>
    <w:p>
      <w:r>
        <w:br w:type="page"/>
      </w:r>
    </w:p>
    <w:p>
      <w:pPr>
        <w:pStyle w:val="Heading1"/>
        <w:keepNext/>
        <w:keepLines/>
      </w:pPr>
      <w:r>
        <w:t>1. Účel a rozsah dokumentu</w:t>
      </w:r>
    </w:p>
    <w:p>
      <w:r>
        <w:t>Tento dokument určuje přesný postup a technické podmínky, které musí splnit vývojář přidávající nový MCP server do systému KajovoMCPCML. Dokument pokrývá implementaci handleru, veřejnou identitu serveru, MCP kontrakt, registraci do katalogu, autorizaci, tokenizaci, monitoring, audit, logging, testy a produkční aktivaci. Verze 1.1 navíc stanoví závazný generativní protokol pro situaci, kdy je tento dokument přiložen k zadání nového MCP serveru, a vyžaduje strojově ověřitelné důkazy shody.</w:t>
      </w:r>
    </w:p>
    <w:p>
      <w:r>
        <w:t>Dokument není obecné doporučení. Každý bod označený jako MUST, MUSÍ, NESMÍ nebo NEVYJEDNATELNÉ je release gate. Nesplnění jediného takového bodu znamená, že server nesmí být aktivován.</w:t>
      </w:r>
    </w:p>
    <w:p>
      <w:pPr>
        <w:pStyle w:val="Heading1"/>
        <w:keepNext/>
        <w:keepLines/>
      </w:pPr>
      <w:r>
        <w:t>2. Terminologie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Pojem</w:t>
            </w:r>
          </w:p>
        </w:tc>
        <w:tc>
          <w:tcPr>
            <w:tcW w:type="dxa" w:w="5112"/>
            <w:shd w:fill="1F4E78"/>
          </w:tcPr>
          <w:p>
            <w:r>
              <w:rPr>
                <w:b/>
                <w:color w:val="FFFFFF"/>
                <w:sz w:val="18"/>
              </w:rPr>
              <w:t>Závazný význam</w:t>
            </w:r>
          </w:p>
        </w:tc>
      </w:tr>
      <w:tr>
        <w:trPr>
          <w:cantSplit/>
        </w:trPr>
        <w:tc>
          <w:tcPr>
            <w:tcW w:type="dxa" w:w="5112"/>
            <w:tcMar>
              <w:top w:w="80" w:type="dxa"/>
              <w:start w:w="100" w:type="dxa"/>
              <w:bottom w:w="80" w:type="dxa"/>
              <w:end w:w="100" w:type="dxa"/>
            </w:tcMar>
          </w:tcPr>
          <w:p>
            <w:r>
              <w:rPr>
                <w:sz w:val="18"/>
              </w:rPr>
              <w:t>Správce MCP serverů</w:t>
            </w:r>
          </w:p>
        </w:tc>
        <w:tc>
          <w:tcPr>
            <w:tcW w:type="dxa" w:w="5112"/>
            <w:tcMar>
              <w:top w:w="80" w:type="dxa"/>
              <w:start w:w="100" w:type="dxa"/>
              <w:bottom w:w="80" w:type="dxa"/>
              <w:end w:w="100" w:type="dxa"/>
            </w:tcMar>
          </w:tcPr>
          <w:p>
            <w:r>
              <w:rPr>
                <w:sz w:val="18"/>
              </w:rPr>
              <w:t>Centrální aplikace KajovoMCPCML, která provozuje katalog, autorizaci, tokeny, monitoring, audit a směrování všech KCML serverů.</w:t>
            </w:r>
          </w:p>
        </w:tc>
      </w:tr>
      <w:tr>
        <w:trPr>
          <w:cantSplit/>
        </w:trPr>
        <w:tc>
          <w:tcPr>
            <w:tcW w:type="dxa" w:w="5112"/>
            <w:tcMar>
              <w:top w:w="80" w:type="dxa"/>
              <w:start w:w="100" w:type="dxa"/>
              <w:bottom w:w="80" w:type="dxa"/>
              <w:end w:w="100" w:type="dxa"/>
            </w:tcMar>
          </w:tcPr>
          <w:p>
            <w:r>
              <w:rPr>
                <w:sz w:val="18"/>
              </w:rPr>
              <w:t>KCML server</w:t>
            </w:r>
          </w:p>
        </w:tc>
        <w:tc>
          <w:tcPr>
            <w:tcW w:type="dxa" w:w="5112"/>
            <w:tcMar>
              <w:top w:w="80" w:type="dxa"/>
              <w:start w:w="100" w:type="dxa"/>
              <w:bottom w:w="80" w:type="dxa"/>
              <w:end w:w="100" w:type="dxa"/>
            </w:tcMar>
          </w:tcPr>
          <w:p>
            <w:r>
              <w:rPr>
                <w:sz w:val="18"/>
              </w:rPr>
              <w:t>Jedna samostatně působící veřejná MCP služba identifikovaná kódem KCMLxxxx a vlastní subdoménou.</w:t>
            </w:r>
          </w:p>
        </w:tc>
      </w:tr>
      <w:tr>
        <w:trPr>
          <w:cantSplit/>
        </w:trPr>
        <w:tc>
          <w:tcPr>
            <w:tcW w:type="dxa" w:w="5112"/>
            <w:tcMar>
              <w:top w:w="80" w:type="dxa"/>
              <w:start w:w="100" w:type="dxa"/>
              <w:bottom w:w="80" w:type="dxa"/>
              <w:end w:w="100" w:type="dxa"/>
            </w:tcMar>
          </w:tcPr>
          <w:p>
            <w:r>
              <w:rPr>
                <w:sz w:val="18"/>
              </w:rPr>
              <w:t>KCML funkce</w:t>
            </w:r>
          </w:p>
        </w:tc>
        <w:tc>
          <w:tcPr>
            <w:tcW w:type="dxa" w:w="5112"/>
            <w:tcMar>
              <w:top w:w="80" w:type="dxa"/>
              <w:start w:w="100" w:type="dxa"/>
              <w:bottom w:w="80" w:type="dxa"/>
              <w:end w:w="100" w:type="dxa"/>
            </w:tcMar>
          </w:tcPr>
          <w:p>
            <w:r>
              <w:rPr>
                <w:sz w:val="18"/>
              </w:rPr>
              <w:t>Jediný nástroj zveřejněný daným KCML serverem přes tools/list a volaný přes tools/call.</w:t>
            </w:r>
          </w:p>
        </w:tc>
      </w:tr>
      <w:tr>
        <w:trPr>
          <w:cantSplit/>
        </w:trPr>
        <w:tc>
          <w:tcPr>
            <w:tcW w:type="dxa" w:w="5112"/>
            <w:tcMar>
              <w:top w:w="80" w:type="dxa"/>
              <w:start w:w="100" w:type="dxa"/>
              <w:bottom w:w="80" w:type="dxa"/>
              <w:end w:w="100" w:type="dxa"/>
            </w:tcMar>
          </w:tcPr>
          <w:p>
            <w:r>
              <w:rPr>
                <w:sz w:val="18"/>
              </w:rPr>
              <w:t>Handler</w:t>
            </w:r>
          </w:p>
        </w:tc>
        <w:tc>
          <w:tcPr>
            <w:tcW w:type="dxa" w:w="5112"/>
            <w:tcMar>
              <w:top w:w="80" w:type="dxa"/>
              <w:start w:w="100" w:type="dxa"/>
              <w:bottom w:w="80" w:type="dxa"/>
              <w:end w:w="100" w:type="dxa"/>
            </w:tcMar>
          </w:tcPr>
          <w:p>
            <w:r>
              <w:rPr>
                <w:sz w:val="18"/>
              </w:rPr>
              <w:t>Interní programová implementace konkrétní funkce. Handler není veřejný endpoint a není samostatnou autorizační autoritou.</w:t>
            </w:r>
          </w:p>
        </w:tc>
      </w:tr>
      <w:tr>
        <w:trPr>
          <w:cantSplit/>
        </w:trPr>
        <w:tc>
          <w:tcPr>
            <w:tcW w:type="dxa" w:w="5112"/>
            <w:tcMar>
              <w:top w:w="80" w:type="dxa"/>
              <w:start w:w="100" w:type="dxa"/>
              <w:bottom w:w="80" w:type="dxa"/>
              <w:end w:w="100" w:type="dxa"/>
            </w:tcMar>
          </w:tcPr>
          <w:p>
            <w:r>
              <w:rPr>
                <w:sz w:val="18"/>
              </w:rPr>
              <w:t>Kaja pověření</w:t>
            </w:r>
          </w:p>
        </w:tc>
        <w:tc>
          <w:tcPr>
            <w:tcW w:type="dxa" w:w="5112"/>
            <w:tcMar>
              <w:top w:w="80" w:type="dxa"/>
              <w:start w:w="100" w:type="dxa"/>
              <w:bottom w:w="80" w:type="dxa"/>
              <w:end w:w="100" w:type="dxa"/>
            </w:tcMar>
          </w:tcPr>
          <w:p>
            <w:r>
              <w:rPr>
                <w:sz w:val="18"/>
              </w:rPr>
              <w:t>Dlouhodobé klientské pověření aplikace, agenta nebo uživatele: veřejné ID KajaXXXX a jednorázově zobrazené tajemství.</w:t>
            </w:r>
          </w:p>
        </w:tc>
      </w:tr>
      <w:tr>
        <w:trPr>
          <w:cantSplit/>
        </w:trPr>
        <w:tc>
          <w:tcPr>
            <w:tcW w:type="dxa" w:w="5112"/>
            <w:tcMar>
              <w:top w:w="80" w:type="dxa"/>
              <w:start w:w="100" w:type="dxa"/>
              <w:bottom w:w="80" w:type="dxa"/>
              <w:end w:w="100" w:type="dxa"/>
            </w:tcMar>
          </w:tcPr>
          <w:p>
            <w:r>
              <w:rPr>
                <w:sz w:val="18"/>
              </w:rPr>
              <w:t>Access token</w:t>
            </w:r>
          </w:p>
        </w:tc>
        <w:tc>
          <w:tcPr>
            <w:tcW w:type="dxa" w:w="5112"/>
            <w:tcMar>
              <w:top w:w="80" w:type="dxa"/>
              <w:start w:w="100" w:type="dxa"/>
              <w:bottom w:w="80" w:type="dxa"/>
              <w:end w:w="100" w:type="dxa"/>
            </w:tcMar>
          </w:tcPr>
          <w:p>
            <w:r>
              <w:rPr>
                <w:sz w:val="18"/>
              </w:rPr>
              <w:t>Krátkodobý Bearer token vydaný autorizačním serverem pro jediný konkrétní KCML resource.</w:t>
            </w:r>
          </w:p>
        </w:tc>
      </w:tr>
      <w:tr>
        <w:trPr>
          <w:cantSplit/>
        </w:trPr>
        <w:tc>
          <w:tcPr>
            <w:tcW w:type="dxa" w:w="5112"/>
            <w:tcMar>
              <w:top w:w="80" w:type="dxa"/>
              <w:start w:w="100" w:type="dxa"/>
              <w:bottom w:w="80" w:type="dxa"/>
              <w:end w:w="100" w:type="dxa"/>
            </w:tcMar>
          </w:tcPr>
          <w:p>
            <w:r>
              <w:rPr>
                <w:sz w:val="18"/>
              </w:rPr>
              <w:t>Resource</w:t>
            </w:r>
          </w:p>
        </w:tc>
        <w:tc>
          <w:tcPr>
            <w:tcW w:type="dxa" w:w="5112"/>
            <w:tcMar>
              <w:top w:w="80" w:type="dxa"/>
              <w:start w:w="100" w:type="dxa"/>
              <w:bottom w:w="80" w:type="dxa"/>
              <w:end w:w="100" w:type="dxa"/>
            </w:tcMar>
          </w:tcPr>
          <w:p>
            <w:r>
              <w:rPr>
                <w:sz w:val="18"/>
              </w:rPr>
              <w:t>Kanonická adresa konkrétního MCP serveru, například https://kcml0001.hcasc.cz/mcp.</w:t>
            </w:r>
          </w:p>
        </w:tc>
      </w:tr>
      <w:tr>
        <w:trPr>
          <w:cantSplit/>
        </w:trPr>
        <w:tc>
          <w:tcPr>
            <w:tcW w:type="dxa" w:w="5112"/>
            <w:tcMar>
              <w:top w:w="80" w:type="dxa"/>
              <w:start w:w="100" w:type="dxa"/>
              <w:bottom w:w="80" w:type="dxa"/>
              <w:end w:w="100" w:type="dxa"/>
            </w:tcMar>
          </w:tcPr>
          <w:p>
            <w:r>
              <w:rPr>
                <w:sz w:val="18"/>
              </w:rPr>
              <w:t>Katalog</w:t>
            </w:r>
          </w:p>
        </w:tc>
        <w:tc>
          <w:tcPr>
            <w:tcW w:type="dxa" w:w="5112"/>
            <w:tcMar>
              <w:top w:w="80" w:type="dxa"/>
              <w:start w:w="100" w:type="dxa"/>
              <w:bottom w:w="80" w:type="dxa"/>
              <w:end w:w="100" w:type="dxa"/>
            </w:tcMar>
          </w:tcPr>
          <w:p>
            <w:r>
              <w:rPr>
                <w:sz w:val="18"/>
              </w:rPr>
              <w:t>Databázový registr všech KCML serverů, jejich kontraktů, stavů, handlerů, oprávnění a provozních metrik.</w:t>
            </w:r>
          </w:p>
        </w:tc>
      </w:tr>
    </w:tbl>
    <w:p>
      <w:pPr>
        <w:pStyle w:val="Heading1"/>
        <w:keepNext/>
        <w:keepLines/>
      </w:pPr>
      <w:r>
        <w:t>3. Nevyjednatelný model izolace</w:t>
      </w: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MUST-ISO-01</w:t>
            </w:r>
          </w:p>
        </w:tc>
        <w:tc>
          <w:tcPr>
            <w:tcW w:type="dxa" w:w="5112"/>
            <w:shd w:fill="EAF2F8"/>
            <w:tcMar>
              <w:top w:w="80" w:type="dxa"/>
              <w:start w:w="100" w:type="dxa"/>
              <w:bottom w:w="80" w:type="dxa"/>
              <w:end w:w="100" w:type="dxa"/>
            </w:tcMar>
            <w:vAlign w:val="center"/>
          </w:tcPr>
          <w:p>
            <w:r>
              <w:rPr>
                <w:sz w:val="18"/>
              </w:rPr>
              <w:t>Každý kód KCMLxxxx představuje samostatný MCP server z pohledu klienta, přestože servery fyzicky běží v jednom procesu, jedné aplikaci nebo na jednom produkčním hostiteli.</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MUST-ISO-02</w:t>
            </w:r>
          </w:p>
        </w:tc>
        <w:tc>
          <w:tcPr>
            <w:tcW w:type="dxa" w:w="5112"/>
            <w:shd w:fill="EAF2F8"/>
            <w:tcMar>
              <w:top w:w="80" w:type="dxa"/>
              <w:start w:w="100" w:type="dxa"/>
              <w:bottom w:w="80" w:type="dxa"/>
              <w:end w:w="100" w:type="dxa"/>
            </w:tcMar>
            <w:vAlign w:val="center"/>
          </w:tcPr>
          <w:p>
            <w:r>
              <w:rPr>
                <w:sz w:val="18"/>
              </w:rPr>
              <w:t>Server KCML0001 je dostupný pouze na https://kcml0001.hcasc.cz/mcp. Na kcml0002.hcasc.cz ani na žádné jiné adrese nesmí být jeho nástroj uveden ani volatelný.</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MUST-ISO-03</w:t>
            </w:r>
          </w:p>
        </w:tc>
        <w:tc>
          <w:tcPr>
            <w:tcW w:type="dxa" w:w="5112"/>
            <w:shd w:fill="EAF2F8"/>
            <w:tcMar>
              <w:top w:w="80" w:type="dxa"/>
              <w:start w:w="100" w:type="dxa"/>
              <w:bottom w:w="80" w:type="dxa"/>
              <w:end w:w="100" w:type="dxa"/>
            </w:tcMar>
            <w:vAlign w:val="center"/>
          </w:tcPr>
          <w:p>
            <w:r>
              <w:rPr>
                <w:sz w:val="18"/>
              </w:rPr>
              <w:t>Každý KCML server zveřejní přes tools/list právě jeden nástroj. tools/call s jiným názvem musí skončit chybou Invalid tool for resource.</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MUST-ISO-04</w:t>
            </w:r>
          </w:p>
        </w:tc>
        <w:tc>
          <w:tcPr>
            <w:tcW w:type="dxa" w:w="5112"/>
            <w:shd w:fill="EAF2F8"/>
            <w:tcMar>
              <w:top w:w="80" w:type="dxa"/>
              <w:start w:w="100" w:type="dxa"/>
              <w:bottom w:w="80" w:type="dxa"/>
              <w:end w:w="100" w:type="dxa"/>
            </w:tcMar>
            <w:vAlign w:val="center"/>
          </w:tcPr>
          <w:p>
            <w:r>
              <w:rPr>
                <w:sz w:val="18"/>
              </w:rPr>
              <w:t>Nesmí existovat veřejný společný endpoint, přes který lze volat více KCML funkcí podle parametru, kódu, názvu nebo cesty.</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MUST-ISO-05</w:t>
            </w:r>
          </w:p>
        </w:tc>
        <w:tc>
          <w:tcPr>
            <w:tcW w:type="dxa" w:w="5112"/>
            <w:shd w:fill="EAF2F8"/>
            <w:tcMar>
              <w:top w:w="80" w:type="dxa"/>
              <w:start w:w="100" w:type="dxa"/>
              <w:bottom w:w="80" w:type="dxa"/>
              <w:end w:w="100" w:type="dxa"/>
            </w:tcMar>
            <w:vAlign w:val="center"/>
          </w:tcPr>
          <w:p>
            <w:r>
              <w:rPr>
                <w:sz w:val="18"/>
              </w:rPr>
              <w:t>Rozlišení serveru musí být provedeno podle přesného Host headeru a záznamu hostname v katalogu. Neznámý host musí být odmítnut fail-closed odpovědí.</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3F4F6"/>
            <w:tcMar>
              <w:top w:w="120" w:type="dxa"/>
              <w:start w:w="140" w:type="dxa"/>
              <w:bottom w:w="120" w:type="dxa"/>
              <w:end w:w="140" w:type="dxa"/>
            </w:tcMar>
          </w:tcPr>
          <w:p>
            <w:r>
              <w:rPr>
                <w:rFonts w:ascii="DejaVu Sans Mono" w:hAnsi="DejaVu Sans Mono"/>
                <w:sz w:val="18"/>
              </w:rPr>
              <w:t>Klient -&gt; https://kcml0001.hcasc.cz/mcp -&gt; pouze nástroj KCML0001</w:t>
            </w:r>
            <w:r>
              <w:rPr>
                <w:sz w:val="18"/>
              </w:rPr>
              <w:br/>
            </w:r>
            <w:r>
              <w:rPr>
                <w:rFonts w:ascii="DejaVu Sans Mono" w:hAnsi="DejaVu Sans Mono"/>
                <w:sz w:val="18"/>
              </w:rPr>
              <w:t>Klient -&gt; https://kcml0002.hcasc.cz/mcp -&gt; pouze nástroj KCML0002</w:t>
            </w:r>
            <w:r>
              <w:rPr>
                <w:sz w:val="18"/>
              </w:rPr>
              <w:br/>
            </w:r>
            <w:r>
              <w:rPr>
                <w:rFonts w:ascii="DejaVu Sans Mono" w:hAnsi="DejaVu Sans Mono"/>
                <w:sz w:val="18"/>
              </w:rPr>
              <w:t>KCML0001 přes kcml0002.hcasc.cz -&gt; povinně odmítnout</w:t>
            </w:r>
            <w:r>
              <w:rPr>
                <w:sz w:val="18"/>
              </w:rPr>
              <w:br/>
            </w:r>
            <w:r>
              <w:rPr>
                <w:rFonts w:ascii="DejaVu Sans Mono" w:hAnsi="DejaVu Sans Mono"/>
                <w:sz w:val="18"/>
              </w:rPr>
              <w:t>Neznámá subdoména -&gt; povinně 404, bez informací o existujících serverech</w:t>
            </w:r>
          </w:p>
        </w:tc>
      </w:tr>
    </w:tbl>
    <w:p>
      <w:pPr>
        <w:spacing w:after="0"/>
      </w:pPr>
    </w:p>
    <w:p>
      <w:pPr>
        <w:pStyle w:val="Heading1"/>
        <w:keepNext/>
        <w:keepLines/>
      </w:pPr>
      <w:r>
        <w:t>4. Aktuální architektonický základ repozitáře</w:t>
      </w:r>
    </w:p>
    <w:p>
      <w:r>
        <w:t>Aktuální implementace používá Node.js 22, TypeScript, Fastify, PostgreSQL, React/Vite administraci a pnpm monorepo. Aplikace naslouchá interně na 127.0.0.1 a veřejné HTTPS směrování zajišťuje produkční reverse proxy.</w:t>
      </w:r>
    </w:p>
    <w:p>
      <w:pPr>
        <w:pStyle w:val="ListBullet"/>
      </w:pPr>
      <w:r>
        <w:t>apps/server/src/http/mcp.ts: MCP endpoint /mcp, OAuth protected-resource metadata, Bearer kontrola, tools/list, tools/call, validace vstupu a výstupu, statistiky a audit.</w:t>
      </w:r>
    </w:p>
    <w:p>
      <w:pPr>
        <w:pStyle w:val="ListBullet"/>
      </w:pPr>
      <w:r>
        <w:t>apps/server/src/domain/catalog.ts: vyhledání serveru podle přesného hostname a kanonický resource https://&lt;hostname&gt;/mcp.</w:t>
      </w:r>
    </w:p>
    <w:p>
      <w:pPr>
        <w:pStyle w:val="ListBullet"/>
      </w:pPr>
      <w:r>
        <w:t>apps/server/src/domain/auth.ts: Kaja pověření, vydání krátkodobého access tokenu, vazba tokenu na konkrétní audience/resource a ověření oprávnění.</w:t>
      </w:r>
    </w:p>
    <w:p>
      <w:pPr>
        <w:pStyle w:val="ListBullet"/>
      </w:pPr>
      <w:r>
        <w:t>apps/server/src/handlers/registry.ts: registr handleru pod jednoznačným klíčem handlerKey@handlerVersion a odmítnutí duplicity.</w:t>
      </w:r>
    </w:p>
    <w:p>
      <w:pPr>
        <w:pStyle w:val="ListBullet"/>
      </w:pPr>
      <w:r>
        <w:t>apps/server/src/http/admin-routes.ts: administrátorská relace, přehled serverů, generování Kaja pověření a auditní výpis.</w:t>
      </w:r>
    </w:p>
    <w:p>
      <w:pPr>
        <w:pStyle w:val="ListBullet"/>
      </w:pPr>
      <w:r>
        <w:t>Aktuální protokolová verze v initialize odpovědi: 2025-11-25.</w:t>
      </w:r>
    </w:p>
    <w:p>
      <w:pPr>
        <w:pStyle w:val="Heading1"/>
        <w:keepNext/>
        <w:keepLines/>
      </w:pPr>
      <w:r>
        <w:t>5. Povinné artefakty nového KCML serveru</w:t>
      </w:r>
    </w:p>
    <w:p>
      <w:r>
        <w:t>Vývojář musí dodat všechny níže uvedené artefakty v jednom pull requestu nebo jednom auditovatelném commitu. Částečná registrace bez handleru, kontraktu, testů nebo katalogového manifestu je zakázána.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Artefakt</w:t>
            </w:r>
          </w:p>
        </w:tc>
        <w:tc>
          <w:tcPr>
            <w:tcW w:type="dxa" w:w="5112"/>
            <w:shd w:fill="1F4E78"/>
          </w:tcPr>
          <w:p>
            <w:r>
              <w:rPr>
                <w:b/>
                <w:color w:val="FFFFFF"/>
                <w:sz w:val="18"/>
              </w:rPr>
              <w:t>Povinný obsah</w:t>
            </w:r>
          </w:p>
        </w:tc>
      </w:tr>
      <w:tr>
        <w:trPr>
          <w:cantSplit/>
        </w:trPr>
        <w:tc>
          <w:tcPr>
            <w:tcW w:type="dxa" w:w="5112"/>
            <w:tcMar>
              <w:top w:w="80" w:type="dxa"/>
              <w:start w:w="100" w:type="dxa"/>
              <w:bottom w:w="80" w:type="dxa"/>
              <w:end w:w="100" w:type="dxa"/>
            </w:tcMar>
          </w:tcPr>
          <w:p>
            <w:r>
              <w:rPr>
                <w:sz w:val="18"/>
              </w:rPr>
              <w:t>Handler implementace</w:t>
            </w:r>
          </w:p>
        </w:tc>
        <w:tc>
          <w:tcPr>
            <w:tcW w:type="dxa" w:w="5112"/>
            <w:tcMar>
              <w:top w:w="80" w:type="dxa"/>
              <w:start w:w="100" w:type="dxa"/>
              <w:bottom w:w="80" w:type="dxa"/>
              <w:end w:w="100" w:type="dxa"/>
            </w:tcMar>
          </w:tcPr>
          <w:p>
            <w:r>
              <w:rPr>
                <w:sz w:val="18"/>
              </w:rPr>
              <w:t>Programová funkce implementující KcmlHandler s key, version a asynchronním invoke.</w:t>
            </w:r>
          </w:p>
        </w:tc>
      </w:tr>
      <w:tr>
        <w:trPr>
          <w:cantSplit/>
        </w:trPr>
        <w:tc>
          <w:tcPr>
            <w:tcW w:type="dxa" w:w="5112"/>
            <w:tcMar>
              <w:top w:w="80" w:type="dxa"/>
              <w:start w:w="100" w:type="dxa"/>
              <w:bottom w:w="80" w:type="dxa"/>
              <w:end w:w="100" w:type="dxa"/>
            </w:tcMar>
          </w:tcPr>
          <w:p>
            <w:r>
              <w:rPr>
                <w:sz w:val="18"/>
              </w:rPr>
              <w:t>Vstupní JSON Schema</w:t>
            </w:r>
          </w:p>
        </w:tc>
        <w:tc>
          <w:tcPr>
            <w:tcW w:type="dxa" w:w="5112"/>
            <w:tcMar>
              <w:top w:w="80" w:type="dxa"/>
              <w:start w:w="100" w:type="dxa"/>
              <w:bottom w:w="80" w:type="dxa"/>
              <w:end w:w="100" w:type="dxa"/>
            </w:tcMar>
          </w:tcPr>
          <w:p>
            <w:r>
              <w:rPr>
                <w:sz w:val="18"/>
              </w:rPr>
              <w:t>Striktní JSON Schema Draft 2020-12 pro argumenty nástroje; additionalProperties musí být výslovně definováno.</w:t>
            </w:r>
          </w:p>
        </w:tc>
      </w:tr>
      <w:tr>
        <w:trPr>
          <w:cantSplit/>
        </w:trPr>
        <w:tc>
          <w:tcPr>
            <w:tcW w:type="dxa" w:w="5112"/>
            <w:tcMar>
              <w:top w:w="80" w:type="dxa"/>
              <w:start w:w="100" w:type="dxa"/>
              <w:bottom w:w="80" w:type="dxa"/>
              <w:end w:w="100" w:type="dxa"/>
            </w:tcMar>
          </w:tcPr>
          <w:p>
            <w:r>
              <w:rPr>
                <w:sz w:val="18"/>
              </w:rPr>
              <w:t>Výstupní JSON Schema</w:t>
            </w:r>
          </w:p>
        </w:tc>
        <w:tc>
          <w:tcPr>
            <w:tcW w:type="dxa" w:w="5112"/>
            <w:tcMar>
              <w:top w:w="80" w:type="dxa"/>
              <w:start w:w="100" w:type="dxa"/>
              <w:bottom w:w="80" w:type="dxa"/>
              <w:end w:w="100" w:type="dxa"/>
            </w:tcMar>
          </w:tcPr>
          <w:p>
            <w:r>
              <w:rPr>
                <w:sz w:val="18"/>
              </w:rPr>
              <w:t>Striktní schéma návratové hodnoty; každá úspěšná odpověď musí projít validací.</w:t>
            </w:r>
          </w:p>
        </w:tc>
      </w:tr>
      <w:tr>
        <w:trPr>
          <w:cantSplit/>
        </w:trPr>
        <w:tc>
          <w:tcPr>
            <w:tcW w:type="dxa" w:w="5112"/>
            <w:tcMar>
              <w:top w:w="80" w:type="dxa"/>
              <w:start w:w="100" w:type="dxa"/>
              <w:bottom w:w="80" w:type="dxa"/>
              <w:end w:w="100" w:type="dxa"/>
            </w:tcMar>
          </w:tcPr>
          <w:p>
            <w:r>
              <w:rPr>
                <w:sz w:val="18"/>
              </w:rPr>
              <w:t>Katalogový manifest</w:t>
            </w:r>
          </w:p>
        </w:tc>
        <w:tc>
          <w:tcPr>
            <w:tcW w:type="dxa" w:w="5112"/>
            <w:tcMar>
              <w:top w:w="80" w:type="dxa"/>
              <w:start w:w="100" w:type="dxa"/>
              <w:bottom w:w="80" w:type="dxa"/>
              <w:end w:w="100" w:type="dxa"/>
            </w:tcMar>
          </w:tcPr>
          <w:p>
            <w:r>
              <w:rPr>
                <w:sz w:val="18"/>
              </w:rPr>
              <w:t>Kód, hostname, název, popis, toolName, handlerKey, handlerVersion, contractVersion, inputSchema, outputSchema a integrity digesty.</w:t>
            </w:r>
          </w:p>
        </w:tc>
      </w:tr>
      <w:tr>
        <w:trPr>
          <w:cantSplit/>
        </w:trPr>
        <w:tc>
          <w:tcPr>
            <w:tcW w:type="dxa" w:w="5112"/>
            <w:tcMar>
              <w:top w:w="80" w:type="dxa"/>
              <w:start w:w="100" w:type="dxa"/>
              <w:bottom w:w="80" w:type="dxa"/>
              <w:end w:w="100" w:type="dxa"/>
            </w:tcMar>
          </w:tcPr>
          <w:p>
            <w:r>
              <w:rPr>
                <w:sz w:val="18"/>
              </w:rPr>
              <w:t>Testovací vektor</w:t>
            </w:r>
          </w:p>
        </w:tc>
        <w:tc>
          <w:tcPr>
            <w:tcW w:type="dxa" w:w="5112"/>
            <w:tcMar>
              <w:top w:w="80" w:type="dxa"/>
              <w:start w:w="100" w:type="dxa"/>
              <w:bottom w:w="80" w:type="dxa"/>
              <w:end w:w="100" w:type="dxa"/>
            </w:tcMar>
          </w:tcPr>
          <w:p>
            <w:r>
              <w:rPr>
                <w:sz w:val="18"/>
              </w:rPr>
              <w:t>Jedna nebo více konkrétních vstupních masek a očekávaných výsledků pro UI tlačítko Otestovat.</w:t>
            </w:r>
          </w:p>
        </w:tc>
      </w:tr>
      <w:tr>
        <w:trPr>
          <w:cantSplit/>
        </w:trPr>
        <w:tc>
          <w:tcPr>
            <w:tcW w:type="dxa" w:w="5112"/>
            <w:tcMar>
              <w:top w:w="80" w:type="dxa"/>
              <w:start w:w="100" w:type="dxa"/>
              <w:bottom w:w="80" w:type="dxa"/>
              <w:end w:w="100" w:type="dxa"/>
            </w:tcMar>
          </w:tcPr>
          <w:p>
            <w:r>
              <w:rPr>
                <w:sz w:val="18"/>
              </w:rPr>
              <w:t>Automatické testy</w:t>
            </w:r>
          </w:p>
        </w:tc>
        <w:tc>
          <w:tcPr>
            <w:tcW w:type="dxa" w:w="5112"/>
            <w:tcMar>
              <w:top w:w="80" w:type="dxa"/>
              <w:start w:w="100" w:type="dxa"/>
              <w:bottom w:w="80" w:type="dxa"/>
              <w:end w:w="100" w:type="dxa"/>
            </w:tcMar>
          </w:tcPr>
          <w:p>
            <w:r>
              <w:rPr>
                <w:sz w:val="18"/>
              </w:rPr>
              <w:t>Pozitivní, negativní, autorizační, izolační, schématické, chybové a logging testy.</w:t>
            </w:r>
          </w:p>
        </w:tc>
      </w:tr>
      <w:tr>
        <w:trPr>
          <w:cantSplit/>
        </w:trPr>
        <w:tc>
          <w:tcPr>
            <w:tcW w:type="dxa" w:w="5112"/>
            <w:tcMar>
              <w:top w:w="80" w:type="dxa"/>
              <w:start w:w="100" w:type="dxa"/>
              <w:bottom w:w="80" w:type="dxa"/>
              <w:end w:w="100" w:type="dxa"/>
            </w:tcMar>
          </w:tcPr>
          <w:p>
            <w:r>
              <w:rPr>
                <w:sz w:val="18"/>
              </w:rPr>
              <w:t>Provozní dokumentace</w:t>
            </w:r>
          </w:p>
        </w:tc>
        <w:tc>
          <w:tcPr>
            <w:tcW w:type="dxa" w:w="5112"/>
            <w:tcMar>
              <w:top w:w="80" w:type="dxa"/>
              <w:start w:w="100" w:type="dxa"/>
              <w:bottom w:w="80" w:type="dxa"/>
              <w:end w:w="100" w:type="dxa"/>
            </w:tcMar>
          </w:tcPr>
          <w:p>
            <w:r>
              <w:rPr>
                <w:sz w:val="18"/>
              </w:rPr>
              <w:t>Popis závislostí, timeoutu, bezpečnostních omezení, klasifikace chyb a redakce citlivých údajů.</w:t>
            </w:r>
          </w:p>
        </w:tc>
      </w:tr>
      <w:tr>
        <w:trPr>
          <w:cantSplit/>
        </w:trPr>
        <w:tc>
          <w:tcPr>
            <w:tcW w:type="dxa" w:w="5112"/>
            <w:tcMar>
              <w:top w:w="80" w:type="dxa"/>
              <w:start w:w="100" w:type="dxa"/>
              <w:bottom w:w="80" w:type="dxa"/>
              <w:end w:w="100" w:type="dxa"/>
            </w:tcMar>
          </w:tcPr>
          <w:p>
            <w:r>
              <w:rPr>
                <w:sz w:val="18"/>
              </w:rPr>
              <w:t>Akceptační důkaz</w:t>
            </w:r>
          </w:p>
        </w:tc>
        <w:tc>
          <w:tcPr>
            <w:tcW w:type="dxa" w:w="5112"/>
            <w:tcMar>
              <w:top w:w="80" w:type="dxa"/>
              <w:start w:w="100" w:type="dxa"/>
              <w:bottom w:w="80" w:type="dxa"/>
              <w:end w:w="100" w:type="dxa"/>
            </w:tcMar>
          </w:tcPr>
          <w:p>
            <w:r>
              <w:rPr>
                <w:sz w:val="18"/>
              </w:rPr>
              <w:t>Výstup CI a potvrzení všech release gates uvedených v tomto dokumentu.</w:t>
            </w:r>
          </w:p>
        </w:tc>
      </w:tr>
    </w:tbl>
    <w:p>
      <w:pPr>
        <w:pStyle w:val="Heading1"/>
        <w:keepNext/>
        <w:keepLines/>
      </w:pPr>
      <w:r>
        <w:t>6. Identita a adresování</w:t>
      </w:r>
    </w:p>
    <w:p>
      <w:pPr>
        <w:pStyle w:val="ListNumber"/>
      </w:pPr>
      <w:r>
        <w:t>Správce přidělí další nikdy nepoužité pořadové číslo a vytvoří kód KCML0001, KCML0002 atd. Po překročení čtyř číslic pokračuje bez recyklace na KCML10000 a dále.</w:t>
      </w:r>
    </w:p>
    <w:p>
      <w:pPr>
        <w:pStyle w:val="ListNumber"/>
      </w:pPr>
      <w:r>
        <w:t>Hostname je odvozen pouze z kódu: kcml0001.hcasc.cz. Kód, pořadové číslo a hostname musí být navzájem konzistentní.</w:t>
      </w:r>
    </w:p>
    <w:p>
      <w:pPr>
        <w:pStyle w:val="ListNumber"/>
      </w:pPr>
      <w:r>
        <w:t>Kanonický resource je vždy https://&lt;hostname&gt;/mcp. Jiný path, alias hostname, IP adresa nebo společná doména nejsou platnou identitou serveru.</w:t>
      </w:r>
    </w:p>
    <w:p>
      <w:pPr>
        <w:pStyle w:val="ListNumber"/>
      </w:pPr>
      <w:r>
        <w:t>Kód ani hostname se po aktivaci nesmí znovu přidělit jinému serveru. Vyřazený záznam zůstává auditně zachován jako RETIRED.</w:t>
      </w:r>
    </w:p>
    <w:p>
      <w:pPr>
        <w:pStyle w:val="ListNumber"/>
      </w:pPr>
      <w:r>
        <w:t>DNS může používat wildcard záznam a reverse proxy jednu společnou upstream aplikaci. Logická izolace podle hostname však musí zůstat absolutní.</w:t>
      </w:r>
    </w:p>
    <w:p>
      <w:pPr>
        <w:pStyle w:val="Heading1"/>
        <w:keepNext/>
        <w:keepLines/>
      </w:pPr>
      <w:r>
        <w:t>7. MCP protokolový kontrakt</w:t>
      </w:r>
    </w:p>
    <w:p>
      <w:pPr>
        <w:pStyle w:val="Heading2"/>
        <w:keepNext/>
        <w:keepLines/>
      </w:pPr>
      <w:r>
        <w:t>7.1 Transport a endpoint</w:t>
      </w:r>
    </w:p>
    <w:p>
      <w:pPr>
        <w:pStyle w:val="ListBullet"/>
      </w:pPr>
      <w:r>
        <w:t>Veřejný transport je HTTPS Streamable HTTP na cestě /mcp.</w:t>
      </w:r>
    </w:p>
    <w:p>
      <w:pPr>
        <w:pStyle w:val="ListBullet"/>
      </w:pPr>
      <w:r>
        <w:t>Každý požadavek musí obsahovat správný Host a Authorization: Bearer &lt;access-token&gt;. Token v query stringu je zakázán.</w:t>
      </w:r>
    </w:p>
    <w:p>
      <w:pPr>
        <w:pStyle w:val="ListBullet"/>
      </w:pPr>
      <w:r>
        <w:t>Aktuální implementace přijímá na /mcp pouze POST. Jiná metoda musí vrátit 405.</w:t>
      </w:r>
    </w:p>
    <w:p>
      <w:pPr>
        <w:pStyle w:val="ListBullet"/>
      </w:pPr>
      <w:r>
        <w:t>Content type, body size, timeouty a odpovědi musí být konzistentní s centrálním serverem; lokální odchylka handleru je zakázána.</w:t>
      </w:r>
    </w:p>
    <w:p>
      <w:pPr>
        <w:pStyle w:val="Heading2"/>
        <w:keepNext/>
        <w:keepLines/>
      </w:pPr>
      <w:r>
        <w:t>7.2 initialize</w:t>
      </w:r>
    </w:p>
    <w:p>
      <w:pPr>
        <w:pStyle w:val="ListBullet"/>
      </w:pPr>
      <w:r>
        <w:t>Odpověď musí vracet aktuálně podporovanou protocolVersion systému, capabilities.tools a serverInfo.name rovné KCML kódu.</w:t>
      </w:r>
    </w:p>
    <w:p>
      <w:pPr>
        <w:pStyle w:val="ListBullet"/>
      </w:pPr>
      <w:r>
        <w:t>serverInfo.version musí odpovídat handlerVersion z katalogu.</w:t>
      </w:r>
    </w:p>
    <w:p>
      <w:pPr>
        <w:pStyle w:val="Heading2"/>
        <w:keepNext/>
        <w:keepLines/>
      </w:pPr>
      <w:r>
        <w:t>7.3 tools/list</w:t>
      </w:r>
    </w:p>
    <w:p>
      <w:pPr>
        <w:pStyle w:val="ListBullet"/>
      </w:pPr>
      <w:r>
        <w:t>Výsledek musí obsahovat právě jeden nástroj.</w:t>
      </w:r>
    </w:p>
    <w:p>
      <w:pPr>
        <w:pStyle w:val="ListBullet"/>
      </w:pPr>
      <w:r>
        <w:t>name musí přesně odpovídat toolName v katalogu; title odpovídá displayName; description musí jasně říkat účel, omezení a význam výsledku.</w:t>
      </w:r>
    </w:p>
    <w:p>
      <w:pPr>
        <w:pStyle w:val="ListBullet"/>
      </w:pPr>
      <w:r>
        <w:t>inputSchema musí být stejné schéma, které je zapsáno v katalogu a použito při runtime validaci.</w:t>
      </w:r>
    </w:p>
    <w:p>
      <w:pPr>
        <w:pStyle w:val="Heading2"/>
        <w:keepNext/>
        <w:keepLines/>
      </w:pPr>
      <w:r>
        <w:t>7.4 tools/call</w:t>
      </w:r>
    </w:p>
    <w:p>
      <w:pPr>
        <w:pStyle w:val="ListBullet"/>
      </w:pPr>
      <w:r>
        <w:t>Jméno volaného nástroje musí přesně odpovídat jedinému toolName daného hostname.</w:t>
      </w:r>
    </w:p>
    <w:p>
      <w:pPr>
        <w:pStyle w:val="ListBullet"/>
      </w:pPr>
      <w:r>
        <w:t>Vstup musí být před spuštěním handleru validován přes AJV 2020 v strict režimu.</w:t>
      </w:r>
    </w:p>
    <w:p>
      <w:pPr>
        <w:pStyle w:val="ListBullet"/>
      </w:pPr>
      <w:r>
        <w:t>Výstup handleru musí být před odesláním validován proti outputSchema.</w:t>
      </w:r>
    </w:p>
    <w:p>
      <w:pPr>
        <w:pStyle w:val="ListBullet"/>
      </w:pPr>
      <w:r>
        <w:t>Úspěšný výsledek musí obsahovat structuredContent. Textový obsah smí být pouze serializovanou reprezentací stejného výsledku, nikoli odlišný zdroj pravdy.</w:t>
      </w:r>
    </w:p>
    <w:p>
      <w:pPr>
        <w:pStyle w:val="ListBullet"/>
      </w:pPr>
      <w:r>
        <w:t>Handler nesmí sám rozhodovat o tom, zda je token platný; autorizace probíhá před invoke v centrální vrstvě.</w:t>
      </w:r>
    </w:p>
    <w:p>
      <w:pPr>
        <w:pStyle w:val="Heading1"/>
        <w:keepNext/>
        <w:keepLines/>
      </w:pPr>
      <w:r>
        <w:t>8. Handlerový programový kontrakt</w:t>
      </w:r>
    </w:p>
    <w:tbl>
      <w:tblPr>
        <w:tblW w:type="auto" w:w="0"/>
        <w:jc w:val="center"/>
        <w:tblLook w:firstColumn="1" w:firstRow="1" w:lastColumn="0" w:lastRow="0" w:noHBand="0" w:noVBand="1" w:val="04A0"/>
      </w:tblPr>
      <w:tblGrid>
        <w:gridCol w:w="10224"/>
      </w:tblGrid>
      <w:tr>
        <w:trPr>
          <w:cantSplit/>
        </w:trPr>
        <w:tc>
          <w:tcPr>
            <w:tcW w:type="dxa" w:w="10224"/>
            <w:shd w:fill="F3F4F6"/>
            <w:tcMar>
              <w:top w:w="120" w:type="dxa"/>
              <w:start w:w="140" w:type="dxa"/>
              <w:bottom w:w="120" w:type="dxa"/>
              <w:end w:w="140" w:type="dxa"/>
            </w:tcMar>
          </w:tcPr>
          <w:p>
            <w:r>
              <w:rPr>
                <w:rFonts w:ascii="DejaVu Sans Mono" w:hAnsi="DejaVu Sans Mono"/>
                <w:sz w:val="18"/>
              </w:rPr>
              <w:t>KcmlHandler:</w:t>
            </w:r>
            <w:r>
              <w:rPr>
                <w:sz w:val="18"/>
              </w:rPr>
              <w:br/>
            </w:r>
            <w:r>
              <w:rPr>
                <w:rFonts w:ascii="DejaVu Sans Mono" w:hAnsi="DejaVu Sans Mono"/>
                <w:sz w:val="18"/>
              </w:rPr>
              <w:t>- key: stabilní technický identifikátor implementace</w:t>
            </w:r>
            <w:r>
              <w:rPr>
                <w:sz w:val="18"/>
              </w:rPr>
              <w:br/>
            </w:r>
            <w:r>
              <w:rPr>
                <w:rFonts w:ascii="DejaVu Sans Mono" w:hAnsi="DejaVu Sans Mono"/>
                <w:sz w:val="18"/>
              </w:rPr>
              <w:t>- version: neměnná verze konkrétní implementace</w:t>
            </w:r>
            <w:r>
              <w:rPr>
                <w:sz w:val="18"/>
              </w:rPr>
              <w:br/>
            </w:r>
            <w:r>
              <w:rPr>
                <w:rFonts w:ascii="DejaVu Sans Mono" w:hAnsi="DejaVu Sans Mono"/>
                <w:sz w:val="18"/>
              </w:rPr>
              <w:t>- invoke(input, context): jediný vstup do funkce</w:t>
            </w:r>
            <w:r>
              <w:rPr>
                <w:sz w:val="18"/>
              </w:rPr>
              <w:br/>
            </w:r>
            <w:r>
              <w:rPr>
                <w:rFonts w:ascii="DejaVu Sans Mono" w:hAnsi="DejaVu Sans Mono"/>
                <w:sz w:val="18"/>
              </w:rPr>
            </w:r>
            <w:r>
              <w:rPr>
                <w:sz w:val="18"/>
              </w:rPr>
              <w:br/>
            </w:r>
            <w:r>
              <w:rPr>
                <w:rFonts w:ascii="DejaVu Sans Mono" w:hAnsi="DejaVu Sans Mono"/>
                <w:sz w:val="18"/>
              </w:rPr>
              <w:t>Context:</w:t>
            </w:r>
            <w:r>
              <w:rPr>
                <w:sz w:val="18"/>
              </w:rPr>
              <w:br/>
            </w:r>
            <w:r>
              <w:rPr>
                <w:rFonts w:ascii="DejaVu Sans Mono" w:hAnsi="DejaVu Sans Mono"/>
                <w:sz w:val="18"/>
              </w:rPr>
              <w:t>- correlationId</w:t>
            </w:r>
            <w:r>
              <w:rPr>
                <w:sz w:val="18"/>
              </w:rPr>
              <w:br/>
            </w:r>
            <w:r>
              <w:rPr>
                <w:rFonts w:ascii="DejaVu Sans Mono" w:hAnsi="DejaVu Sans Mono"/>
                <w:sz w:val="18"/>
              </w:rPr>
              <w:t>- server: katalogový záznam aktuálního KCML serveru</w:t>
            </w:r>
            <w:r>
              <w:rPr>
                <w:sz w:val="18"/>
              </w:rPr>
              <w:br/>
            </w:r>
            <w:r>
              <w:rPr>
                <w:rFonts w:ascii="DejaVu Sans Mono" w:hAnsi="DejaVu Sans Mono"/>
                <w:sz w:val="18"/>
              </w:rPr>
              <w:t>- logger: strukturovaný logger bez tajemství</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MUST-HND-01</w:t>
            </w:r>
          </w:p>
        </w:tc>
        <w:tc>
          <w:tcPr>
            <w:tcW w:type="dxa" w:w="5112"/>
            <w:shd w:fill="EAF2F8"/>
            <w:tcMar>
              <w:top w:w="80" w:type="dxa"/>
              <w:start w:w="100" w:type="dxa"/>
              <w:bottom w:w="80" w:type="dxa"/>
              <w:end w:w="100" w:type="dxa"/>
            </w:tcMar>
            <w:vAlign w:val="center"/>
          </w:tcPr>
          <w:p>
            <w:r>
              <w:rPr>
                <w:sz w:val="18"/>
              </w:rPr>
              <w:t>Handler musí být deterministicky registrován pod handlerKey@handlerVersion. Duplicitní registrace musí zastavit start nebo build.</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MUST-HND-02</w:t>
            </w:r>
          </w:p>
        </w:tc>
        <w:tc>
          <w:tcPr>
            <w:tcW w:type="dxa" w:w="5112"/>
            <w:shd w:fill="EAF2F8"/>
            <w:tcMar>
              <w:top w:w="80" w:type="dxa"/>
              <w:start w:w="100" w:type="dxa"/>
              <w:bottom w:w="80" w:type="dxa"/>
              <w:end w:w="100" w:type="dxa"/>
            </w:tcMar>
            <w:vAlign w:val="center"/>
          </w:tcPr>
          <w:p>
            <w:r>
              <w:rPr>
                <w:sz w:val="18"/>
              </w:rPr>
              <w:t>Handler nesmí otevírat vlastní veřejný port, zavádět vlastní veřejnou cestu ani obcházet centrální /mcp endpoint.</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MUST-HND-03</w:t>
            </w:r>
          </w:p>
        </w:tc>
        <w:tc>
          <w:tcPr>
            <w:tcW w:type="dxa" w:w="5112"/>
            <w:shd w:fill="EAF2F8"/>
            <w:tcMar>
              <w:top w:w="80" w:type="dxa"/>
              <w:start w:w="100" w:type="dxa"/>
              <w:bottom w:w="80" w:type="dxa"/>
              <w:end w:w="100" w:type="dxa"/>
            </w:tcMar>
            <w:vAlign w:val="center"/>
          </w:tcPr>
          <w:p>
            <w:r>
              <w:rPr>
                <w:sz w:val="18"/>
              </w:rPr>
              <w:t>Handler nesmí přijímat nebo ukládat access token, Kaja secret, administrátorské cookies ani interní kryptografické klíče.</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MUST-HND-04</w:t>
            </w:r>
          </w:p>
        </w:tc>
        <w:tc>
          <w:tcPr>
            <w:tcW w:type="dxa" w:w="5112"/>
            <w:shd w:fill="EAF2F8"/>
            <w:tcMar>
              <w:top w:w="80" w:type="dxa"/>
              <w:start w:w="100" w:type="dxa"/>
              <w:bottom w:w="80" w:type="dxa"/>
              <w:end w:w="100" w:type="dxa"/>
            </w:tcMar>
            <w:vAlign w:val="center"/>
          </w:tcPr>
          <w:p>
            <w:r>
              <w:rPr>
                <w:sz w:val="18"/>
              </w:rPr>
              <w:t>Handler musí používat correlationId ve všech svých logovacích událostech a při volání navazujících systémů.</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MUST-HND-05</w:t>
            </w:r>
          </w:p>
        </w:tc>
        <w:tc>
          <w:tcPr>
            <w:tcW w:type="dxa" w:w="5112"/>
            <w:shd w:fill="EAF2F8"/>
            <w:tcMar>
              <w:top w:w="80" w:type="dxa"/>
              <w:start w:w="100" w:type="dxa"/>
              <w:bottom w:w="80" w:type="dxa"/>
              <w:end w:w="100" w:type="dxa"/>
            </w:tcMar>
            <w:vAlign w:val="center"/>
          </w:tcPr>
          <w:p>
            <w:r>
              <w:rPr>
                <w:sz w:val="18"/>
              </w:rPr>
              <w:t>Handler musí mít pevný timeout, řízené ukončení, klasifikované chyby a nesmí provádět nekonečné retry nebo fallback na jiný systém.</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MUST-HND-06</w:t>
            </w:r>
          </w:p>
        </w:tc>
        <w:tc>
          <w:tcPr>
            <w:tcW w:type="dxa" w:w="5112"/>
            <w:shd w:fill="EAF2F8"/>
            <w:tcMar>
              <w:top w:w="80" w:type="dxa"/>
              <w:start w:w="100" w:type="dxa"/>
              <w:bottom w:w="80" w:type="dxa"/>
              <w:end w:w="100" w:type="dxa"/>
            </w:tcMar>
            <w:vAlign w:val="center"/>
          </w:tcPr>
          <w:p>
            <w:r>
              <w:rPr>
                <w:sz w:val="18"/>
              </w:rPr>
              <w:t>Neznámý nebo nepodporovaný vstup musí skončit jednoznačnou chybou. Nesmí dojít k tichému doplnění, změně významu nebo provedení jiné akce.</w:t>
            </w:r>
          </w:p>
        </w:tc>
      </w:tr>
    </w:tbl>
    <w:p>
      <w:pPr>
        <w:spacing w:after="0"/>
      </w:pPr>
    </w:p>
    <w:p>
      <w:pPr>
        <w:pStyle w:val="Heading1"/>
        <w:keepNext/>
        <w:keepLines/>
      </w:pPr>
      <w:r>
        <w:t>9. Registrace do katalogu</w:t>
      </w:r>
    </w:p>
    <w:p>
      <w:r>
        <w:t>Nový MCP server se nesmí stát dostupným pouhým přidáním handleru do kódu. Musí projít katalogovým workflow a stavovým automatem. Registrace je transakční: buď je kompletní a auditovaná, nebo server zůstává nedostupný.</w:t>
      </w:r>
    </w:p>
    <w:p>
      <w:pPr>
        <w:pStyle w:val="ListNumber"/>
        <w:numPr>
          <w:ilvl w:val="0"/>
          <w:numId w:val="10"/>
        </w:numPr>
      </w:pPr>
      <w:r>
        <w:t>V UI správce zvolit Přidat MCP server.</w:t>
      </w:r>
    </w:p>
    <w:p>
      <w:pPr>
        <w:pStyle w:val="ListNumber"/>
        <w:numPr>
          <w:ilvl w:val="0"/>
          <w:numId w:val="10"/>
        </w:numPr>
      </w:pPr>
      <w:r>
        <w:t>Systém automaticky rezervuje nový KCML kód a hostname; kód nelze ručně přepsat ani recyklovat.</w:t>
      </w:r>
    </w:p>
    <w:p>
      <w:pPr>
        <w:pStyle w:val="ListNumber"/>
        <w:numPr>
          <w:ilvl w:val="0"/>
          <w:numId w:val="10"/>
        </w:numPr>
      </w:pPr>
      <w:r>
        <w:t>Vyplnit displayName, technický popis, toolName, contractVersion, handlerKey a handlerVersion.</w:t>
      </w:r>
    </w:p>
    <w:p>
      <w:pPr>
        <w:pStyle w:val="ListNumber"/>
        <w:numPr>
          <w:ilvl w:val="0"/>
          <w:numId w:val="10"/>
        </w:numPr>
      </w:pPr>
      <w:r>
        <w:t>Vložit nebo načíst inputSchema a outputSchema a provést jejich syntaktickou i semantickou validaci.</w:t>
      </w:r>
    </w:p>
    <w:p>
      <w:pPr>
        <w:pStyle w:val="ListNumber"/>
        <w:numPr>
          <w:ilvl w:val="0"/>
          <w:numId w:val="10"/>
        </w:numPr>
      </w:pPr>
      <w:r>
        <w:t>Nahrát nebo zvolit schválený handler dostupný v aktuálním buildu.</w:t>
      </w:r>
    </w:p>
    <w:p>
      <w:pPr>
        <w:pStyle w:val="ListNumber"/>
        <w:numPr>
          <w:ilvl w:val="0"/>
          <w:numId w:val="10"/>
        </w:numPr>
      </w:pPr>
      <w:r>
        <w:t>Definovat testovací vstup, očekávaný výstup a timeout testu.</w:t>
      </w:r>
    </w:p>
    <w:p>
      <w:pPr>
        <w:pStyle w:val="ListNumber"/>
        <w:numPr>
          <w:ilvl w:val="0"/>
          <w:numId w:val="10"/>
        </w:numPr>
      </w:pPr>
      <w:r>
        <w:t>Spustit technický test, bezpečnostní test a izolační test.</w:t>
      </w:r>
    </w:p>
    <w:p>
      <w:pPr>
        <w:pStyle w:val="ListNumber"/>
        <w:numPr>
          <w:ilvl w:val="0"/>
          <w:numId w:val="10"/>
        </w:numPr>
      </w:pPr>
      <w:r>
        <w:t>Po úspěchu změnit stav přes PENDING_TECH_REVIEW, PENDING_SECURITY_REVIEW, PENDING_TEST, APPROVED, REGISTERED_DISABLED až na TRIAL nebo ACTIVE.</w:t>
      </w:r>
    </w:p>
    <w:p>
      <w:pPr>
        <w:pStyle w:val="ListNumber"/>
        <w:numPr>
          <w:ilvl w:val="0"/>
          <w:numId w:val="10"/>
        </w:numPr>
      </w:pPr>
      <w:r>
        <w:t>Samostatně server zapnout. Aktivní registrační stav bez enabled=true nesmí zpřístupnit endpoint.</w:t>
      </w:r>
    </w:p>
    <w:p>
      <w:pPr>
        <w:pStyle w:val="Heading1"/>
        <w:keepNext/>
        <w:keepLines/>
      </w:pPr>
      <w:r>
        <w:t>10. Povinné UI pro integraci a správu</w:t>
      </w:r>
    </w:p>
    <w:p>
      <w:r>
        <w:t>Každý údaj potřebný pro registraci, autorizaci, oprávnění, testování, monitoring a provozní správu musí být dostupný v administrátorském UI. Vývojář nesmí požadovat, aby správce kvůli novému KCML serveru ručně upravoval .env, INI, YAML, JSON, databázi, reverse proxy, systemd jednotku nebo zdrojový kód.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Obrazovka / část UI</w:t>
            </w:r>
          </w:p>
        </w:tc>
        <w:tc>
          <w:tcPr>
            <w:tcW w:type="dxa" w:w="5112"/>
            <w:shd w:fill="1F4E78"/>
          </w:tcPr>
          <w:p>
            <w:r>
              <w:rPr>
                <w:b/>
                <w:color w:val="FFFFFF"/>
                <w:sz w:val="18"/>
              </w:rPr>
              <w:t>Povinné funkce</w:t>
            </w:r>
          </w:p>
        </w:tc>
      </w:tr>
      <w:tr>
        <w:trPr>
          <w:cantSplit/>
        </w:trPr>
        <w:tc>
          <w:tcPr>
            <w:tcW w:type="dxa" w:w="5112"/>
            <w:tcMar>
              <w:top w:w="80" w:type="dxa"/>
              <w:start w:w="100" w:type="dxa"/>
              <w:bottom w:w="80" w:type="dxa"/>
              <w:end w:w="100" w:type="dxa"/>
            </w:tcMar>
          </w:tcPr>
          <w:p>
            <w:r>
              <w:rPr>
                <w:sz w:val="18"/>
              </w:rPr>
              <w:t>Katalog serverů</w:t>
            </w:r>
          </w:p>
        </w:tc>
        <w:tc>
          <w:tcPr>
            <w:tcW w:type="dxa" w:w="5112"/>
            <w:tcMar>
              <w:top w:w="80" w:type="dxa"/>
              <w:start w:w="100" w:type="dxa"/>
              <w:bottom w:w="80" w:type="dxa"/>
              <w:end w:w="100" w:type="dxa"/>
            </w:tcMar>
          </w:tcPr>
          <w:p>
            <w:r>
              <w:rPr>
                <w:sz w:val="18"/>
              </w:rPr>
              <w:t>Kód, označení, plná HTTPS adresa, stav registrace, provozní stav, zapnuto/vypnuto, verze handleru, verze kontraktu.</w:t>
            </w:r>
          </w:p>
        </w:tc>
      </w:tr>
      <w:tr>
        <w:trPr>
          <w:cantSplit/>
        </w:trPr>
        <w:tc>
          <w:tcPr>
            <w:tcW w:type="dxa" w:w="5112"/>
            <w:tcMar>
              <w:top w:w="80" w:type="dxa"/>
              <w:start w:w="100" w:type="dxa"/>
              <w:bottom w:w="80" w:type="dxa"/>
              <w:end w:w="100" w:type="dxa"/>
            </w:tcMar>
          </w:tcPr>
          <w:p>
            <w:r>
              <w:rPr>
                <w:sz w:val="18"/>
              </w:rPr>
              <w:t>Detail serveru</w:t>
            </w:r>
          </w:p>
        </w:tc>
        <w:tc>
          <w:tcPr>
            <w:tcW w:type="dxa" w:w="5112"/>
            <w:tcMar>
              <w:top w:w="80" w:type="dxa"/>
              <w:start w:w="100" w:type="dxa"/>
              <w:bottom w:w="80" w:type="dxa"/>
              <w:end w:w="100" w:type="dxa"/>
            </w:tcMar>
          </w:tcPr>
          <w:p>
            <w:r>
              <w:rPr>
                <w:sz w:val="18"/>
              </w:rPr>
              <w:t>Popis, toolName, vstupní a výstupní maska, handler, digesty, stavový automat, oprávnění, statistiky a audit.</w:t>
            </w:r>
          </w:p>
        </w:tc>
      </w:tr>
      <w:tr>
        <w:trPr>
          <w:cantSplit/>
        </w:trPr>
        <w:tc>
          <w:tcPr>
            <w:tcW w:type="dxa" w:w="5112"/>
            <w:tcMar>
              <w:top w:w="80" w:type="dxa"/>
              <w:start w:w="100" w:type="dxa"/>
              <w:bottom w:w="80" w:type="dxa"/>
              <w:end w:w="100" w:type="dxa"/>
            </w:tcMar>
          </w:tcPr>
          <w:p>
            <w:r>
              <w:rPr>
                <w:sz w:val="18"/>
              </w:rPr>
              <w:t>Registrace</w:t>
            </w:r>
          </w:p>
        </w:tc>
        <w:tc>
          <w:tcPr>
            <w:tcW w:type="dxa" w:w="5112"/>
            <w:tcMar>
              <w:top w:w="80" w:type="dxa"/>
              <w:start w:w="100" w:type="dxa"/>
              <w:bottom w:w="80" w:type="dxa"/>
              <w:end w:w="100" w:type="dxa"/>
            </w:tcMar>
          </w:tcPr>
          <w:p>
            <w:r>
              <w:rPr>
                <w:sz w:val="18"/>
              </w:rPr>
              <w:t>Průvodce vytvořením serveru, automatické přidělení kódu, validace hostname a kontrola kolize.</w:t>
            </w:r>
          </w:p>
        </w:tc>
      </w:tr>
      <w:tr>
        <w:trPr>
          <w:cantSplit/>
        </w:trPr>
        <w:tc>
          <w:tcPr>
            <w:tcW w:type="dxa" w:w="5112"/>
            <w:tcMar>
              <w:top w:w="80" w:type="dxa"/>
              <w:start w:w="100" w:type="dxa"/>
              <w:bottom w:w="80" w:type="dxa"/>
              <w:end w:w="100" w:type="dxa"/>
            </w:tcMar>
          </w:tcPr>
          <w:p>
            <w:r>
              <w:rPr>
                <w:sz w:val="18"/>
              </w:rPr>
              <w:t>Kontrakty</w:t>
            </w:r>
          </w:p>
        </w:tc>
        <w:tc>
          <w:tcPr>
            <w:tcW w:type="dxa" w:w="5112"/>
            <w:tcMar>
              <w:top w:w="80" w:type="dxa"/>
              <w:start w:w="100" w:type="dxa"/>
              <w:bottom w:w="80" w:type="dxa"/>
              <w:end w:w="100" w:type="dxa"/>
            </w:tcMar>
          </w:tcPr>
          <w:p>
            <w:r>
              <w:rPr>
                <w:sz w:val="18"/>
              </w:rPr>
              <w:t>Editace a validace inputSchema/outputSchema, čitelný náhled polí, povinností a příkladů.</w:t>
            </w:r>
          </w:p>
        </w:tc>
      </w:tr>
      <w:tr>
        <w:trPr>
          <w:cantSplit/>
        </w:trPr>
        <w:tc>
          <w:tcPr>
            <w:tcW w:type="dxa" w:w="5112"/>
            <w:tcMar>
              <w:top w:w="80" w:type="dxa"/>
              <w:start w:w="100" w:type="dxa"/>
              <w:bottom w:w="80" w:type="dxa"/>
              <w:end w:w="100" w:type="dxa"/>
            </w:tcMar>
          </w:tcPr>
          <w:p>
            <w:r>
              <w:rPr>
                <w:sz w:val="18"/>
              </w:rPr>
              <w:t>Testování</w:t>
            </w:r>
          </w:p>
        </w:tc>
        <w:tc>
          <w:tcPr>
            <w:tcW w:type="dxa" w:w="5112"/>
            <w:tcMar>
              <w:top w:w="80" w:type="dxa"/>
              <w:start w:w="100" w:type="dxa"/>
              <w:bottom w:w="80" w:type="dxa"/>
              <w:end w:w="100" w:type="dxa"/>
            </w:tcMar>
          </w:tcPr>
          <w:p>
            <w:r>
              <w:rPr>
                <w:sz w:val="18"/>
              </w:rPr>
              <w:t>Tlačítko Otestovat, editace testovacího vstupu, zobrazení přesné odpovědi, latence, schématické validace a klasifikace chyby.</w:t>
            </w:r>
          </w:p>
        </w:tc>
      </w:tr>
      <w:tr>
        <w:trPr>
          <w:cantSplit/>
        </w:trPr>
        <w:tc>
          <w:tcPr>
            <w:tcW w:type="dxa" w:w="5112"/>
            <w:tcMar>
              <w:top w:w="80" w:type="dxa"/>
              <w:start w:w="100" w:type="dxa"/>
              <w:bottom w:w="80" w:type="dxa"/>
              <w:end w:w="100" w:type="dxa"/>
            </w:tcMar>
          </w:tcPr>
          <w:p>
            <w:r>
              <w:rPr>
                <w:sz w:val="18"/>
              </w:rPr>
              <w:t>Provozní přepínač</w:t>
            </w:r>
          </w:p>
        </w:tc>
        <w:tc>
          <w:tcPr>
            <w:tcW w:type="dxa" w:w="5112"/>
            <w:tcMar>
              <w:top w:w="80" w:type="dxa"/>
              <w:start w:w="100" w:type="dxa"/>
              <w:bottom w:w="80" w:type="dxa"/>
              <w:end w:w="100" w:type="dxa"/>
            </w:tcMar>
          </w:tcPr>
          <w:p>
            <w:r>
              <w:rPr>
                <w:sz w:val="18"/>
              </w:rPr>
              <w:t>Zapnout/vypnout s potvrzením; vypnutí účinkuje okamžitě i pro platné tokeny.</w:t>
            </w:r>
          </w:p>
        </w:tc>
      </w:tr>
      <w:tr>
        <w:trPr>
          <w:cantSplit/>
        </w:trPr>
        <w:tc>
          <w:tcPr>
            <w:tcW w:type="dxa" w:w="5112"/>
            <w:tcMar>
              <w:top w:w="80" w:type="dxa"/>
              <w:start w:w="100" w:type="dxa"/>
              <w:bottom w:w="80" w:type="dxa"/>
              <w:end w:w="100" w:type="dxa"/>
            </w:tcMar>
          </w:tcPr>
          <w:p>
            <w:r>
              <w:rPr>
                <w:sz w:val="18"/>
              </w:rPr>
              <w:t>Tokeny a Kaja pověření</w:t>
            </w:r>
          </w:p>
        </w:tc>
        <w:tc>
          <w:tcPr>
            <w:tcW w:type="dxa" w:w="5112"/>
            <w:tcMar>
              <w:top w:w="80" w:type="dxa"/>
              <w:start w:w="100" w:type="dxa"/>
              <w:bottom w:w="80" w:type="dxa"/>
              <w:end w:w="100" w:type="dxa"/>
            </w:tcMar>
          </w:tcPr>
          <w:p>
            <w:r>
              <w:rPr>
                <w:sz w:val="18"/>
              </w:rPr>
              <w:t>Generování, jednorázové zobrazení secretu, popis, platnost, aktivace, revokace, smazání a oprávnění ke KCML serverům.</w:t>
            </w:r>
          </w:p>
        </w:tc>
      </w:tr>
      <w:tr>
        <w:trPr>
          <w:cantSplit/>
        </w:trPr>
        <w:tc>
          <w:tcPr>
            <w:tcW w:type="dxa" w:w="5112"/>
            <w:tcMar>
              <w:top w:w="80" w:type="dxa"/>
              <w:start w:w="100" w:type="dxa"/>
              <w:bottom w:w="80" w:type="dxa"/>
              <w:end w:w="100" w:type="dxa"/>
            </w:tcMar>
          </w:tcPr>
          <w:p>
            <w:r>
              <w:rPr>
                <w:sz w:val="18"/>
              </w:rPr>
              <w:t>Oprávnění</w:t>
            </w:r>
          </w:p>
        </w:tc>
        <w:tc>
          <w:tcPr>
            <w:tcW w:type="dxa" w:w="5112"/>
            <w:tcMar>
              <w:top w:w="80" w:type="dxa"/>
              <w:start w:w="100" w:type="dxa"/>
              <w:bottom w:w="80" w:type="dxa"/>
              <w:end w:w="100" w:type="dxa"/>
            </w:tcMar>
          </w:tcPr>
          <w:p>
            <w:r>
              <w:rPr>
                <w:sz w:val="18"/>
              </w:rPr>
              <w:t>Přidání nebo odebrání jednotlivých KCML serverů ke konkrétnímu Kaja pověření; žádné implicitní globální oprávnění.</w:t>
            </w:r>
          </w:p>
        </w:tc>
      </w:tr>
      <w:tr>
        <w:trPr>
          <w:cantSplit/>
        </w:trPr>
        <w:tc>
          <w:tcPr>
            <w:tcW w:type="dxa" w:w="5112"/>
            <w:tcMar>
              <w:top w:w="80" w:type="dxa"/>
              <w:start w:w="100" w:type="dxa"/>
              <w:bottom w:w="80" w:type="dxa"/>
              <w:end w:w="100" w:type="dxa"/>
            </w:tcMar>
          </w:tcPr>
          <w:p>
            <w:r>
              <w:rPr>
                <w:sz w:val="18"/>
              </w:rPr>
              <w:t>Monitoring</w:t>
            </w:r>
          </w:p>
        </w:tc>
        <w:tc>
          <w:tcPr>
            <w:tcW w:type="dxa" w:w="5112"/>
            <w:tcMar>
              <w:top w:w="80" w:type="dxa"/>
              <w:start w:w="100" w:type="dxa"/>
              <w:bottom w:w="80" w:type="dxa"/>
              <w:end w:w="100" w:type="dxa"/>
            </w:tcMar>
          </w:tcPr>
          <w:p>
            <w:r>
              <w:rPr>
                <w:sz w:val="18"/>
              </w:rPr>
              <w:t>Počty úspěšných, chybných a neautorizovaných volání, poslední úspěch, poslední chyba, latence a zdravotní stav.</w:t>
            </w:r>
          </w:p>
        </w:tc>
      </w:tr>
      <w:tr>
        <w:trPr>
          <w:cantSplit/>
        </w:trPr>
        <w:tc>
          <w:tcPr>
            <w:tcW w:type="dxa" w:w="5112"/>
            <w:tcMar>
              <w:top w:w="80" w:type="dxa"/>
              <w:start w:w="100" w:type="dxa"/>
              <w:bottom w:w="80" w:type="dxa"/>
              <w:end w:w="100" w:type="dxa"/>
            </w:tcMar>
          </w:tcPr>
          <w:p>
            <w:r>
              <w:rPr>
                <w:sz w:val="18"/>
              </w:rPr>
              <w:t>Audit</w:t>
            </w:r>
          </w:p>
        </w:tc>
        <w:tc>
          <w:tcPr>
            <w:tcW w:type="dxa" w:w="5112"/>
            <w:tcMar>
              <w:top w:w="80" w:type="dxa"/>
              <w:start w:w="100" w:type="dxa"/>
              <w:bottom w:w="80" w:type="dxa"/>
              <w:end w:w="100" w:type="dxa"/>
            </w:tcMar>
          </w:tcPr>
          <w:p>
            <w:r>
              <w:rPr>
                <w:sz w:val="18"/>
              </w:rPr>
              <w:t>Filtrovatelné události podle času, kódu, Kaja ID, typu události, výsledku a correlationId.</w:t>
            </w:r>
          </w:p>
        </w:tc>
      </w:tr>
      <w:tr>
        <w:trPr>
          <w:cantSplit/>
        </w:trPr>
        <w:tc>
          <w:tcPr>
            <w:tcW w:type="dxa" w:w="5112"/>
            <w:tcMar>
              <w:top w:w="80" w:type="dxa"/>
              <w:start w:w="100" w:type="dxa"/>
              <w:bottom w:w="80" w:type="dxa"/>
              <w:end w:w="100" w:type="dxa"/>
            </w:tcMar>
          </w:tcPr>
          <w:p>
            <w:r>
              <w:rPr>
                <w:sz w:val="18"/>
              </w:rPr>
              <w:t>Konfigurace integrace</w:t>
            </w:r>
          </w:p>
        </w:tc>
        <w:tc>
          <w:tcPr>
            <w:tcW w:type="dxa" w:w="5112"/>
            <w:tcMar>
              <w:top w:w="80" w:type="dxa"/>
              <w:start w:w="100" w:type="dxa"/>
              <w:bottom w:w="80" w:type="dxa"/>
              <w:end w:w="100" w:type="dxa"/>
            </w:tcMar>
          </w:tcPr>
          <w:p>
            <w:r>
              <w:rPr>
                <w:sz w:val="18"/>
              </w:rPr>
              <w:t>Všechny ne-tajné i tajné parametry handleru spravované v UI; tajné hodnoty maskované, šifrované a po uložení znovu nezobrazitelné.</w:t>
            </w:r>
          </w:p>
        </w:tc>
      </w:tr>
      <w:tr>
        <w:trPr>
          <w:cantSplit/>
        </w:trPr>
        <w:tc>
          <w:tcPr>
            <w:tcW w:type="dxa" w:w="5112"/>
            <w:tcMar>
              <w:top w:w="80" w:type="dxa"/>
              <w:start w:w="100" w:type="dxa"/>
              <w:bottom w:w="80" w:type="dxa"/>
              <w:end w:w="100" w:type="dxa"/>
            </w:tcMar>
          </w:tcPr>
          <w:p>
            <w:r>
              <w:rPr>
                <w:sz w:val="18"/>
              </w:rPr>
              <w:t>Diagnostika</w:t>
            </w:r>
          </w:p>
        </w:tc>
        <w:tc>
          <w:tcPr>
            <w:tcW w:type="dxa" w:w="5112"/>
            <w:tcMar>
              <w:top w:w="80" w:type="dxa"/>
              <w:start w:w="100" w:type="dxa"/>
              <w:bottom w:w="80" w:type="dxa"/>
              <w:end w:w="100" w:type="dxa"/>
            </w:tcMar>
          </w:tcPr>
          <w:p>
            <w:r>
              <w:rPr>
                <w:sz w:val="18"/>
              </w:rPr>
              <w:t>Kontrola DNS, TLS, dostupnosti handleru, databáze, autorizačního serveru a přesné routovací izolace.</w:t>
            </w:r>
          </w:p>
        </w:tc>
      </w:tr>
    </w:tbl>
    <w:p>
      <w:pPr>
        <w:pStyle w:val="Heading1"/>
        <w:keepNext/>
        <w:keepLines/>
      </w:pPr>
      <w:r>
        <w:t>11. Autorizace a tokenizace</w:t>
      </w:r>
    </w:p>
    <w:p>
      <w:pPr>
        <w:pStyle w:val="Heading2"/>
        <w:keepNext/>
        <w:keepLines/>
      </w:pPr>
      <w:r>
        <w:t>11.1 Kaja pověření</w:t>
      </w:r>
    </w:p>
    <w:p>
      <w:pPr>
        <w:pStyle w:val="ListBullet"/>
      </w:pPr>
      <w:r>
        <w:t>Každý agent, program nebo uživatel má vlastní Kaja pověření. Sdílení jednoho pověření mezi nezávislými klienty je zakázáno.</w:t>
      </w:r>
    </w:p>
    <w:p>
      <w:pPr>
        <w:pStyle w:val="ListBullet"/>
      </w:pPr>
      <w:r>
        <w:t>Veřejné ID má konvenci Kaja0001, Kaja0002 atd. Čísla se nikdy nerecyklují; po Kaja9999 následuje Kaja10000.</w:t>
      </w:r>
    </w:p>
    <w:p>
      <w:pPr>
        <w:pStyle w:val="ListBullet"/>
      </w:pPr>
      <w:r>
        <w:t>Tajný client secret je kryptograficky náhodný, zobrazí se pouze jednou a v databázi je pouze bezpečný hash a fingerprint.</w:t>
      </w:r>
    </w:p>
    <w:p>
      <w:pPr>
        <w:pStyle w:val="ListBullet"/>
      </w:pPr>
      <w:r>
        <w:t>Po vytvoření nelze secret ani původní platnost měnit. Lze změnit popis a oprávnění, pověření zneplatnit nebo smazat.</w:t>
      </w:r>
    </w:p>
    <w:p>
      <w:pPr>
        <w:pStyle w:val="ListBullet"/>
      </w:pPr>
      <w:r>
        <w:t>Smazané ID nesmí být znovu použito.</w:t>
      </w:r>
    </w:p>
    <w:p>
      <w:pPr>
        <w:pStyle w:val="Heading2"/>
        <w:keepNext/>
        <w:keepLines/>
      </w:pPr>
      <w:r>
        <w:t>11.2 Oprávnění</w:t>
      </w:r>
    </w:p>
    <w:p>
      <w:pPr>
        <w:pStyle w:val="ListBullet"/>
      </w:pPr>
      <w:r>
        <w:t>Oprávnění je explicitní vazba Kaja pověření -&gt; konkrétní KCML server.</w:t>
      </w:r>
    </w:p>
    <w:p>
      <w:pPr>
        <w:pStyle w:val="ListBullet"/>
      </w:pPr>
      <w:r>
        <w:t>Jedno pověření může mít více KCML serverů; jeden KCML server může být povolen více pověřením.</w:t>
      </w:r>
    </w:p>
    <w:p>
      <w:pPr>
        <w:pStyle w:val="ListBullet"/>
      </w:pPr>
      <w:r>
        <w:t>Bez explicitní aktivní vazby se access token pro daný resource nevydá.</w:t>
      </w:r>
    </w:p>
    <w:p>
      <w:pPr>
        <w:pStyle w:val="ListBullet"/>
      </w:pPr>
      <w:r>
        <w:t>Odebrání oprávnění musí okamžitě zablokovat vydání nových tokenů a revokovat účinek stávajících tokenů přes revocation epoch nebo ekvivalentní mechanismus.</w:t>
      </w:r>
    </w:p>
    <w:p>
      <w:pPr>
        <w:pStyle w:val="Heading2"/>
        <w:keepNext/>
        <w:keepLines/>
      </w:pPr>
      <w:r>
        <w:t>11.3 Vydání access tokenu</w:t>
      </w:r>
    </w:p>
    <w:p>
      <w:pPr>
        <w:pStyle w:val="ListBullet"/>
      </w:pPr>
      <w:r>
        <w:t>Klient použije client_credentials vůči https://auth.hcasc.cz/oauth/token a pošle přesný resource cílového KCML serveru.</w:t>
      </w:r>
    </w:p>
    <w:p>
      <w:pPr>
        <w:pStyle w:val="ListBullet"/>
      </w:pPr>
      <w:r>
        <w:t>Autorizační server ověří Kaja ID, secret, aktivní stav, expiraci, oprávnění, enabled stav serveru a registrační stav ACTIVE nebo TRIAL.</w:t>
      </w:r>
    </w:p>
    <w:p>
      <w:pPr>
        <w:pStyle w:val="ListBullet"/>
      </w:pPr>
      <w:r>
        <w:t>Vydaný access token je krátkodobý, opaque, vázaný na jedinou audience https://kcmlxxxx.hcasc.cz/mcp a nesmí fungovat na jiné subdoméně.</w:t>
      </w:r>
    </w:p>
    <w:p>
      <w:pPr>
        <w:pStyle w:val="ListBullet"/>
      </w:pPr>
      <w:r>
        <w:t>Bearer token musí být posílán v Authorization headeru při každém HTTP požadavku.</w:t>
      </w:r>
    </w:p>
    <w:p>
      <w:pPr>
        <w:pStyle w:val="ListBullet"/>
      </w:pPr>
      <w:r>
        <w:t>Chybějící nebo neplatný token: HTTP 401. Platný klient bez oprávnění: HTTP 403 při token flow. Vypnutý server: HTTP 503.</w:t>
      </w:r>
    </w:p>
    <w:p>
      <w:pPr>
        <w:pStyle w:val="Heading2"/>
        <w:keepNext/>
        <w:keepLines/>
      </w:pPr>
      <w:r>
        <w:t>11.4 MCP autorizační metadata</w:t>
      </w:r>
    </w:p>
    <w:p>
      <w:pPr>
        <w:pStyle w:val="ListBullet"/>
      </w:pPr>
      <w:r>
        <w:t>Každý KCML hostname musí poskytovat OAuth Protected Resource Metadata na root well-known URI a na cestě odpovídající /mcp.</w:t>
      </w:r>
    </w:p>
    <w:p>
      <w:pPr>
        <w:pStyle w:val="ListBullet"/>
      </w:pPr>
      <w:r>
        <w:t>Metadata musí uvádět přesný resource a centrální authorization_servers hodnotu https://auth.hcasc.cz.</w:t>
      </w:r>
    </w:p>
    <w:p>
      <w:pPr>
        <w:pStyle w:val="ListBullet"/>
      </w:pPr>
      <w:r>
        <w:t>401 odpovědi mají obsahovat WWW-Authenticate s odkazem na resource metadata a požadovaným scope, jakmile bude tento standard v centrální vrstvě zaveden.</w:t>
      </w:r>
    </w:p>
    <w:p>
      <w:pPr>
        <w:pStyle w:val="Heading1"/>
        <w:keepNext/>
        <w:keepLines/>
      </w:pPr>
      <w:r>
        <w:t>12. Monitoring</w:t>
      </w:r>
    </w:p>
    <w:p>
      <w:r>
        <w:t>Monitoring musí být provozní, ne pouze dekorativní. Každý údaj musí být odvozen ze skutečných událostí a perzistentních statistik. Po restartu se kumulativní počty nesmí vynulovat.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Metrika</w:t>
            </w:r>
          </w:p>
        </w:tc>
        <w:tc>
          <w:tcPr>
            <w:tcW w:type="dxa" w:w="5112"/>
            <w:shd w:fill="1F4E78"/>
          </w:tcPr>
          <w:p>
            <w:r>
              <w:rPr>
                <w:b/>
                <w:color w:val="FFFFFF"/>
                <w:sz w:val="18"/>
              </w:rPr>
              <w:t>Přesná interpretace</w:t>
            </w:r>
          </w:p>
        </w:tc>
      </w:tr>
      <w:tr>
        <w:trPr>
          <w:cantSplit/>
        </w:trPr>
        <w:tc>
          <w:tcPr>
            <w:tcW w:type="dxa" w:w="5112"/>
            <w:tcMar>
              <w:top w:w="80" w:type="dxa"/>
              <w:start w:w="100" w:type="dxa"/>
              <w:bottom w:w="80" w:type="dxa"/>
              <w:end w:w="100" w:type="dxa"/>
            </w:tcMar>
          </w:tcPr>
          <w:p>
            <w:r>
              <w:rPr>
                <w:sz w:val="18"/>
              </w:rPr>
              <w:t>Celkový počet úspěšných volání</w:t>
            </w:r>
          </w:p>
        </w:tc>
        <w:tc>
          <w:tcPr>
            <w:tcW w:type="dxa" w:w="5112"/>
            <w:tcMar>
              <w:top w:w="80" w:type="dxa"/>
              <w:start w:w="100" w:type="dxa"/>
              <w:bottom w:w="80" w:type="dxa"/>
              <w:end w:w="100" w:type="dxa"/>
            </w:tcMar>
          </w:tcPr>
          <w:p>
            <w:r>
              <w:rPr>
                <w:sz w:val="18"/>
              </w:rPr>
              <w:t>Zvýší se pouze po úspěšném handleru a úspěšné validaci výstupu.</w:t>
            </w:r>
          </w:p>
        </w:tc>
      </w:tr>
      <w:tr>
        <w:trPr>
          <w:cantSplit/>
        </w:trPr>
        <w:tc>
          <w:tcPr>
            <w:tcW w:type="dxa" w:w="5112"/>
            <w:tcMar>
              <w:top w:w="80" w:type="dxa"/>
              <w:start w:w="100" w:type="dxa"/>
              <w:bottom w:w="80" w:type="dxa"/>
              <w:end w:w="100" w:type="dxa"/>
            </w:tcMar>
          </w:tcPr>
          <w:p>
            <w:r>
              <w:rPr>
                <w:sz w:val="18"/>
              </w:rPr>
              <w:t>Celkový počet neúspěšných autorizovaných volání</w:t>
            </w:r>
          </w:p>
        </w:tc>
        <w:tc>
          <w:tcPr>
            <w:tcW w:type="dxa" w:w="5112"/>
            <w:tcMar>
              <w:top w:w="80" w:type="dxa"/>
              <w:start w:w="100" w:type="dxa"/>
              <w:bottom w:w="80" w:type="dxa"/>
              <w:end w:w="100" w:type="dxa"/>
            </w:tcMar>
          </w:tcPr>
          <w:p>
            <w:r>
              <w:rPr>
                <w:sz w:val="18"/>
              </w:rPr>
              <w:t>Chyba handleru, timeout, upstream chyba nebo neplatný výstup.</w:t>
            </w:r>
          </w:p>
        </w:tc>
      </w:tr>
      <w:tr>
        <w:trPr>
          <w:cantSplit/>
        </w:trPr>
        <w:tc>
          <w:tcPr>
            <w:tcW w:type="dxa" w:w="5112"/>
            <w:tcMar>
              <w:top w:w="80" w:type="dxa"/>
              <w:start w:w="100" w:type="dxa"/>
              <w:bottom w:w="80" w:type="dxa"/>
              <w:end w:w="100" w:type="dxa"/>
            </w:tcMar>
          </w:tcPr>
          <w:p>
            <w:r>
              <w:rPr>
                <w:sz w:val="18"/>
              </w:rPr>
              <w:t>Celkový počet neautorizovaných volání</w:t>
            </w:r>
          </w:p>
        </w:tc>
        <w:tc>
          <w:tcPr>
            <w:tcW w:type="dxa" w:w="5112"/>
            <w:tcMar>
              <w:top w:w="80" w:type="dxa"/>
              <w:start w:w="100" w:type="dxa"/>
              <w:bottom w:w="80" w:type="dxa"/>
              <w:end w:w="100" w:type="dxa"/>
            </w:tcMar>
          </w:tcPr>
          <w:p>
            <w:r>
              <w:rPr>
                <w:sz w:val="18"/>
              </w:rPr>
              <w:t>Chybějící, neplatný, expirovaný nebo audience-mismatched Bearer token.</w:t>
            </w:r>
          </w:p>
        </w:tc>
      </w:tr>
      <w:tr>
        <w:trPr>
          <w:cantSplit/>
        </w:trPr>
        <w:tc>
          <w:tcPr>
            <w:tcW w:type="dxa" w:w="5112"/>
            <w:tcMar>
              <w:top w:w="80" w:type="dxa"/>
              <w:start w:w="100" w:type="dxa"/>
              <w:bottom w:w="80" w:type="dxa"/>
              <w:end w:w="100" w:type="dxa"/>
            </w:tcMar>
          </w:tcPr>
          <w:p>
            <w:r>
              <w:rPr>
                <w:sz w:val="18"/>
              </w:rPr>
              <w:t>Poslední úspěšné volání</w:t>
            </w:r>
          </w:p>
        </w:tc>
        <w:tc>
          <w:tcPr>
            <w:tcW w:type="dxa" w:w="5112"/>
            <w:tcMar>
              <w:top w:w="80" w:type="dxa"/>
              <w:start w:w="100" w:type="dxa"/>
              <w:bottom w:w="80" w:type="dxa"/>
              <w:end w:w="100" w:type="dxa"/>
            </w:tcMar>
          </w:tcPr>
          <w:p>
            <w:r>
              <w:rPr>
                <w:sz w:val="18"/>
              </w:rPr>
              <w:t>UTC datum a čas dokončeného úspěchu.</w:t>
            </w:r>
          </w:p>
        </w:tc>
      </w:tr>
      <w:tr>
        <w:trPr>
          <w:cantSplit/>
        </w:trPr>
        <w:tc>
          <w:tcPr>
            <w:tcW w:type="dxa" w:w="5112"/>
            <w:tcMar>
              <w:top w:w="80" w:type="dxa"/>
              <w:start w:w="100" w:type="dxa"/>
              <w:bottom w:w="80" w:type="dxa"/>
              <w:end w:w="100" w:type="dxa"/>
            </w:tcMar>
          </w:tcPr>
          <w:p>
            <w:r>
              <w:rPr>
                <w:sz w:val="18"/>
              </w:rPr>
              <w:t>Poslední neúspěšné volání</w:t>
            </w:r>
          </w:p>
        </w:tc>
        <w:tc>
          <w:tcPr>
            <w:tcW w:type="dxa" w:w="5112"/>
            <w:tcMar>
              <w:top w:w="80" w:type="dxa"/>
              <w:start w:w="100" w:type="dxa"/>
              <w:bottom w:w="80" w:type="dxa"/>
              <w:end w:w="100" w:type="dxa"/>
            </w:tcMar>
          </w:tcPr>
          <w:p>
            <w:r>
              <w:rPr>
                <w:sz w:val="18"/>
              </w:rPr>
              <w:t>UTC datum a čas poslední autorizované chyby.</w:t>
            </w:r>
          </w:p>
        </w:tc>
      </w:tr>
      <w:tr>
        <w:trPr>
          <w:cantSplit/>
        </w:trPr>
        <w:tc>
          <w:tcPr>
            <w:tcW w:type="dxa" w:w="5112"/>
            <w:tcMar>
              <w:top w:w="80" w:type="dxa"/>
              <w:start w:w="100" w:type="dxa"/>
              <w:bottom w:w="80" w:type="dxa"/>
              <w:end w:w="100" w:type="dxa"/>
            </w:tcMar>
          </w:tcPr>
          <w:p>
            <w:r>
              <w:rPr>
                <w:sz w:val="18"/>
              </w:rPr>
              <w:t>Poslední neautorizované volání</w:t>
            </w:r>
          </w:p>
        </w:tc>
        <w:tc>
          <w:tcPr>
            <w:tcW w:type="dxa" w:w="5112"/>
            <w:tcMar>
              <w:top w:w="80" w:type="dxa"/>
              <w:start w:w="100" w:type="dxa"/>
              <w:bottom w:w="80" w:type="dxa"/>
              <w:end w:w="100" w:type="dxa"/>
            </w:tcMar>
          </w:tcPr>
          <w:p>
            <w:r>
              <w:rPr>
                <w:sz w:val="18"/>
              </w:rPr>
              <w:t>UTC datum a čas posledního odmítnutého přístupu.</w:t>
            </w:r>
          </w:p>
        </w:tc>
      </w:tr>
      <w:tr>
        <w:trPr>
          <w:cantSplit/>
        </w:trPr>
        <w:tc>
          <w:tcPr>
            <w:tcW w:type="dxa" w:w="5112"/>
            <w:tcMar>
              <w:top w:w="80" w:type="dxa"/>
              <w:start w:w="100" w:type="dxa"/>
              <w:bottom w:w="80" w:type="dxa"/>
              <w:end w:w="100" w:type="dxa"/>
            </w:tcMar>
          </w:tcPr>
          <w:p>
            <w:r>
              <w:rPr>
                <w:sz w:val="18"/>
              </w:rPr>
              <w:t>Latence</w:t>
            </w:r>
          </w:p>
        </w:tc>
        <w:tc>
          <w:tcPr>
            <w:tcW w:type="dxa" w:w="5112"/>
            <w:tcMar>
              <w:top w:w="80" w:type="dxa"/>
              <w:start w:w="100" w:type="dxa"/>
              <w:bottom w:w="80" w:type="dxa"/>
              <w:end w:w="100" w:type="dxa"/>
            </w:tcMar>
          </w:tcPr>
          <w:p>
            <w:r>
              <w:rPr>
                <w:sz w:val="18"/>
              </w:rPr>
              <w:t>Alespoň poslední hodnota, průměr a p95 za definované období.</w:t>
            </w:r>
          </w:p>
        </w:tc>
      </w:tr>
      <w:tr>
        <w:trPr>
          <w:cantSplit/>
        </w:trPr>
        <w:tc>
          <w:tcPr>
            <w:tcW w:type="dxa" w:w="5112"/>
            <w:tcMar>
              <w:top w:w="80" w:type="dxa"/>
              <w:start w:w="100" w:type="dxa"/>
              <w:bottom w:w="80" w:type="dxa"/>
              <w:end w:w="100" w:type="dxa"/>
            </w:tcMar>
          </w:tcPr>
          <w:p>
            <w:r>
              <w:rPr>
                <w:sz w:val="18"/>
              </w:rPr>
              <w:t>Provozní stav</w:t>
            </w:r>
          </w:p>
        </w:tc>
        <w:tc>
          <w:tcPr>
            <w:tcW w:type="dxa" w:w="5112"/>
            <w:tcMar>
              <w:top w:w="80" w:type="dxa"/>
              <w:start w:w="100" w:type="dxa"/>
              <w:bottom w:w="80" w:type="dxa"/>
              <w:end w:w="100" w:type="dxa"/>
            </w:tcMar>
          </w:tcPr>
          <w:p>
            <w:r>
              <w:rPr>
                <w:sz w:val="18"/>
              </w:rPr>
              <w:t>UNKNOWN, DISABLED, HEALTHY, DEGRADED, UNHEALTHY, QUARANTINED, MAINTENANCE nebo RETIRED.</w:t>
            </w:r>
          </w:p>
        </w:tc>
      </w:tr>
      <w:tr>
        <w:trPr>
          <w:cantSplit/>
        </w:trPr>
        <w:tc>
          <w:tcPr>
            <w:tcW w:type="dxa" w:w="5112"/>
            <w:tcMar>
              <w:top w:w="80" w:type="dxa"/>
              <w:start w:w="100" w:type="dxa"/>
              <w:bottom w:w="80" w:type="dxa"/>
              <w:end w:w="100" w:type="dxa"/>
            </w:tcMar>
          </w:tcPr>
          <w:p>
            <w:r>
              <w:rPr>
                <w:sz w:val="18"/>
              </w:rPr>
              <w:t>Dostupnost handleru</w:t>
            </w:r>
          </w:p>
        </w:tc>
        <w:tc>
          <w:tcPr>
            <w:tcW w:type="dxa" w:w="5112"/>
            <w:tcMar>
              <w:top w:w="80" w:type="dxa"/>
              <w:start w:w="100" w:type="dxa"/>
              <w:bottom w:w="80" w:type="dxa"/>
              <w:end w:w="100" w:type="dxa"/>
            </w:tcMar>
          </w:tcPr>
          <w:p>
            <w:r>
              <w:rPr>
                <w:sz w:val="18"/>
              </w:rPr>
              <w:t>Zda je handlerKey@handlerVersion přítomen v aktuálním buildu.</w:t>
            </w:r>
          </w:p>
        </w:tc>
      </w:tr>
      <w:tr>
        <w:trPr>
          <w:cantSplit/>
        </w:trPr>
        <w:tc>
          <w:tcPr>
            <w:tcW w:type="dxa" w:w="5112"/>
            <w:tcMar>
              <w:top w:w="80" w:type="dxa"/>
              <w:start w:w="100" w:type="dxa"/>
              <w:bottom w:w="80" w:type="dxa"/>
              <w:end w:w="100" w:type="dxa"/>
            </w:tcMar>
          </w:tcPr>
          <w:p>
            <w:r>
              <w:rPr>
                <w:sz w:val="18"/>
              </w:rPr>
              <w:t>Stav kontraktu</w:t>
            </w:r>
          </w:p>
        </w:tc>
        <w:tc>
          <w:tcPr>
            <w:tcW w:type="dxa" w:w="5112"/>
            <w:tcMar>
              <w:top w:w="80" w:type="dxa"/>
              <w:start w:w="100" w:type="dxa"/>
              <w:bottom w:w="80" w:type="dxa"/>
              <w:end w:w="100" w:type="dxa"/>
            </w:tcMar>
          </w:tcPr>
          <w:p>
            <w:r>
              <w:rPr>
                <w:sz w:val="18"/>
              </w:rPr>
              <w:t>Zda jsou schémata platná a digesty odpovídají schválenému artefaktu.</w:t>
            </w:r>
          </w:p>
        </w:tc>
      </w:tr>
    </w:tbl>
    <w:p>
      <w:pPr>
        <w:pStyle w:val="Heading1"/>
        <w:keepNext/>
        <w:keepLines/>
      </w:pPr>
      <w:r>
        <w:t>13. Standard loggingu a auditu</w:t>
      </w: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MUST-LOG-01</w:t>
            </w:r>
          </w:p>
        </w:tc>
        <w:tc>
          <w:tcPr>
            <w:tcW w:type="dxa" w:w="5112"/>
            <w:shd w:fill="EAF2F8"/>
            <w:tcMar>
              <w:top w:w="80" w:type="dxa"/>
              <w:start w:w="100" w:type="dxa"/>
              <w:bottom w:w="80" w:type="dxa"/>
              <w:end w:w="100" w:type="dxa"/>
            </w:tcMar>
            <w:vAlign w:val="center"/>
          </w:tcPr>
          <w:p>
            <w:r>
              <w:rPr>
                <w:sz w:val="18"/>
              </w:rPr>
              <w:t>Všechny logy jsou strukturované. Volný text bez povinných polí nesmí být jediným záznamem události.</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MUST-LOG-02</w:t>
            </w:r>
          </w:p>
        </w:tc>
        <w:tc>
          <w:tcPr>
            <w:tcW w:type="dxa" w:w="5112"/>
            <w:shd w:fill="EAF2F8"/>
            <w:tcMar>
              <w:top w:w="80" w:type="dxa"/>
              <w:start w:w="100" w:type="dxa"/>
              <w:bottom w:w="80" w:type="dxa"/>
              <w:end w:w="100" w:type="dxa"/>
            </w:tcMar>
            <w:vAlign w:val="center"/>
          </w:tcPr>
          <w:p>
            <w:r>
              <w:rPr>
                <w:sz w:val="18"/>
              </w:rPr>
              <w:t>Každé volání dostane correlationId při vstupu do MCP vrstvy. Stejné ID se používá v autorizaci, auditu, handleru, upstream voláních i výsledku diagnostiky.</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MUST-LOG-03</w:t>
            </w:r>
          </w:p>
        </w:tc>
        <w:tc>
          <w:tcPr>
            <w:tcW w:type="dxa" w:w="5112"/>
            <w:shd w:fill="EAF2F8"/>
            <w:tcMar>
              <w:top w:w="80" w:type="dxa"/>
              <w:start w:w="100" w:type="dxa"/>
              <w:bottom w:w="80" w:type="dxa"/>
              <w:end w:w="100" w:type="dxa"/>
            </w:tcMar>
            <w:vAlign w:val="center"/>
          </w:tcPr>
          <w:p>
            <w:r>
              <w:rPr>
                <w:sz w:val="18"/>
              </w:rPr>
              <w:t>Nikdy se neloguje client secret, access token, session cookie, CSRF token, TOTP secret, heslo, šifrovací klíč ani plná citlivá payload data.</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MUST-LOG-04</w:t>
            </w:r>
          </w:p>
        </w:tc>
        <w:tc>
          <w:tcPr>
            <w:tcW w:type="dxa" w:w="5112"/>
            <w:shd w:fill="EAF2F8"/>
            <w:tcMar>
              <w:top w:w="80" w:type="dxa"/>
              <w:start w:w="100" w:type="dxa"/>
              <w:bottom w:w="80" w:type="dxa"/>
              <w:end w:w="100" w:type="dxa"/>
            </w:tcMar>
            <w:vAlign w:val="center"/>
          </w:tcPr>
          <w:p>
            <w:r>
              <w:rPr>
                <w:sz w:val="18"/>
              </w:rPr>
              <w:t>Pro identifikaci pověření se používá interní credentialId, veřejné Kaja ID nebo bezpečný fingerprint, nikoli tajná hodnota.</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MUST-LOG-05</w:t>
            </w:r>
          </w:p>
        </w:tc>
        <w:tc>
          <w:tcPr>
            <w:tcW w:type="dxa" w:w="5112"/>
            <w:shd w:fill="EAF2F8"/>
            <w:tcMar>
              <w:top w:w="80" w:type="dxa"/>
              <w:start w:w="100" w:type="dxa"/>
              <w:bottom w:w="80" w:type="dxa"/>
              <w:end w:w="100" w:type="dxa"/>
            </w:tcMar>
            <w:vAlign w:val="center"/>
          </w:tcPr>
          <w:p>
            <w:r>
              <w:rPr>
                <w:sz w:val="18"/>
              </w:rPr>
              <w:t>Každá chyba musí mít stabilní errorCode a classification; samotná message nestačí.</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MUST-LOG-06</w:t>
            </w:r>
          </w:p>
        </w:tc>
        <w:tc>
          <w:tcPr>
            <w:tcW w:type="dxa" w:w="5112"/>
            <w:shd w:fill="EAF2F8"/>
            <w:tcMar>
              <w:top w:w="80" w:type="dxa"/>
              <w:start w:w="100" w:type="dxa"/>
              <w:bottom w:w="80" w:type="dxa"/>
              <w:end w:w="100" w:type="dxa"/>
            </w:tcMar>
            <w:vAlign w:val="center"/>
          </w:tcPr>
          <w:p>
            <w:r>
              <w:rPr>
                <w:sz w:val="18"/>
              </w:rPr>
              <w:t>Auditní události jsou append-only. Vývojář handleru je nesmí mazat, přepisovat ani obcházet.</w:t>
            </w:r>
          </w:p>
        </w:tc>
      </w:tr>
    </w:tbl>
    <w:p>
      <w:pPr>
        <w:spacing w:after="0"/>
      </w:pPr>
    </w:p>
    <w:p>
      <w:r>
        <w:t>Povinná pole záznamu podle relevance:</w:t>
      </w:r>
    </w:p>
    <w:p>
      <w:pPr>
        <w:pStyle w:val="ListBullet"/>
      </w:pPr>
      <w:r>
        <w:t>timestamp UTC</w:t>
      </w:r>
    </w:p>
    <w:p>
      <w:pPr>
        <w:pStyle w:val="ListBullet"/>
      </w:pPr>
      <w:r>
        <w:t>level</w:t>
      </w:r>
    </w:p>
    <w:p>
      <w:pPr>
        <w:pStyle w:val="ListBullet"/>
      </w:pPr>
      <w:r>
        <w:t>eventType</w:t>
      </w:r>
    </w:p>
    <w:p>
      <w:pPr>
        <w:pStyle w:val="ListBullet"/>
      </w:pPr>
      <w:r>
        <w:t>correlationId</w:t>
      </w:r>
    </w:p>
    <w:p>
      <w:pPr>
        <w:pStyle w:val="ListBullet"/>
      </w:pPr>
      <w:r>
        <w:t>KCML code</w:t>
      </w:r>
    </w:p>
    <w:p>
      <w:pPr>
        <w:pStyle w:val="ListBullet"/>
      </w:pPr>
      <w:r>
        <w:t>hostname/resource</w:t>
      </w:r>
    </w:p>
    <w:p>
      <w:pPr>
        <w:pStyle w:val="ListBullet"/>
      </w:pPr>
      <w:r>
        <w:t>toolName</w:t>
      </w:r>
    </w:p>
    <w:p>
      <w:pPr>
        <w:pStyle w:val="ListBullet"/>
      </w:pPr>
      <w:r>
        <w:t>handlerKey</w:t>
      </w:r>
    </w:p>
    <w:p>
      <w:pPr>
        <w:pStyle w:val="ListBullet"/>
      </w:pPr>
      <w:r>
        <w:t>handlerVersion</w:t>
      </w:r>
    </w:p>
    <w:p>
      <w:pPr>
        <w:pStyle w:val="ListBullet"/>
      </w:pPr>
      <w:r>
        <w:t>credentialId nebo fingerprint</w:t>
      </w:r>
    </w:p>
    <w:p>
      <w:pPr>
        <w:pStyle w:val="ListBullet"/>
      </w:pPr>
      <w:r>
        <w:t>result</w:t>
      </w:r>
    </w:p>
    <w:p>
      <w:pPr>
        <w:pStyle w:val="ListBullet"/>
      </w:pPr>
      <w:r>
        <w:t>HTTP status</w:t>
      </w:r>
    </w:p>
    <w:p>
      <w:pPr>
        <w:pStyle w:val="ListBullet"/>
      </w:pPr>
      <w:r>
        <w:t>JSON-RPC error code</w:t>
      </w:r>
    </w:p>
    <w:p>
      <w:pPr>
        <w:pStyle w:val="ListBullet"/>
      </w:pPr>
      <w:r>
        <w:t>latencyMs</w:t>
      </w:r>
    </w:p>
    <w:p>
      <w:pPr>
        <w:pStyle w:val="ListBullet"/>
      </w:pPr>
      <w:r>
        <w:t>errorCode</w:t>
      </w:r>
    </w:p>
    <w:p>
      <w:pPr>
        <w:pStyle w:val="ListBullet"/>
      </w:pPr>
      <w:r>
        <w:t>classification</w:t>
      </w:r>
    </w:p>
    <w:p>
      <w:pPr>
        <w:pStyle w:val="ListBullet"/>
      </w:pPr>
      <w:r>
        <w:t>upstream system</w:t>
      </w:r>
    </w:p>
    <w:p>
      <w:pPr>
        <w:pStyle w:val="ListBullet"/>
      </w:pPr>
      <w:r>
        <w:t>buildId</w:t>
      </w:r>
    </w:p>
    <w:p>
      <w:r>
        <w:t>Minimální povinné typy událostí:</w:t>
      </w:r>
    </w:p>
    <w:p>
      <w:r>
        <w:rPr>
          <w:sz w:val="18"/>
        </w:rPr>
        <w:t>mcp.request.received, mcp.unknown_host, mcp.disabled, mcp.unauthorized, mcp.invocation.accepted, mcp.invocation.completed, mcp.invocation.failed, mcp.input_schema_failed, mcp.output_schema_failed, mcp.handler_unavailable, mcp.timeout, mcp.upstream_failed, access_token.issued, access_token.denied, permission.granted, permission.revoked, server.registered, server.enabled, server.disabled, server.test.started, server.test.completed, server.test.failed, server.quarantined</w:t>
      </w:r>
    </w:p>
    <w:p>
      <w:pPr>
        <w:pStyle w:val="Heading1"/>
        <w:keepNext/>
        <w:keepLines/>
      </w:pPr>
      <w:r>
        <w:t>14. Chybový kontrakt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Situace</w:t>
            </w:r>
          </w:p>
        </w:tc>
        <w:tc>
          <w:tcPr>
            <w:tcW w:type="dxa" w:w="5112"/>
            <w:shd w:fill="1F4E78"/>
          </w:tcPr>
          <w:p>
            <w:r>
              <w:rPr>
                <w:b/>
                <w:color w:val="FFFFFF"/>
                <w:sz w:val="18"/>
              </w:rPr>
              <w:t>Povinná reakce</w:t>
            </w:r>
          </w:p>
        </w:tc>
      </w:tr>
      <w:tr>
        <w:trPr>
          <w:cantSplit/>
        </w:trPr>
        <w:tc>
          <w:tcPr>
            <w:tcW w:type="dxa" w:w="5112"/>
            <w:tcMar>
              <w:top w:w="80" w:type="dxa"/>
              <w:start w:w="100" w:type="dxa"/>
              <w:bottom w:w="80" w:type="dxa"/>
              <w:end w:w="100" w:type="dxa"/>
            </w:tcMar>
          </w:tcPr>
          <w:p>
            <w:r>
              <w:rPr>
                <w:sz w:val="18"/>
              </w:rPr>
              <w:t>Neznámý hostname</w:t>
            </w:r>
          </w:p>
        </w:tc>
        <w:tc>
          <w:tcPr>
            <w:tcW w:type="dxa" w:w="5112"/>
            <w:tcMar>
              <w:top w:w="80" w:type="dxa"/>
              <w:start w:w="100" w:type="dxa"/>
              <w:bottom w:w="80" w:type="dxa"/>
              <w:end w:w="100" w:type="dxa"/>
            </w:tcMar>
          </w:tcPr>
          <w:p>
            <w:r>
              <w:rPr>
                <w:sz w:val="18"/>
              </w:rPr>
              <w:t>HTTP 404; bez seznamu platných hostů a bez detailu katalogu.</w:t>
            </w:r>
          </w:p>
        </w:tc>
      </w:tr>
      <w:tr>
        <w:trPr>
          <w:cantSplit/>
        </w:trPr>
        <w:tc>
          <w:tcPr>
            <w:tcW w:type="dxa" w:w="5112"/>
            <w:tcMar>
              <w:top w:w="80" w:type="dxa"/>
              <w:start w:w="100" w:type="dxa"/>
              <w:bottom w:w="80" w:type="dxa"/>
              <w:end w:w="100" w:type="dxa"/>
            </w:tcMar>
          </w:tcPr>
          <w:p>
            <w:r>
              <w:rPr>
                <w:sz w:val="18"/>
              </w:rPr>
              <w:t>Nesprávná HTTP metoda</w:t>
            </w:r>
          </w:p>
        </w:tc>
        <w:tc>
          <w:tcPr>
            <w:tcW w:type="dxa" w:w="5112"/>
            <w:tcMar>
              <w:top w:w="80" w:type="dxa"/>
              <w:start w:w="100" w:type="dxa"/>
              <w:bottom w:w="80" w:type="dxa"/>
              <w:end w:w="100" w:type="dxa"/>
            </w:tcMar>
          </w:tcPr>
          <w:p>
            <w:r>
              <w:rPr>
                <w:sz w:val="18"/>
              </w:rPr>
              <w:t>HTTP 405.</w:t>
            </w:r>
          </w:p>
        </w:tc>
      </w:tr>
      <w:tr>
        <w:trPr>
          <w:cantSplit/>
        </w:trPr>
        <w:tc>
          <w:tcPr>
            <w:tcW w:type="dxa" w:w="5112"/>
            <w:tcMar>
              <w:top w:w="80" w:type="dxa"/>
              <w:start w:w="100" w:type="dxa"/>
              <w:bottom w:w="80" w:type="dxa"/>
              <w:end w:w="100" w:type="dxa"/>
            </w:tcMar>
          </w:tcPr>
          <w:p>
            <w:r>
              <w:rPr>
                <w:sz w:val="18"/>
              </w:rPr>
              <w:t>Chybějící nebo neplatný Bearer</w:t>
            </w:r>
          </w:p>
        </w:tc>
        <w:tc>
          <w:tcPr>
            <w:tcW w:type="dxa" w:w="5112"/>
            <w:tcMar>
              <w:top w:w="80" w:type="dxa"/>
              <w:start w:w="100" w:type="dxa"/>
              <w:bottom w:w="80" w:type="dxa"/>
              <w:end w:w="100" w:type="dxa"/>
            </w:tcMar>
          </w:tcPr>
          <w:p>
            <w:r>
              <w:rPr>
                <w:sz w:val="18"/>
              </w:rPr>
              <w:t>HTTP 401; audit mcp.unauthorized.</w:t>
            </w:r>
          </w:p>
        </w:tc>
      </w:tr>
      <w:tr>
        <w:trPr>
          <w:cantSplit/>
        </w:trPr>
        <w:tc>
          <w:tcPr>
            <w:tcW w:type="dxa" w:w="5112"/>
            <w:tcMar>
              <w:top w:w="80" w:type="dxa"/>
              <w:start w:w="100" w:type="dxa"/>
              <w:bottom w:w="80" w:type="dxa"/>
              <w:end w:w="100" w:type="dxa"/>
            </w:tcMar>
          </w:tcPr>
          <w:p>
            <w:r>
              <w:rPr>
                <w:sz w:val="18"/>
              </w:rPr>
              <w:t>Server vypnutý nebo neaktivní</w:t>
            </w:r>
          </w:p>
        </w:tc>
        <w:tc>
          <w:tcPr>
            <w:tcW w:type="dxa" w:w="5112"/>
            <w:tcMar>
              <w:top w:w="80" w:type="dxa"/>
              <w:start w:w="100" w:type="dxa"/>
              <w:bottom w:w="80" w:type="dxa"/>
              <w:end w:w="100" w:type="dxa"/>
            </w:tcMar>
          </w:tcPr>
          <w:p>
            <w:r>
              <w:rPr>
                <w:sz w:val="18"/>
              </w:rPr>
              <w:t>HTTP 503; žádné spuštění handleru.</w:t>
            </w:r>
          </w:p>
        </w:tc>
      </w:tr>
      <w:tr>
        <w:trPr>
          <w:cantSplit/>
        </w:trPr>
        <w:tc>
          <w:tcPr>
            <w:tcW w:type="dxa" w:w="5112"/>
            <w:tcMar>
              <w:top w:w="80" w:type="dxa"/>
              <w:start w:w="100" w:type="dxa"/>
              <w:bottom w:w="80" w:type="dxa"/>
              <w:end w:w="100" w:type="dxa"/>
            </w:tcMar>
          </w:tcPr>
          <w:p>
            <w:r>
              <w:rPr>
                <w:sz w:val="18"/>
              </w:rPr>
              <w:t>Nesprávný toolName</w:t>
            </w:r>
          </w:p>
        </w:tc>
        <w:tc>
          <w:tcPr>
            <w:tcW w:type="dxa" w:w="5112"/>
            <w:tcMar>
              <w:top w:w="80" w:type="dxa"/>
              <w:start w:w="100" w:type="dxa"/>
              <w:bottom w:w="80" w:type="dxa"/>
              <w:end w:w="100" w:type="dxa"/>
            </w:tcMar>
          </w:tcPr>
          <w:p>
            <w:r>
              <w:rPr>
                <w:sz w:val="18"/>
              </w:rPr>
              <w:t>JSON-RPC -32602 Invalid tool for resource.</w:t>
            </w:r>
          </w:p>
        </w:tc>
      </w:tr>
      <w:tr>
        <w:trPr>
          <w:cantSplit/>
        </w:trPr>
        <w:tc>
          <w:tcPr>
            <w:tcW w:type="dxa" w:w="5112"/>
            <w:tcMar>
              <w:top w:w="80" w:type="dxa"/>
              <w:start w:w="100" w:type="dxa"/>
              <w:bottom w:w="80" w:type="dxa"/>
              <w:end w:w="100" w:type="dxa"/>
            </w:tcMar>
          </w:tcPr>
          <w:p>
            <w:r>
              <w:rPr>
                <w:sz w:val="18"/>
              </w:rPr>
              <w:t>Neznámá MCP metoda</w:t>
            </w:r>
          </w:p>
        </w:tc>
        <w:tc>
          <w:tcPr>
            <w:tcW w:type="dxa" w:w="5112"/>
            <w:tcMar>
              <w:top w:w="80" w:type="dxa"/>
              <w:start w:w="100" w:type="dxa"/>
              <w:bottom w:w="80" w:type="dxa"/>
              <w:end w:w="100" w:type="dxa"/>
            </w:tcMar>
          </w:tcPr>
          <w:p>
            <w:r>
              <w:rPr>
                <w:sz w:val="18"/>
              </w:rPr>
              <w:t>JSON-RPC -32601 Method not found.</w:t>
            </w:r>
          </w:p>
        </w:tc>
      </w:tr>
      <w:tr>
        <w:trPr>
          <w:cantSplit/>
        </w:trPr>
        <w:tc>
          <w:tcPr>
            <w:tcW w:type="dxa" w:w="5112"/>
            <w:tcMar>
              <w:top w:w="80" w:type="dxa"/>
              <w:start w:w="100" w:type="dxa"/>
              <w:bottom w:w="80" w:type="dxa"/>
              <w:end w:w="100" w:type="dxa"/>
            </w:tcMar>
          </w:tcPr>
          <w:p>
            <w:r>
              <w:rPr>
                <w:sz w:val="18"/>
              </w:rPr>
              <w:t>Neplatný vstup</w:t>
            </w:r>
          </w:p>
        </w:tc>
        <w:tc>
          <w:tcPr>
            <w:tcW w:type="dxa" w:w="5112"/>
            <w:tcMar>
              <w:top w:w="80" w:type="dxa"/>
              <w:start w:w="100" w:type="dxa"/>
              <w:bottom w:w="80" w:type="dxa"/>
              <w:end w:w="100" w:type="dxa"/>
            </w:tcMar>
          </w:tcPr>
          <w:p>
            <w:r>
              <w:rPr>
                <w:sz w:val="18"/>
              </w:rPr>
              <w:t>JSON-RPC -32602 Input schema validation failed.</w:t>
            </w:r>
          </w:p>
        </w:tc>
      </w:tr>
      <w:tr>
        <w:trPr>
          <w:cantSplit/>
        </w:trPr>
        <w:tc>
          <w:tcPr>
            <w:tcW w:type="dxa" w:w="5112"/>
            <w:tcMar>
              <w:top w:w="80" w:type="dxa"/>
              <w:start w:w="100" w:type="dxa"/>
              <w:bottom w:w="80" w:type="dxa"/>
              <w:end w:w="100" w:type="dxa"/>
            </w:tcMar>
          </w:tcPr>
          <w:p>
            <w:r>
              <w:rPr>
                <w:sz w:val="18"/>
              </w:rPr>
              <w:t>Handler není v buildu</w:t>
            </w:r>
          </w:p>
        </w:tc>
        <w:tc>
          <w:tcPr>
            <w:tcW w:type="dxa" w:w="5112"/>
            <w:tcMar>
              <w:top w:w="80" w:type="dxa"/>
              <w:start w:w="100" w:type="dxa"/>
              <w:bottom w:w="80" w:type="dxa"/>
              <w:end w:w="100" w:type="dxa"/>
            </w:tcMar>
          </w:tcPr>
          <w:p>
            <w:r>
              <w:rPr>
                <w:sz w:val="18"/>
              </w:rPr>
              <w:t>HTTP 503 handler_unavailable.</w:t>
            </w:r>
          </w:p>
        </w:tc>
      </w:tr>
      <w:tr>
        <w:trPr>
          <w:cantSplit/>
        </w:trPr>
        <w:tc>
          <w:tcPr>
            <w:tcW w:type="dxa" w:w="5112"/>
            <w:tcMar>
              <w:top w:w="80" w:type="dxa"/>
              <w:start w:w="100" w:type="dxa"/>
              <w:bottom w:w="80" w:type="dxa"/>
              <w:end w:w="100" w:type="dxa"/>
            </w:tcMar>
          </w:tcPr>
          <w:p>
            <w:r>
              <w:rPr>
                <w:sz w:val="18"/>
              </w:rPr>
              <w:t>Chyba handleru nebo výstupu</w:t>
            </w:r>
          </w:p>
        </w:tc>
        <w:tc>
          <w:tcPr>
            <w:tcW w:type="dxa" w:w="5112"/>
            <w:tcMar>
              <w:top w:w="80" w:type="dxa"/>
              <w:start w:w="100" w:type="dxa"/>
              <w:bottom w:w="80" w:type="dxa"/>
              <w:end w:w="100" w:type="dxa"/>
            </w:tcMar>
          </w:tcPr>
          <w:p>
            <w:r>
              <w:rPr>
                <w:sz w:val="18"/>
              </w:rPr>
              <w:t>JSON-RPC -32603 Handler failed; interní detail pouze do bezpečného logu.</w:t>
            </w:r>
          </w:p>
        </w:tc>
      </w:tr>
      <w:tr>
        <w:trPr>
          <w:cantSplit/>
        </w:trPr>
        <w:tc>
          <w:tcPr>
            <w:tcW w:type="dxa" w:w="5112"/>
            <w:tcMar>
              <w:top w:w="80" w:type="dxa"/>
              <w:start w:w="100" w:type="dxa"/>
              <w:bottom w:w="80" w:type="dxa"/>
              <w:end w:w="100" w:type="dxa"/>
            </w:tcMar>
          </w:tcPr>
          <w:p>
            <w:r>
              <w:rPr>
                <w:sz w:val="18"/>
              </w:rPr>
              <w:t>Timeout</w:t>
            </w:r>
          </w:p>
        </w:tc>
        <w:tc>
          <w:tcPr>
            <w:tcW w:type="dxa" w:w="5112"/>
            <w:tcMar>
              <w:top w:w="80" w:type="dxa"/>
              <w:start w:w="100" w:type="dxa"/>
              <w:bottom w:w="80" w:type="dxa"/>
              <w:end w:w="100" w:type="dxa"/>
            </w:tcMar>
          </w:tcPr>
          <w:p>
            <w:r>
              <w:rPr>
                <w:sz w:val="18"/>
              </w:rPr>
              <w:t>Řízená chyba s classification=timeout; žádný nekonečný běh a žádný fallback.</w:t>
            </w:r>
          </w:p>
        </w:tc>
      </w:tr>
    </w:tbl>
    <w:p>
      <w:pPr>
        <w:pStyle w:val="Heading1"/>
        <w:keepNext/>
        <w:keepLines/>
      </w:pPr>
      <w:r>
        <w:t>15. Testovací standard</w:t>
      </w:r>
    </w:p>
    <w:p>
      <w:r>
        <w:t>Nový KCML server nesmí být zařazen do TRIAL ani ACTIVE bez automatických testů níže. Tlačítko Otestovat v UI nenahrazuje CI testy; je provozní diagnostikou nad již schváleným kontraktem.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Test</w:t>
            </w:r>
          </w:p>
        </w:tc>
        <w:tc>
          <w:tcPr>
            <w:tcW w:type="dxa" w:w="5112"/>
            <w:shd w:fill="1F4E78"/>
          </w:tcPr>
          <w:p>
            <w:r>
              <w:rPr>
                <w:b/>
                <w:color w:val="FFFFFF"/>
                <w:sz w:val="18"/>
              </w:rPr>
              <w:t>Akceptační podmínka</w:t>
            </w:r>
          </w:p>
        </w:tc>
      </w:tr>
      <w:tr>
        <w:trPr>
          <w:cantSplit/>
        </w:trPr>
        <w:tc>
          <w:tcPr>
            <w:tcW w:type="dxa" w:w="5112"/>
            <w:tcMar>
              <w:top w:w="80" w:type="dxa"/>
              <w:start w:w="100" w:type="dxa"/>
              <w:bottom w:w="80" w:type="dxa"/>
              <w:end w:w="100" w:type="dxa"/>
            </w:tcMar>
          </w:tcPr>
          <w:p>
            <w:r>
              <w:rPr>
                <w:sz w:val="18"/>
              </w:rPr>
              <w:t>T-01 Inicializace</w:t>
            </w:r>
          </w:p>
        </w:tc>
        <w:tc>
          <w:tcPr>
            <w:tcW w:type="dxa" w:w="5112"/>
            <w:tcMar>
              <w:top w:w="80" w:type="dxa"/>
              <w:start w:w="100" w:type="dxa"/>
              <w:bottom w:w="80" w:type="dxa"/>
              <w:end w:w="100" w:type="dxa"/>
            </w:tcMar>
          </w:tcPr>
          <w:p>
            <w:r>
              <w:rPr>
                <w:sz w:val="18"/>
              </w:rPr>
              <w:t>initialize vrátí správný KCML code a handlerVersion.</w:t>
            </w:r>
          </w:p>
        </w:tc>
      </w:tr>
      <w:tr>
        <w:trPr>
          <w:cantSplit/>
        </w:trPr>
        <w:tc>
          <w:tcPr>
            <w:tcW w:type="dxa" w:w="5112"/>
            <w:tcMar>
              <w:top w:w="80" w:type="dxa"/>
              <w:start w:w="100" w:type="dxa"/>
              <w:bottom w:w="80" w:type="dxa"/>
              <w:end w:w="100" w:type="dxa"/>
            </w:tcMar>
          </w:tcPr>
          <w:p>
            <w:r>
              <w:rPr>
                <w:sz w:val="18"/>
              </w:rPr>
              <w:t>T-02 Jediný nástroj</w:t>
            </w:r>
          </w:p>
        </w:tc>
        <w:tc>
          <w:tcPr>
            <w:tcW w:type="dxa" w:w="5112"/>
            <w:tcMar>
              <w:top w:w="80" w:type="dxa"/>
              <w:start w:w="100" w:type="dxa"/>
              <w:bottom w:w="80" w:type="dxa"/>
              <w:end w:w="100" w:type="dxa"/>
            </w:tcMar>
          </w:tcPr>
          <w:p>
            <w:r>
              <w:rPr>
                <w:sz w:val="18"/>
              </w:rPr>
              <w:t>tools/list vrátí právě jeden nástroj a správné inputSchema.</w:t>
            </w:r>
          </w:p>
        </w:tc>
      </w:tr>
      <w:tr>
        <w:trPr>
          <w:cantSplit/>
        </w:trPr>
        <w:tc>
          <w:tcPr>
            <w:tcW w:type="dxa" w:w="5112"/>
            <w:tcMar>
              <w:top w:w="80" w:type="dxa"/>
              <w:start w:w="100" w:type="dxa"/>
              <w:bottom w:w="80" w:type="dxa"/>
              <w:end w:w="100" w:type="dxa"/>
            </w:tcMar>
          </w:tcPr>
          <w:p>
            <w:r>
              <w:rPr>
                <w:sz w:val="18"/>
              </w:rPr>
              <w:t>T-03 Správná funkce</w:t>
            </w:r>
          </w:p>
        </w:tc>
        <w:tc>
          <w:tcPr>
            <w:tcW w:type="dxa" w:w="5112"/>
            <w:tcMar>
              <w:top w:w="80" w:type="dxa"/>
              <w:start w:w="100" w:type="dxa"/>
              <w:bottom w:w="80" w:type="dxa"/>
              <w:end w:w="100" w:type="dxa"/>
            </w:tcMar>
          </w:tcPr>
          <w:p>
            <w:r>
              <w:rPr>
                <w:sz w:val="18"/>
              </w:rPr>
              <w:t>tools/call správného názvu a platného vstupu dokončí handler a validuje výstup.</w:t>
            </w:r>
          </w:p>
        </w:tc>
      </w:tr>
      <w:tr>
        <w:trPr>
          <w:cantSplit/>
        </w:trPr>
        <w:tc>
          <w:tcPr>
            <w:tcW w:type="dxa" w:w="5112"/>
            <w:tcMar>
              <w:top w:w="80" w:type="dxa"/>
              <w:start w:w="100" w:type="dxa"/>
              <w:bottom w:w="80" w:type="dxa"/>
              <w:end w:w="100" w:type="dxa"/>
            </w:tcMar>
          </w:tcPr>
          <w:p>
            <w:r>
              <w:rPr>
                <w:sz w:val="18"/>
              </w:rPr>
              <w:t>T-04 Cizí funkce</w:t>
            </w:r>
          </w:p>
        </w:tc>
        <w:tc>
          <w:tcPr>
            <w:tcW w:type="dxa" w:w="5112"/>
            <w:tcMar>
              <w:top w:w="80" w:type="dxa"/>
              <w:start w:w="100" w:type="dxa"/>
              <w:bottom w:w="80" w:type="dxa"/>
              <w:end w:w="100" w:type="dxa"/>
            </w:tcMar>
          </w:tcPr>
          <w:p>
            <w:r>
              <w:rPr>
                <w:sz w:val="18"/>
              </w:rPr>
              <w:t>Nástroj z jiného KCML serveru je na tomto hostname odmítnut.</w:t>
            </w:r>
          </w:p>
        </w:tc>
      </w:tr>
      <w:tr>
        <w:trPr>
          <w:cantSplit/>
        </w:trPr>
        <w:tc>
          <w:tcPr>
            <w:tcW w:type="dxa" w:w="5112"/>
            <w:tcMar>
              <w:top w:w="80" w:type="dxa"/>
              <w:start w:w="100" w:type="dxa"/>
              <w:bottom w:w="80" w:type="dxa"/>
              <w:end w:w="100" w:type="dxa"/>
            </w:tcMar>
          </w:tcPr>
          <w:p>
            <w:r>
              <w:rPr>
                <w:sz w:val="18"/>
              </w:rPr>
              <w:t>T-05 Křížová subdoména</w:t>
            </w:r>
          </w:p>
        </w:tc>
        <w:tc>
          <w:tcPr>
            <w:tcW w:type="dxa" w:w="5112"/>
            <w:tcMar>
              <w:top w:w="80" w:type="dxa"/>
              <w:start w:w="100" w:type="dxa"/>
              <w:bottom w:w="80" w:type="dxa"/>
              <w:end w:w="100" w:type="dxa"/>
            </w:tcMar>
          </w:tcPr>
          <w:p>
            <w:r>
              <w:rPr>
                <w:sz w:val="18"/>
              </w:rPr>
              <w:t>Token i nástroj KCML0001 jsou na kcml0002.hcasc.cz odmítnuty.</w:t>
            </w:r>
          </w:p>
        </w:tc>
      </w:tr>
      <w:tr>
        <w:trPr>
          <w:cantSplit/>
        </w:trPr>
        <w:tc>
          <w:tcPr>
            <w:tcW w:type="dxa" w:w="5112"/>
            <w:tcMar>
              <w:top w:w="80" w:type="dxa"/>
              <w:start w:w="100" w:type="dxa"/>
              <w:bottom w:w="80" w:type="dxa"/>
              <w:end w:w="100" w:type="dxa"/>
            </w:tcMar>
          </w:tcPr>
          <w:p>
            <w:r>
              <w:rPr>
                <w:sz w:val="18"/>
              </w:rPr>
              <w:t>T-06 Bez tokenu</w:t>
            </w:r>
          </w:p>
        </w:tc>
        <w:tc>
          <w:tcPr>
            <w:tcW w:type="dxa" w:w="5112"/>
            <w:tcMar>
              <w:top w:w="80" w:type="dxa"/>
              <w:start w:w="100" w:type="dxa"/>
              <w:bottom w:w="80" w:type="dxa"/>
              <w:end w:w="100" w:type="dxa"/>
            </w:tcMar>
          </w:tcPr>
          <w:p>
            <w:r>
              <w:rPr>
                <w:sz w:val="18"/>
              </w:rPr>
              <w:t>Požadavek bez Bearer tokenu je odmítnut před handlerem.</w:t>
            </w:r>
          </w:p>
        </w:tc>
      </w:tr>
      <w:tr>
        <w:trPr>
          <w:cantSplit/>
        </w:trPr>
        <w:tc>
          <w:tcPr>
            <w:tcW w:type="dxa" w:w="5112"/>
            <w:tcMar>
              <w:top w:w="80" w:type="dxa"/>
              <w:start w:w="100" w:type="dxa"/>
              <w:bottom w:w="80" w:type="dxa"/>
              <w:end w:w="100" w:type="dxa"/>
            </w:tcMar>
          </w:tcPr>
          <w:p>
            <w:r>
              <w:rPr>
                <w:sz w:val="18"/>
              </w:rPr>
              <w:t>T-07 Audience binding</w:t>
            </w:r>
          </w:p>
        </w:tc>
        <w:tc>
          <w:tcPr>
            <w:tcW w:type="dxa" w:w="5112"/>
            <w:tcMar>
              <w:top w:w="80" w:type="dxa"/>
              <w:start w:w="100" w:type="dxa"/>
              <w:bottom w:w="80" w:type="dxa"/>
              <w:end w:w="100" w:type="dxa"/>
            </w:tcMar>
          </w:tcPr>
          <w:p>
            <w:r>
              <w:rPr>
                <w:sz w:val="18"/>
              </w:rPr>
              <w:t>Token vydaný pro jiný resource je odmítnut.</w:t>
            </w:r>
          </w:p>
        </w:tc>
      </w:tr>
      <w:tr>
        <w:trPr>
          <w:cantSplit/>
        </w:trPr>
        <w:tc>
          <w:tcPr>
            <w:tcW w:type="dxa" w:w="5112"/>
            <w:tcMar>
              <w:top w:w="80" w:type="dxa"/>
              <w:start w:w="100" w:type="dxa"/>
              <w:bottom w:w="80" w:type="dxa"/>
              <w:end w:w="100" w:type="dxa"/>
            </w:tcMar>
          </w:tcPr>
          <w:p>
            <w:r>
              <w:rPr>
                <w:sz w:val="18"/>
              </w:rPr>
              <w:t>T-08 Oprávnění</w:t>
            </w:r>
          </w:p>
        </w:tc>
        <w:tc>
          <w:tcPr>
            <w:tcW w:type="dxa" w:w="5112"/>
            <w:tcMar>
              <w:top w:w="80" w:type="dxa"/>
              <w:start w:w="100" w:type="dxa"/>
              <w:bottom w:w="80" w:type="dxa"/>
              <w:end w:w="100" w:type="dxa"/>
            </w:tcMar>
          </w:tcPr>
          <w:p>
            <w:r>
              <w:rPr>
                <w:sz w:val="18"/>
              </w:rPr>
              <w:t>Kaja bez vazby na server nezíská access token.</w:t>
            </w:r>
          </w:p>
        </w:tc>
      </w:tr>
      <w:tr>
        <w:trPr>
          <w:cantSplit/>
        </w:trPr>
        <w:tc>
          <w:tcPr>
            <w:tcW w:type="dxa" w:w="5112"/>
            <w:tcMar>
              <w:top w:w="80" w:type="dxa"/>
              <w:start w:w="100" w:type="dxa"/>
              <w:bottom w:w="80" w:type="dxa"/>
              <w:end w:w="100" w:type="dxa"/>
            </w:tcMar>
          </w:tcPr>
          <w:p>
            <w:r>
              <w:rPr>
                <w:sz w:val="18"/>
              </w:rPr>
              <w:t>T-09 Vypnutí</w:t>
            </w:r>
          </w:p>
        </w:tc>
        <w:tc>
          <w:tcPr>
            <w:tcW w:type="dxa" w:w="5112"/>
            <w:tcMar>
              <w:top w:w="80" w:type="dxa"/>
              <w:start w:w="100" w:type="dxa"/>
              <w:bottom w:w="80" w:type="dxa"/>
              <w:end w:w="100" w:type="dxa"/>
            </w:tcMar>
          </w:tcPr>
          <w:p>
            <w:r>
              <w:rPr>
                <w:sz w:val="18"/>
              </w:rPr>
              <w:t>Po enabled=false nefunguje ani dříve platný token.</w:t>
            </w:r>
          </w:p>
        </w:tc>
      </w:tr>
      <w:tr>
        <w:trPr>
          <w:cantSplit/>
        </w:trPr>
        <w:tc>
          <w:tcPr>
            <w:tcW w:type="dxa" w:w="5112"/>
            <w:tcMar>
              <w:top w:w="80" w:type="dxa"/>
              <w:start w:w="100" w:type="dxa"/>
              <w:bottom w:w="80" w:type="dxa"/>
              <w:end w:w="100" w:type="dxa"/>
            </w:tcMar>
          </w:tcPr>
          <w:p>
            <w:r>
              <w:rPr>
                <w:sz w:val="18"/>
              </w:rPr>
              <w:t>T-10 Vstupní schéma</w:t>
            </w:r>
          </w:p>
        </w:tc>
        <w:tc>
          <w:tcPr>
            <w:tcW w:type="dxa" w:w="5112"/>
            <w:tcMar>
              <w:top w:w="80" w:type="dxa"/>
              <w:start w:w="100" w:type="dxa"/>
              <w:bottom w:w="80" w:type="dxa"/>
              <w:end w:w="100" w:type="dxa"/>
            </w:tcMar>
          </w:tcPr>
          <w:p>
            <w:r>
              <w:rPr>
                <w:sz w:val="18"/>
              </w:rPr>
              <w:t>Chybějící, nadbytečné a typově chybné hodnoty jsou odmítnuty.</w:t>
            </w:r>
          </w:p>
        </w:tc>
      </w:tr>
      <w:tr>
        <w:trPr>
          <w:cantSplit/>
        </w:trPr>
        <w:tc>
          <w:tcPr>
            <w:tcW w:type="dxa" w:w="5112"/>
            <w:tcMar>
              <w:top w:w="80" w:type="dxa"/>
              <w:start w:w="100" w:type="dxa"/>
              <w:bottom w:w="80" w:type="dxa"/>
              <w:end w:w="100" w:type="dxa"/>
            </w:tcMar>
          </w:tcPr>
          <w:p>
            <w:r>
              <w:rPr>
                <w:sz w:val="18"/>
              </w:rPr>
              <w:t>T-11 Výstupní schéma</w:t>
            </w:r>
          </w:p>
        </w:tc>
        <w:tc>
          <w:tcPr>
            <w:tcW w:type="dxa" w:w="5112"/>
            <w:tcMar>
              <w:top w:w="80" w:type="dxa"/>
              <w:start w:w="100" w:type="dxa"/>
              <w:bottom w:w="80" w:type="dxa"/>
              <w:end w:w="100" w:type="dxa"/>
            </w:tcMar>
          </w:tcPr>
          <w:p>
            <w:r>
              <w:rPr>
                <w:sz w:val="18"/>
              </w:rPr>
              <w:t>Neplatný výstup handleru je chyba a nezvýší success_count.</w:t>
            </w:r>
          </w:p>
        </w:tc>
      </w:tr>
      <w:tr>
        <w:trPr>
          <w:cantSplit/>
        </w:trPr>
        <w:tc>
          <w:tcPr>
            <w:tcW w:type="dxa" w:w="5112"/>
            <w:tcMar>
              <w:top w:w="80" w:type="dxa"/>
              <w:start w:w="100" w:type="dxa"/>
              <w:bottom w:w="80" w:type="dxa"/>
              <w:end w:w="100" w:type="dxa"/>
            </w:tcMar>
          </w:tcPr>
          <w:p>
            <w:r>
              <w:rPr>
                <w:sz w:val="18"/>
              </w:rPr>
              <w:t>T-12 Timeout</w:t>
            </w:r>
          </w:p>
        </w:tc>
        <w:tc>
          <w:tcPr>
            <w:tcW w:type="dxa" w:w="5112"/>
            <w:tcMar>
              <w:top w:w="80" w:type="dxa"/>
              <w:start w:w="100" w:type="dxa"/>
              <w:bottom w:w="80" w:type="dxa"/>
              <w:end w:w="100" w:type="dxa"/>
            </w:tcMar>
          </w:tcPr>
          <w:p>
            <w:r>
              <w:rPr>
                <w:sz w:val="18"/>
              </w:rPr>
              <w:t>Překročení limitu je ukončeno a auditováno.</w:t>
            </w:r>
          </w:p>
        </w:tc>
      </w:tr>
      <w:tr>
        <w:trPr>
          <w:cantSplit/>
        </w:trPr>
        <w:tc>
          <w:tcPr>
            <w:tcW w:type="dxa" w:w="5112"/>
            <w:tcMar>
              <w:top w:w="80" w:type="dxa"/>
              <w:start w:w="100" w:type="dxa"/>
              <w:bottom w:w="80" w:type="dxa"/>
              <w:end w:w="100" w:type="dxa"/>
            </w:tcMar>
          </w:tcPr>
          <w:p>
            <w:r>
              <w:rPr>
                <w:sz w:val="18"/>
              </w:rPr>
              <w:t>T-13 Logging redaction</w:t>
            </w:r>
          </w:p>
        </w:tc>
        <w:tc>
          <w:tcPr>
            <w:tcW w:type="dxa" w:w="5112"/>
            <w:tcMar>
              <w:top w:w="80" w:type="dxa"/>
              <w:start w:w="100" w:type="dxa"/>
              <w:bottom w:w="80" w:type="dxa"/>
              <w:end w:w="100" w:type="dxa"/>
            </w:tcMar>
          </w:tcPr>
          <w:p>
            <w:r>
              <w:rPr>
                <w:sz w:val="18"/>
              </w:rPr>
              <w:t>V logu ani auditu není secret ani access token.</w:t>
            </w:r>
          </w:p>
        </w:tc>
      </w:tr>
      <w:tr>
        <w:trPr>
          <w:cantSplit/>
        </w:trPr>
        <w:tc>
          <w:tcPr>
            <w:tcW w:type="dxa" w:w="5112"/>
            <w:tcMar>
              <w:top w:w="80" w:type="dxa"/>
              <w:start w:w="100" w:type="dxa"/>
              <w:bottom w:w="80" w:type="dxa"/>
              <w:end w:w="100" w:type="dxa"/>
            </w:tcMar>
          </w:tcPr>
          <w:p>
            <w:r>
              <w:rPr>
                <w:sz w:val="18"/>
              </w:rPr>
              <w:t>T-14 Statistiky</w:t>
            </w:r>
          </w:p>
        </w:tc>
        <w:tc>
          <w:tcPr>
            <w:tcW w:type="dxa" w:w="5112"/>
            <w:tcMar>
              <w:top w:w="80" w:type="dxa"/>
              <w:start w:w="100" w:type="dxa"/>
              <w:bottom w:w="80" w:type="dxa"/>
              <w:end w:w="100" w:type="dxa"/>
            </w:tcMar>
          </w:tcPr>
          <w:p>
            <w:r>
              <w:rPr>
                <w:sz w:val="18"/>
              </w:rPr>
              <w:t>Úspěch, chyba a neautorizované volání aktualizují správné oddělené metriky.</w:t>
            </w:r>
          </w:p>
        </w:tc>
      </w:tr>
      <w:tr>
        <w:trPr>
          <w:cantSplit/>
        </w:trPr>
        <w:tc>
          <w:tcPr>
            <w:tcW w:type="dxa" w:w="5112"/>
            <w:tcMar>
              <w:top w:w="80" w:type="dxa"/>
              <w:start w:w="100" w:type="dxa"/>
              <w:bottom w:w="80" w:type="dxa"/>
              <w:end w:w="100" w:type="dxa"/>
            </w:tcMar>
          </w:tcPr>
          <w:p>
            <w:r>
              <w:rPr>
                <w:sz w:val="18"/>
              </w:rPr>
              <w:t>T-15 Restart</w:t>
            </w:r>
          </w:p>
        </w:tc>
        <w:tc>
          <w:tcPr>
            <w:tcW w:type="dxa" w:w="5112"/>
            <w:tcMar>
              <w:top w:w="80" w:type="dxa"/>
              <w:start w:w="100" w:type="dxa"/>
              <w:bottom w:w="80" w:type="dxa"/>
              <w:end w:w="100" w:type="dxa"/>
            </w:tcMar>
          </w:tcPr>
          <w:p>
            <w:r>
              <w:rPr>
                <w:sz w:val="18"/>
              </w:rPr>
              <w:t>Po restartu zůstává katalog, oprávnění i kumulativní statistika zachována.</w:t>
            </w:r>
          </w:p>
        </w:tc>
      </w:tr>
      <w:tr>
        <w:trPr>
          <w:cantSplit/>
        </w:trPr>
        <w:tc>
          <w:tcPr>
            <w:tcW w:type="dxa" w:w="5112"/>
            <w:tcMar>
              <w:top w:w="80" w:type="dxa"/>
              <w:start w:w="100" w:type="dxa"/>
              <w:bottom w:w="80" w:type="dxa"/>
              <w:end w:w="100" w:type="dxa"/>
            </w:tcMar>
          </w:tcPr>
          <w:p>
            <w:r>
              <w:rPr>
                <w:sz w:val="18"/>
              </w:rPr>
              <w:t>T-16 UI test</w:t>
            </w:r>
          </w:p>
        </w:tc>
        <w:tc>
          <w:tcPr>
            <w:tcW w:type="dxa" w:w="5112"/>
            <w:tcMar>
              <w:top w:w="80" w:type="dxa"/>
              <w:start w:w="100" w:type="dxa"/>
              <w:bottom w:w="80" w:type="dxa"/>
              <w:end w:w="100" w:type="dxa"/>
            </w:tcMar>
          </w:tcPr>
          <w:p>
            <w:r>
              <w:rPr>
                <w:sz w:val="18"/>
              </w:rPr>
              <w:t>Test z UI používá skutečný MCP tok, nikoli přímé volání handleru obcházející autorizaci a validaci.</w:t>
            </w:r>
          </w:p>
        </w:tc>
      </w:tr>
    </w:tbl>
    <w:p>
      <w:pPr>
        <w:pStyle w:val="Heading1"/>
        <w:keepNext/>
        <w:keepLines/>
      </w:pPr>
      <w:r>
        <w:t>16. Produkční routing a provoz na společném serveru</w:t>
      </w:r>
    </w:p>
    <w:p>
      <w:pPr>
        <w:pStyle w:val="ListBullet"/>
      </w:pPr>
      <w:r>
        <w:t>Více KCML serverů může bez omezení běžet v jedné aplikaci, jednom procesu a na jednom Ubuntu serveru. Samostatnost je protokolová, autorizační a katalogová, nikoli nutně procesní.</w:t>
      </w:r>
    </w:p>
    <w:p>
      <w:pPr>
        <w:pStyle w:val="ListBullet"/>
      </w:pPr>
      <w:r>
        <w:t>Reverse proxy musí předávat původní Host a TLS musí pokrývat příslušné subdomény, například wildcard certifikátem pro *.hcasc.cz.</w:t>
      </w:r>
    </w:p>
    <w:p>
      <w:pPr>
        <w:pStyle w:val="ListBullet"/>
      </w:pPr>
      <w:r>
        <w:t>Veřejné subdomény směrují do stejného interního upstreamu; upstream vybere záznam výhradně podle hostu.</w:t>
      </w:r>
    </w:p>
    <w:p>
      <w:pPr>
        <w:pStyle w:val="ListBullet"/>
      </w:pPr>
      <w:r>
        <w:t>Žádný nový KCML server nesmí vyžadovat nový veřejný port. Ochrana proti konfliktům s jinými aplikacemi spočívá v centrálním reverse proxy routingu a interním bindu aplikace na 127.0.0.1.</w:t>
      </w:r>
    </w:p>
    <w:p>
      <w:pPr>
        <w:pStyle w:val="ListBullet"/>
      </w:pPr>
      <w:r>
        <w:t>Registrace nové subdomény, kontrola DNS, TLS a routingu musí být automatizována nebo provedena z UI správce; běžná správa nesmí vyžadovat ruční editaci proxy konfigurace.</w:t>
      </w:r>
    </w:p>
    <w:p>
      <w:pPr>
        <w:pStyle w:val="ListBullet"/>
      </w:pPr>
      <w:r>
        <w:t>Neznámá, neregistrovaná nebo vyřazená subdoména nesmí být automaticky přesměrována na existující MCP server.</w:t>
      </w:r>
    </w:p>
    <w:p>
      <w:pPr>
        <w:pStyle w:val="Heading1"/>
        <w:keepNext/>
        <w:keepLines/>
      </w:pPr>
      <w:r>
        <w:t>17. Zákaz fallbacků a skrytých cest</w:t>
      </w: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NO-FALLBACK-01</w:t>
            </w:r>
          </w:p>
        </w:tc>
        <w:tc>
          <w:tcPr>
            <w:tcW w:type="dxa" w:w="5112"/>
            <w:shd w:fill="EAF2F8"/>
            <w:tcMar>
              <w:top w:w="80" w:type="dxa"/>
              <w:start w:w="100" w:type="dxa"/>
              <w:bottom w:w="80" w:type="dxa"/>
              <w:end w:w="100" w:type="dxa"/>
            </w:tcMar>
            <w:vAlign w:val="center"/>
          </w:tcPr>
          <w:p>
            <w:r>
              <w:rPr>
                <w:sz w:val="18"/>
              </w:rPr>
              <w:t>Pokud handler, upstream systém, kontrakt, oprávnění nebo konfigurace nejsou dostupné, volání musí skončit přesnou chybou. Nesmí být použita náhradní funkce.</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NO-FALLBACK-02</w:t>
            </w:r>
          </w:p>
        </w:tc>
        <w:tc>
          <w:tcPr>
            <w:tcW w:type="dxa" w:w="5112"/>
            <w:shd w:fill="EAF2F8"/>
            <w:tcMar>
              <w:top w:w="80" w:type="dxa"/>
              <w:start w:w="100" w:type="dxa"/>
              <w:bottom w:w="80" w:type="dxa"/>
              <w:end w:w="100" w:type="dxa"/>
            </w:tcMar>
            <w:vAlign w:val="center"/>
          </w:tcPr>
          <w:p>
            <w:r>
              <w:rPr>
                <w:sz w:val="18"/>
              </w:rPr>
              <w:t>Nesmí existovat fallback z konkrétní subdomény na obecný katalog nebo jiný KCML server.</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NO-FALLBACK-03</w:t>
            </w:r>
          </w:p>
        </w:tc>
        <w:tc>
          <w:tcPr>
            <w:tcW w:type="dxa" w:w="5112"/>
            <w:shd w:fill="EAF2F8"/>
            <w:tcMar>
              <w:top w:w="80" w:type="dxa"/>
              <w:start w:w="100" w:type="dxa"/>
              <w:bottom w:w="80" w:type="dxa"/>
              <w:end w:w="100" w:type="dxa"/>
            </w:tcMar>
            <w:vAlign w:val="center"/>
          </w:tcPr>
          <w:p>
            <w:r>
              <w:rPr>
                <w:sz w:val="18"/>
              </w:rPr>
              <w:t>Nesmí existovat anonymní režim, implicitní oprávnění, master token pro běžné klienty ani bypass pro interní volání ze stejného serveru.</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NO-FALLBACK-04</w:t>
            </w:r>
          </w:p>
        </w:tc>
        <w:tc>
          <w:tcPr>
            <w:tcW w:type="dxa" w:w="5112"/>
            <w:shd w:fill="EAF2F8"/>
            <w:tcMar>
              <w:top w:w="80" w:type="dxa"/>
              <w:start w:w="100" w:type="dxa"/>
              <w:bottom w:w="80" w:type="dxa"/>
              <w:end w:w="100" w:type="dxa"/>
            </w:tcMar>
            <w:vAlign w:val="center"/>
          </w:tcPr>
          <w:p>
            <w:r>
              <w:rPr>
                <w:sz w:val="18"/>
              </w:rPr>
              <w:t>Interní a externí klient se stejným platným tokenem a oprávněním mají stejné autorizační chování. Umístění klienta nesmí změnit oprávnění.</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NO-FALLBACK-05</w:t>
            </w:r>
          </w:p>
        </w:tc>
        <w:tc>
          <w:tcPr>
            <w:tcW w:type="dxa" w:w="5112"/>
            <w:shd w:fill="EAF2F8"/>
            <w:tcMar>
              <w:top w:w="80" w:type="dxa"/>
              <w:start w:w="100" w:type="dxa"/>
              <w:bottom w:w="80" w:type="dxa"/>
              <w:end w:w="100" w:type="dxa"/>
            </w:tcMar>
            <w:vAlign w:val="center"/>
          </w:tcPr>
          <w:p>
            <w:r>
              <w:rPr>
                <w:sz w:val="18"/>
              </w:rPr>
              <w:t>Žádná konfigurace nového MCP serveru nesmí být skrytě doplněna z .env nebo lokálního souboru, pokud má být spravována administrátorem.</w:t>
            </w:r>
          </w:p>
        </w:tc>
      </w:tr>
    </w:tbl>
    <w:p>
      <w:pPr>
        <w:spacing w:after="0"/>
      </w:pPr>
    </w:p>
    <w:p>
      <w:pPr>
        <w:pStyle w:val="Heading1"/>
        <w:keepNext/>
        <w:keepLines/>
      </w:pPr>
      <w:r>
        <w:t>18. Povinný vývojářský checklist před předáním</w:t>
      </w:r>
    </w:p>
    <w:p>
      <w:pPr>
        <w:pStyle w:val="ListBullet"/>
      </w:pPr>
      <w:r>
        <w:rPr>
          <w:b/>
        </w:rPr>
        <w:t xml:space="preserve">☐ </w:t>
      </w:r>
      <w:r>
        <w:t>KCML kód a hostname byly přiděleny systémem a nebyly ručně zvoleny.</w:t>
      </w:r>
    </w:p>
    <w:p>
      <w:pPr>
        <w:pStyle w:val="ListBullet"/>
      </w:pPr>
      <w:r>
        <w:rPr>
          <w:b/>
        </w:rPr>
        <w:t xml:space="preserve">☐ </w:t>
      </w:r>
      <w:r>
        <w:t>Hostname je jedinečný a resource přesně odpovídá https://hostname/mcp.</w:t>
      </w:r>
    </w:p>
    <w:p>
      <w:pPr>
        <w:pStyle w:val="ListBullet"/>
      </w:pPr>
      <w:r>
        <w:rPr>
          <w:b/>
        </w:rPr>
        <w:t xml:space="preserve">☐ </w:t>
      </w:r>
      <w:r>
        <w:t>tools/list vrací právě jeden nástroj.</w:t>
      </w:r>
    </w:p>
    <w:p>
      <w:pPr>
        <w:pStyle w:val="ListBullet"/>
      </w:pPr>
      <w:r>
        <w:rPr>
          <w:b/>
        </w:rPr>
        <w:t xml:space="preserve">☐ </w:t>
      </w:r>
      <w:r>
        <w:t>Jiný nástroj není na tomto serveru volatelný.</w:t>
      </w:r>
    </w:p>
    <w:p>
      <w:pPr>
        <w:pStyle w:val="ListBullet"/>
      </w:pPr>
      <w:r>
        <w:rPr>
          <w:b/>
        </w:rPr>
        <w:t xml:space="preserve">☐ </w:t>
      </w:r>
      <w:r>
        <w:t>Handler je registrován pod jedinečným handlerKey@handlerVersion.</w:t>
      </w:r>
    </w:p>
    <w:p>
      <w:pPr>
        <w:pStyle w:val="ListBullet"/>
      </w:pPr>
      <w:r>
        <w:rPr>
          <w:b/>
        </w:rPr>
        <w:t xml:space="preserve">☐ </w:t>
      </w:r>
      <w:r>
        <w:t>Vstupní i výstupní schéma jsou striktní a testovaná.</w:t>
      </w:r>
    </w:p>
    <w:p>
      <w:pPr>
        <w:pStyle w:val="ListBullet"/>
      </w:pPr>
      <w:r>
        <w:rPr>
          <w:b/>
        </w:rPr>
        <w:t xml:space="preserve">☐ </w:t>
      </w:r>
      <w:r>
        <w:t>Handler neobsahuje vlastní autorizaci ani veřejný endpoint.</w:t>
      </w:r>
    </w:p>
    <w:p>
      <w:pPr>
        <w:pStyle w:val="ListBullet"/>
      </w:pPr>
      <w:r>
        <w:rPr>
          <w:b/>
        </w:rPr>
        <w:t xml:space="preserve">☐ </w:t>
      </w:r>
      <w:r>
        <w:t>Access token je audience-bound na tento resource.</w:t>
      </w:r>
    </w:p>
    <w:p>
      <w:pPr>
        <w:pStyle w:val="ListBullet"/>
      </w:pPr>
      <w:r>
        <w:rPr>
          <w:b/>
        </w:rPr>
        <w:t xml:space="preserve">☐ </w:t>
      </w:r>
      <w:r>
        <w:t>Bez oprávnění nelze token vydat.</w:t>
      </w:r>
    </w:p>
    <w:p>
      <w:pPr>
        <w:pStyle w:val="ListBullet"/>
      </w:pPr>
      <w:r>
        <w:rPr>
          <w:b/>
        </w:rPr>
        <w:t xml:space="preserve">☐ </w:t>
      </w:r>
      <w:r>
        <w:t>Vypnutí serveru okamžitě blokuje provoz.</w:t>
      </w:r>
    </w:p>
    <w:p>
      <w:pPr>
        <w:pStyle w:val="ListBullet"/>
      </w:pPr>
      <w:r>
        <w:rPr>
          <w:b/>
        </w:rPr>
        <w:t xml:space="preserve">☐ </w:t>
      </w:r>
      <w:r>
        <w:t>UI obsahuje registraci, kontrakty, test, oprávnění, monitoring a audit.</w:t>
      </w:r>
    </w:p>
    <w:p>
      <w:pPr>
        <w:pStyle w:val="ListBullet"/>
      </w:pPr>
      <w:r>
        <w:rPr>
          <w:b/>
        </w:rPr>
        <w:t xml:space="preserve">☐ </w:t>
      </w:r>
      <w:r>
        <w:t>Veškeré administrovatelné nastavení je dostupné v UI.</w:t>
      </w:r>
    </w:p>
    <w:p>
      <w:pPr>
        <w:pStyle w:val="ListBullet"/>
      </w:pPr>
      <w:r>
        <w:rPr>
          <w:b/>
        </w:rPr>
        <w:t xml:space="preserve">☐ </w:t>
      </w:r>
      <w:r>
        <w:t>Logy obsahují correlationId a neobsahují tajemství.</w:t>
      </w:r>
    </w:p>
    <w:p>
      <w:pPr>
        <w:pStyle w:val="ListBullet"/>
      </w:pPr>
      <w:r>
        <w:rPr>
          <w:b/>
        </w:rPr>
        <w:t xml:space="preserve">☐ </w:t>
      </w:r>
      <w:r>
        <w:t>Byly provedeny křížové testy mezi dvěma KCML hostname.</w:t>
      </w:r>
    </w:p>
    <w:p>
      <w:pPr>
        <w:pStyle w:val="ListBullet"/>
      </w:pPr>
      <w:r>
        <w:rPr>
          <w:b/>
        </w:rPr>
        <w:t xml:space="preserve">☐ </w:t>
      </w:r>
      <w:r>
        <w:t>Byly provedeny timeout a schema-failure testy.</w:t>
      </w:r>
    </w:p>
    <w:p>
      <w:pPr>
        <w:pStyle w:val="ListBullet"/>
      </w:pPr>
      <w:r>
        <w:rPr>
          <w:b/>
        </w:rPr>
        <w:t xml:space="preserve">☐ </w:t>
      </w:r>
      <w:r>
        <w:t>CI příkaz pnpm run ci prošel bez chyby.</w:t>
      </w:r>
    </w:p>
    <w:p>
      <w:pPr>
        <w:pStyle w:val="ListBullet"/>
      </w:pPr>
      <w:r>
        <w:rPr>
          <w:b/>
        </w:rPr>
        <w:t xml:space="preserve">☐ </w:t>
      </w:r>
      <w:r>
        <w:t>Produkční preflight ověřil DNS, TLS, databázi, handler a fail-closed routing.</w:t>
      </w:r>
    </w:p>
    <w:p>
      <w:pPr>
        <w:pStyle w:val="ListBullet"/>
      </w:pPr>
      <w:r>
        <w:rPr>
          <w:b/>
        </w:rPr>
        <w:t xml:space="preserve">☐ </w:t>
      </w:r>
      <w:r>
        <w:t>Server byl aktivován až po schválení a zůstává vypnutý, dokud není explicitně zapnut.</w:t>
      </w:r>
    </w:p>
    <w:p>
      <w:pPr>
        <w:pStyle w:val="Heading1"/>
        <w:keepNext/>
        <w:keepLines/>
      </w:pPr>
      <w:r>
        <w:t>19. Akceptační definice „Connect in Catalog“</w:t>
      </w:r>
    </w:p>
    <w:p>
      <w:r>
        <w:t>Nový MCP server je považován za úspěšně připojený do katalogu pouze tehdy, když současně platí všechny následující podmínky:</w:t>
      </w:r>
    </w:p>
    <w:p>
      <w:pPr>
        <w:pStyle w:val="ListBullet"/>
      </w:pPr>
      <w:r>
        <w:t>Je evidován v katalogu pod jedinečným KCML kódem, hostname a resource.</w:t>
      </w:r>
    </w:p>
    <w:p>
      <w:pPr>
        <w:pStyle w:val="ListBullet"/>
      </w:pPr>
      <w:r>
        <w:t>Na svém hostname zveřejňuje právě jeden správný nástroj a žádný jiný.</w:t>
      </w:r>
    </w:p>
    <w:p>
      <w:pPr>
        <w:pStyle w:val="ListBullet"/>
      </w:pPr>
      <w:r>
        <w:t>Na žádném jiném hostname není tento nástroj dostupný.</w:t>
      </w:r>
    </w:p>
    <w:p>
      <w:pPr>
        <w:pStyle w:val="ListBullet"/>
      </w:pPr>
      <w:r>
        <w:t>Platný access token musí být vydán výhradně pro jeho resource a musí být podmíněn explicitním oprávněním Kaja pověření.</w:t>
      </w:r>
    </w:p>
    <w:p>
      <w:pPr>
        <w:pStyle w:val="ListBullet"/>
      </w:pPr>
      <w:r>
        <w:t>Handler, vstupní i výstupní kontrakt a testovací vektory odpovídají schváleným verzím a digestům.</w:t>
      </w:r>
    </w:p>
    <w:p>
      <w:pPr>
        <w:pStyle w:val="ListBullet"/>
      </w:pPr>
      <w:r>
        <w:t>Monitoring, statistiky, audit a strukturované logy vykazují skutečný provoz daného serveru.</w:t>
      </w:r>
    </w:p>
    <w:p>
      <w:pPr>
        <w:pStyle w:val="ListBullet"/>
      </w:pPr>
      <w:r>
        <w:t>Veškerá administrace probíhá přes UI bez ruční konfigurace provozních souborů.</w:t>
      </w:r>
    </w:p>
    <w:p>
      <w:pPr>
        <w:pStyle w:val="ListBullet"/>
      </w:pPr>
      <w:r>
        <w:t>Všechny testy a release gates tohoto dokumentu jsou splněny bez fallbacků, výjimek nebo skrytých bypassů.</w:t>
      </w:r>
    </w:p>
    <w:p>
      <w:pPr>
        <w:pStyle w:val="Heading1"/>
        <w:keepNext/>
        <w:keepLines/>
      </w:pPr>
      <w:r>
        <w:t>20. Forenzní poznámky k aktuálnímu stavu repozitáře</w:t>
      </w:r>
    </w:p>
    <w:p>
      <w:r>
        <w:t>Následující body popisují stav viditelný v repozitáři při tvorbě dokumentu. Neoslabují cílový kontrakt; označují místa, která musí další generování doplnit, aby byl tento standard plně splněn.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F4E78"/>
          </w:tcPr>
          <w:p>
            <w:r>
              <w:rPr>
                <w:b/>
                <w:color w:val="FFFFFF"/>
                <w:sz w:val="18"/>
              </w:rPr>
              <w:t>Zjištění</w:t>
            </w:r>
          </w:p>
        </w:tc>
        <w:tc>
          <w:tcPr>
            <w:tcW w:type="dxa" w:w="5112"/>
            <w:shd w:fill="1F4E78"/>
          </w:tcPr>
          <w:p>
            <w:r>
              <w:rPr>
                <w:b/>
                <w:color w:val="FFFFFF"/>
                <w:sz w:val="18"/>
              </w:rPr>
              <w:t>Důsledek pro další implementaci</w:t>
            </w:r>
          </w:p>
        </w:tc>
      </w:tr>
      <w:tr>
        <w:trPr>
          <w:cantSplit/>
        </w:trPr>
        <w:tc>
          <w:tcPr>
            <w:tcW w:type="dxa" w:w="5112"/>
            <w:tcMar>
              <w:top w:w="80" w:type="dxa"/>
              <w:start w:w="100" w:type="dxa"/>
              <w:bottom w:w="80" w:type="dxa"/>
              <w:end w:w="100" w:type="dxa"/>
            </w:tcMar>
          </w:tcPr>
          <w:p>
            <w:r>
              <w:rPr>
                <w:sz w:val="18"/>
              </w:rPr>
              <w:t>Jádro izolace již existuje</w:t>
            </w:r>
          </w:p>
        </w:tc>
        <w:tc>
          <w:tcPr>
            <w:tcW w:type="dxa" w:w="5112"/>
            <w:tcMar>
              <w:top w:w="80" w:type="dxa"/>
              <w:start w:w="100" w:type="dxa"/>
              <w:bottom w:w="80" w:type="dxa"/>
              <w:end w:w="100" w:type="dxa"/>
            </w:tcMar>
          </w:tcPr>
          <w:p>
            <w:r>
              <w:rPr>
                <w:sz w:val="18"/>
              </w:rPr>
              <w:t>MCP server se vyhledává podle přesného hostname, tools/list vrací jeden nástroj a tools/call odmítá jiné jméno.</w:t>
            </w:r>
          </w:p>
        </w:tc>
      </w:tr>
      <w:tr>
        <w:trPr>
          <w:cantSplit/>
        </w:trPr>
        <w:tc>
          <w:tcPr>
            <w:tcW w:type="dxa" w:w="5112"/>
            <w:tcMar>
              <w:top w:w="80" w:type="dxa"/>
              <w:start w:w="100" w:type="dxa"/>
              <w:bottom w:w="80" w:type="dxa"/>
              <w:end w:w="100" w:type="dxa"/>
            </w:tcMar>
          </w:tcPr>
          <w:p>
            <w:r>
              <w:rPr>
                <w:sz w:val="18"/>
              </w:rPr>
              <w:t>Audience binding již existuje</w:t>
            </w:r>
          </w:p>
        </w:tc>
        <w:tc>
          <w:tcPr>
            <w:tcW w:type="dxa" w:w="5112"/>
            <w:tcMar>
              <w:top w:w="80" w:type="dxa"/>
              <w:start w:w="100" w:type="dxa"/>
              <w:bottom w:w="80" w:type="dxa"/>
              <w:end w:w="100" w:type="dxa"/>
            </w:tcMar>
          </w:tcPr>
          <w:p>
            <w:r>
              <w:rPr>
                <w:sz w:val="18"/>
              </w:rPr>
              <w:t>Access token je v databázi vázán na audience/resource a validace porovnává resource odvozený z hostname.</w:t>
            </w:r>
          </w:p>
        </w:tc>
      </w:tr>
      <w:tr>
        <w:trPr>
          <w:cantSplit/>
        </w:trPr>
        <w:tc>
          <w:tcPr>
            <w:tcW w:type="dxa" w:w="5112"/>
            <w:tcMar>
              <w:top w:w="80" w:type="dxa"/>
              <w:start w:w="100" w:type="dxa"/>
              <w:bottom w:w="80" w:type="dxa"/>
              <w:end w:w="100" w:type="dxa"/>
            </w:tcMar>
          </w:tcPr>
          <w:p>
            <w:r>
              <w:rPr>
                <w:sz w:val="18"/>
              </w:rPr>
              <w:t>Oprávnění již existuje v backendu</w:t>
            </w:r>
          </w:p>
        </w:tc>
        <w:tc>
          <w:tcPr>
            <w:tcW w:type="dxa" w:w="5112"/>
            <w:tcMar>
              <w:top w:w="80" w:type="dxa"/>
              <w:start w:w="100" w:type="dxa"/>
              <w:bottom w:w="80" w:type="dxa"/>
              <w:end w:w="100" w:type="dxa"/>
            </w:tcMar>
          </w:tcPr>
          <w:p>
            <w:r>
              <w:rPr>
                <w:sz w:val="18"/>
              </w:rPr>
              <w:t>Vydání access tokenu kontroluje aktivní vazbu kaja_permission mezi credential a serverem.</w:t>
            </w:r>
          </w:p>
        </w:tc>
      </w:tr>
      <w:tr>
        <w:trPr>
          <w:cantSplit/>
        </w:trPr>
        <w:tc>
          <w:tcPr>
            <w:tcW w:type="dxa" w:w="5112"/>
            <w:tcMar>
              <w:top w:w="80" w:type="dxa"/>
              <w:start w:w="100" w:type="dxa"/>
              <w:bottom w:w="80" w:type="dxa"/>
              <w:end w:w="100" w:type="dxa"/>
            </w:tcMar>
          </w:tcPr>
          <w:p>
            <w:r>
              <w:rPr>
                <w:sz w:val="18"/>
              </w:rPr>
              <w:t>Monitoring je zatím částečný</w:t>
            </w:r>
          </w:p>
        </w:tc>
        <w:tc>
          <w:tcPr>
            <w:tcW w:type="dxa" w:w="5112"/>
            <w:tcMar>
              <w:top w:w="80" w:type="dxa"/>
              <w:start w:w="100" w:type="dxa"/>
              <w:bottom w:w="80" w:type="dxa"/>
              <w:end w:w="100" w:type="dxa"/>
            </w:tcMar>
          </w:tcPr>
          <w:p>
            <w:r>
              <w:rPr>
                <w:sz w:val="18"/>
              </w:rPr>
              <w:t>Aktuální kód ukládá success_count, failure_count, last_success_at a last_failure_at. Samostatná trvalá metrika neautorizovaných volání musí být doplněna.</w:t>
            </w:r>
          </w:p>
        </w:tc>
      </w:tr>
      <w:tr>
        <w:trPr>
          <w:cantSplit/>
        </w:trPr>
        <w:tc>
          <w:tcPr>
            <w:tcW w:type="dxa" w:w="5112"/>
            <w:tcMar>
              <w:top w:w="80" w:type="dxa"/>
              <w:start w:w="100" w:type="dxa"/>
              <w:bottom w:w="80" w:type="dxa"/>
              <w:end w:w="100" w:type="dxa"/>
            </w:tcMar>
          </w:tcPr>
          <w:p>
            <w:r>
              <w:rPr>
                <w:sz w:val="18"/>
              </w:rPr>
              <w:t>Administrátorské UI je zatím základní</w:t>
            </w:r>
          </w:p>
        </w:tc>
        <w:tc>
          <w:tcPr>
            <w:tcW w:type="dxa" w:w="5112"/>
            <w:tcMar>
              <w:top w:w="80" w:type="dxa"/>
              <w:start w:w="100" w:type="dxa"/>
              <w:bottom w:w="80" w:type="dxa"/>
              <w:end w:w="100" w:type="dxa"/>
            </w:tcMar>
          </w:tcPr>
          <w:p>
            <w:r>
              <w:rPr>
                <w:sz w:val="18"/>
              </w:rPr>
              <w:t>Aktuální obrazovka zobrazuje katalog a audit a umí vytvořit Kaja pověření. Chybí úplný editor serveru, oprávnění, životní cyklus tokenu, testování a detailní monitoring.</w:t>
            </w:r>
          </w:p>
        </w:tc>
      </w:tr>
      <w:tr>
        <w:trPr>
          <w:cantSplit/>
        </w:trPr>
        <w:tc>
          <w:tcPr>
            <w:tcW w:type="dxa" w:w="5112"/>
            <w:tcMar>
              <w:top w:w="80" w:type="dxa"/>
              <w:start w:w="100" w:type="dxa"/>
              <w:bottom w:w="80" w:type="dxa"/>
              <w:end w:w="100" w:type="dxa"/>
            </w:tcMar>
          </w:tcPr>
          <w:p>
            <w:r>
              <w:rPr>
                <w:sz w:val="18"/>
              </w:rPr>
              <w:t>Konfigurace přes prostředí je v repozitáři přítomna</w:t>
            </w:r>
          </w:p>
        </w:tc>
        <w:tc>
          <w:tcPr>
            <w:tcW w:type="dxa" w:w="5112"/>
            <w:tcMar>
              <w:top w:w="80" w:type="dxa"/>
              <w:start w:w="100" w:type="dxa"/>
              <w:bottom w:w="80" w:type="dxa"/>
              <w:end w:w="100" w:type="dxa"/>
            </w:tcMar>
          </w:tcPr>
          <w:p>
            <w:r>
              <w:rPr>
                <w:sz w:val="18"/>
              </w:rPr>
              <w:t>Cílový systém musí oddělit instalační bootstrap tajemství od běžné správy. Veškerá konfigurace, kterou má provádět administrátor, musí být převedena do UI.</w:t>
            </w:r>
          </w:p>
        </w:tc>
      </w:tr>
      <w:tr>
        <w:trPr>
          <w:cantSplit/>
        </w:trPr>
        <w:tc>
          <w:tcPr>
            <w:tcW w:type="dxa" w:w="5112"/>
            <w:tcMar>
              <w:top w:w="80" w:type="dxa"/>
              <w:start w:w="100" w:type="dxa"/>
              <w:bottom w:w="80" w:type="dxa"/>
              <w:end w:w="100" w:type="dxa"/>
            </w:tcMar>
          </w:tcPr>
          <w:p>
            <w:r>
              <w:rPr>
                <w:sz w:val="18"/>
              </w:rPr>
              <w:t>OAuth metadata jsou základní</w:t>
            </w:r>
          </w:p>
        </w:tc>
        <w:tc>
          <w:tcPr>
            <w:tcW w:type="dxa" w:w="5112"/>
            <w:tcMar>
              <w:top w:w="80" w:type="dxa"/>
              <w:start w:w="100" w:type="dxa"/>
              <w:bottom w:w="80" w:type="dxa"/>
              <w:end w:w="100" w:type="dxa"/>
            </w:tcMar>
          </w:tcPr>
          <w:p>
            <w:r>
              <w:rPr>
                <w:sz w:val="18"/>
              </w:rPr>
              <w:t>Protected Resource Metadata existují; pro plnou interoperabilitu je nutné doplnit standardní WWW-Authenticate challenge a rozhodnout úplný OAuth 2.1 profil.</w:t>
            </w:r>
          </w:p>
        </w:tc>
      </w:tr>
      <w:tr>
        <w:trPr>
          <w:cantSplit/>
        </w:trPr>
        <w:tc>
          <w:tcPr>
            <w:tcW w:type="dxa" w:w="5112"/>
            <w:tcMar>
              <w:top w:w="80" w:type="dxa"/>
              <w:start w:w="100" w:type="dxa"/>
              <w:bottom w:w="80" w:type="dxa"/>
              <w:end w:w="100" w:type="dxa"/>
            </w:tcMar>
          </w:tcPr>
          <w:p>
            <w:r>
              <w:rPr>
                <w:sz w:val="18"/>
              </w:rPr>
              <w:t>Handler registry nemá v dostupném kódu viditelný vzor konkrétní funkce</w:t>
            </w:r>
          </w:p>
        </w:tc>
        <w:tc>
          <w:tcPr>
            <w:tcW w:type="dxa" w:w="5112"/>
            <w:tcMar>
              <w:top w:w="80" w:type="dxa"/>
              <w:start w:w="100" w:type="dxa"/>
              <w:bottom w:w="80" w:type="dxa"/>
              <w:end w:w="100" w:type="dxa"/>
            </w:tcMar>
          </w:tcPr>
          <w:p>
            <w:r>
              <w:rPr>
                <w:sz w:val="18"/>
              </w:rPr>
              <w:t>První produkční KCML handler musí vytvořit kanonický referenční modul a testovací šablonu pro další vývojáře.</w:t>
            </w:r>
          </w:p>
        </w:tc>
      </w:tr>
    </w:tbl>
    <w:p>
      <w:pPr>
        <w:pStyle w:val="Heading1"/>
        <w:keepNext/>
        <w:keepLines/>
      </w:pPr>
      <w:r>
        <w:t>21. Zdrojové opory</w:t>
      </w:r>
    </w:p>
    <w:p>
      <w:r>
        <w:t>Repozitářové soubory použité pro forenzní ověření:</w:t>
      </w:r>
    </w:p>
    <w:p>
      <w:pPr>
        <w:pStyle w:val="ListBullet"/>
      </w:pPr>
      <w:r>
        <w:t>package.json</w:t>
      </w:r>
    </w:p>
    <w:p>
      <w:pPr>
        <w:pStyle w:val="ListBullet"/>
      </w:pPr>
      <w:r>
        <w:t>apps/server/src/index.ts</w:t>
      </w:r>
    </w:p>
    <w:p>
      <w:pPr>
        <w:pStyle w:val="ListBullet"/>
      </w:pPr>
      <w:r>
        <w:t>apps/server/src/app.ts</w:t>
      </w:r>
    </w:p>
    <w:p>
      <w:pPr>
        <w:pStyle w:val="ListBullet"/>
      </w:pPr>
      <w:r>
        <w:t>apps/server/src/http/mcp.ts</w:t>
      </w:r>
    </w:p>
    <w:p>
      <w:pPr>
        <w:pStyle w:val="ListBullet"/>
      </w:pPr>
      <w:r>
        <w:t>apps/server/src/http/auth-routes.ts</w:t>
      </w:r>
    </w:p>
    <w:p>
      <w:pPr>
        <w:pStyle w:val="ListBullet"/>
      </w:pPr>
      <w:r>
        <w:t>apps/server/src/http/admin-routes.ts</w:t>
      </w:r>
    </w:p>
    <w:p>
      <w:pPr>
        <w:pStyle w:val="ListBullet"/>
      </w:pPr>
      <w:r>
        <w:t>apps/server/src/domain/catalog.ts</w:t>
      </w:r>
    </w:p>
    <w:p>
      <w:pPr>
        <w:pStyle w:val="ListBullet"/>
      </w:pPr>
      <w:r>
        <w:t>apps/server/src/domain/auth.ts</w:t>
      </w:r>
    </w:p>
    <w:p>
      <w:pPr>
        <w:pStyle w:val="ListBullet"/>
      </w:pPr>
      <w:r>
        <w:t>apps/server/src/domain/types.ts</w:t>
      </w:r>
    </w:p>
    <w:p>
      <w:pPr>
        <w:pStyle w:val="ListBullet"/>
      </w:pPr>
      <w:r>
        <w:t>apps/server/src/handlers/registry.ts</w:t>
      </w:r>
    </w:p>
    <w:p>
      <w:r>
        <w:t>Normativní protokolové zdroje: Model Context Protocol Specification 2025-11-25 - Authorization, Transports a Tools. Při budoucí změně protokolové verze musí být provedena řízená aktualizace centrálního systému i tohoto integračního kontraktu; jednotlivý handler nesmí jednostranně změnit protokol.</w:t>
      </w:r>
    </w:p>
    <w:p>
      <w:pPr>
        <w:pStyle w:val="Heading1"/>
        <w:keepNext/>
        <w:keepLines/>
      </w:pPr>
      <w:r>
        <w:t>22. Závaznost</w:t>
      </w:r>
    </w:p>
    <w:tbl>
      <w:tblPr>
        <w:tblW w:type="auto" w:w="0"/>
        <w:jc w:val="center"/>
        <w:tblLayout w:type="fixed"/>
        <w:tblLook w:firstColumn="1" w:firstRow="1" w:lastColumn="0" w:lastRow="0" w:noHBand="0" w:noVBand="1" w:val="04A0"/>
      </w:tblPr>
      <w:tblGrid>
        <w:gridCol w:w="2232"/>
        <w:gridCol w:w="7848"/>
      </w:tblGrid>
      <w:tr>
        <w:trPr>
          <w:cantSplit/>
        </w:trPr>
        <w:tc>
          <w:tcPr>
            <w:tcW w:type="dxa" w:w="5112"/>
            <w:shd w:fill="1F4E78"/>
            <w:tcMar>
              <w:top w:w="80" w:type="dxa"/>
              <w:start w:w="100" w:type="dxa"/>
              <w:bottom w:w="80" w:type="dxa"/>
              <w:end w:w="100" w:type="dxa"/>
            </w:tcMar>
            <w:vAlign w:val="center"/>
          </w:tcPr>
          <w:p>
            <w:r>
              <w:rPr>
                <w:b/>
                <w:color w:val="FFFFFF"/>
                <w:sz w:val="18"/>
              </w:rPr>
              <w:t>Release gate</w:t>
            </w:r>
          </w:p>
        </w:tc>
        <w:tc>
          <w:tcPr>
            <w:tcW w:type="dxa" w:w="5112"/>
            <w:shd w:fill="EAF2F8"/>
            <w:tcMar>
              <w:top w:w="80" w:type="dxa"/>
              <w:start w:w="100" w:type="dxa"/>
              <w:bottom w:w="80" w:type="dxa"/>
              <w:end w:w="100" w:type="dxa"/>
            </w:tcMar>
            <w:vAlign w:val="center"/>
          </w:tcPr>
          <w:p>
            <w:r>
              <w:rPr>
                <w:sz w:val="18"/>
              </w:rPr>
              <w:t>Implementace nového KCML serveru, která nesplní kterýkoli nevyjednatelný bod tohoto dokumentu, nesmí být sloučena, zaregistrována, povolena ani nasazena do produkce.</w:t>
            </w:r>
          </w:p>
        </w:tc>
      </w:tr>
    </w:tbl>
    <w:p>
      <w:pPr>
        <w:spacing w:after="0"/>
      </w:pPr>
    </w:p>
    <w:p>
      <w:r>
        <w:br w:type="page"/>
      </w:r>
    </w:p>
    <w:p>
      <w:pPr>
        <w:pStyle w:val="Heading1"/>
        <w:keepNext/>
        <w:keepLines/>
      </w:pPr>
      <w:r>
        <w:t>23. Povinný generativní protokol</w:t>
      </w:r>
    </w:p>
    <w:p>
      <w:r>
        <w:t>Tato kapitola se použije pokaždé, když je tento dokument přiložen k zadání člověku, AI generátoru nebo automatizovanému vývojovému nástroji. Přiložení dokumentu samo o sobě není důkazem shody. Důkazem je až úplná matice požadavků, úspěšné automatické testy, akceptační balíček a produkční preflight.</w:t>
      </w:r>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MUST-GEN-00</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Generátor musí považovat tento dokument za normativní vstup s vyšší prioritou než neformální pokyny. Nesmí vyhlásit dokončení, pokud je jediný povinný bod ve stavu FAIL, BLOCKED nebo NOT TESTED.</w:t>
            </w:r>
          </w:p>
        </w:tc>
      </w:tr>
    </w:tbl>
    <w:p>
      <w:pPr>
        <w:spacing w:after="40"/>
      </w:pPr>
    </w:p>
    <w:p>
      <w:pPr>
        <w:pStyle w:val="Heading2"/>
        <w:keepNext/>
        <w:keepLines/>
      </w:pPr>
      <w:r>
        <w:t>23.1 Povinný vstupní balíček</w:t>
      </w:r>
    </w:p>
    <w:p>
      <w:r>
        <w:t>Před zahájením implementace musí zadavatel nebo katalogový systém zpřístupnit následující údaje. Generátor je nesmí odhadovat, doplňovat z příkladů ani nahrazovat pohodlnějším výchozím nastavením.</w:t>
      </w:r>
    </w:p>
    <w:p>
      <w:pPr>
        <w:pStyle w:val="ListBullet"/>
        <w:spacing w:after="40"/>
      </w:pPr>
      <w:r>
        <w:t>Funkční zadání jediného nástroje: účel, povolené vstupy, očekávaný výstup, omezení a zakázané vedlejší účinky.</w:t>
      </w:r>
    </w:p>
    <w:p>
      <w:pPr>
        <w:pStyle w:val="ListBullet"/>
        <w:spacing w:after="40"/>
      </w:pPr>
      <w:r>
        <w:t>Systémem přidělená identita: KCML kód, přesný hostname a kanonický resource ve tvaru https://&lt;hostname&gt;/mcp.</w:t>
      </w:r>
    </w:p>
    <w:p>
      <w:pPr>
        <w:pStyle w:val="ListBullet"/>
        <w:spacing w:after="40"/>
      </w:pPr>
      <w:r>
        <w:t>toolName, displayName, handlerKey, handlerVersion a contractVersion, nebo oprávnění tyto hodnoty navrhnout ke schválení.</w:t>
      </w:r>
    </w:p>
    <w:p>
      <w:pPr>
        <w:pStyle w:val="ListBullet"/>
        <w:spacing w:after="40"/>
      </w:pPr>
      <w:r>
        <w:t>Schválená inputSchema a outputSchema, případně dostatečné doménové zadání k jejich vytvoření a následnému lidskému schválení.</w:t>
      </w:r>
    </w:p>
    <w:p>
      <w:pPr>
        <w:pStyle w:val="ListBullet"/>
        <w:spacing w:after="40"/>
      </w:pPr>
      <w:r>
        <w:t>Timeout, očekávané upstream systémy, klasifikace chyb, citlivost dat, retenční omezení a pravidla redakce.</w:t>
      </w:r>
    </w:p>
    <w:p>
      <w:pPr>
        <w:pStyle w:val="ListBullet"/>
        <w:spacing w:after="40"/>
      </w:pPr>
      <w:r>
        <w:t>Cílový repozitář, větev nebo pracovní kopie a aktuální příkaz CI; implementace musí vycházet ze skutečného stavu repozitáře.</w:t>
      </w:r>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MUST-GEN-01</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Pokud systém dosud nepřidělil KCML kód, hostname a resource, smí vzniknout pouze UNASSIGNED_SCAFFOLD. Takový výstup nesmí obsahovat vymyšlenou produkční adresu, nesmí být označen jako registrovatelný a nesmí přejít do TRIAL ani ACTIVE.</w:t>
            </w:r>
          </w:p>
        </w:tc>
      </w:tr>
    </w:tbl>
    <w:p>
      <w:pPr>
        <w:spacing w:after="40"/>
      </w:pPr>
    </w:p>
    <w:p>
      <w:pPr>
        <w:pStyle w:val="Heading2"/>
        <w:keepNext/>
        <w:keepLines/>
      </w:pPr>
      <w:r>
        <w:t>23.2 Závazný postup od zadání po aktivaci</w:t>
      </w:r>
    </w:p>
    <w:p>
      <w:pPr>
        <w:spacing w:after="60"/>
        <w:numPr>
          <w:ilvl w:val="0"/>
          <w:numId w:val="11"/>
        </w:numPr>
      </w:pPr>
      <w:r>
        <w:t>Načíst celý tento dokument a prozkoumat aktuální repozitář, jeho AGENTS.md, build, datový model, centrální MCP vrstvu, registr handlerů, autorizační vrstvu, UI, testy a provozní konvence. Před touto inventurou neprovádět změny kódu.</w:t>
      </w:r>
    </w:p>
    <w:p>
      <w:pPr>
        <w:spacing w:after="60"/>
        <w:numPr>
          <w:ilvl w:val="0"/>
          <w:numId w:val="11"/>
        </w:numPr>
      </w:pPr>
      <w:r>
        <w:t>Vytvořit matici shody ve formátu požadavek -&gt; implementační artefakt -&gt; automatický test -&gt; důkaz -&gt; stav. Zahrnout všechny identifikátory MUST, NO-FALLBACK, T-01 až T-25 a všechny věty označené MUSÍ, NESMÍ nebo NEVYJEDNATELNÉ.</w:t>
      </w:r>
    </w:p>
    <w:p>
      <w:pPr>
        <w:spacing w:after="60"/>
        <w:numPr>
          <w:ilvl w:val="0"/>
          <w:numId w:val="11"/>
        </w:numPr>
      </w:pPr>
      <w:r>
        <w:t>Rezervovat identitu výhradně přes katalogové UI nebo jeho schválené API. Převzít přidělený KCML kód, hostname a resource beze změny. V handleru je nezapisovat natvrdo; handler je čte z context.server. Identita smí být uložena jen v katalogovém záznamu a schváleném manifestu.</w:t>
      </w:r>
    </w:p>
    <w:p>
      <w:pPr>
        <w:spacing w:after="60"/>
        <w:numPr>
          <w:ilvl w:val="0"/>
          <w:numId w:val="11"/>
        </w:numPr>
      </w:pPr>
      <w:r>
        <w:t>Navrhnout a schválit jediný toolName, popis, inputSchema, outputSchema, contractVersion a testovací vektory. Schémata musí být Draft 2020-12, striktní a použitá shodně v katalogu, runtime validaci i testech.</w:t>
      </w:r>
    </w:p>
    <w:p>
      <w:pPr>
        <w:spacing w:after="60"/>
        <w:numPr>
          <w:ilvl w:val="0"/>
          <w:numId w:val="11"/>
        </w:numPr>
      </w:pPr>
      <w:r>
        <w:t>Implementovat pouze interní KcmlHandler s key, version a invoke. Zaregistrovat jej pod přesným handlerKey@handlerVersion. Nevytvářet vlastní veřejný port, cestu, MCP server, tokenovou validaci ani alternativní vstup do funkce.</w:t>
      </w:r>
    </w:p>
    <w:p>
      <w:pPr>
        <w:spacing w:after="60"/>
        <w:numPr>
          <w:ilvl w:val="0"/>
          <w:numId w:val="11"/>
        </w:numPr>
      </w:pPr>
      <w:r>
        <w:t>Připravit konfigurační kontrakt. Administrátorem měnitelné hodnoty musí být spravovatelné v UI; tajemství musí být uložena šifrovaně, po uložení nezobrazitelná a do handleru předána pouze v minimálním nezbytném rozsahu. Do repozitáře patří jen bezpečné placeholdery.</w:t>
      </w:r>
    </w:p>
    <w:p>
      <w:pPr>
        <w:spacing w:after="60"/>
        <w:numPr>
          <w:ilvl w:val="0"/>
          <w:numId w:val="11"/>
        </w:numPr>
      </w:pPr>
      <w:r>
        <w:t>Napojit handler na centrální katalog, MCP endpoint a stavový automat. Přesný Host musí vybrat právě jeden katalogový záznam; neznámý, neaktivní nebo vyřazený host musí skončit fail-closed bez spuštění handleru.</w:t>
      </w:r>
    </w:p>
    <w:p>
      <w:pPr>
        <w:spacing w:after="60"/>
        <w:numPr>
          <w:ilvl w:val="0"/>
          <w:numId w:val="11"/>
        </w:numPr>
      </w:pPr>
      <w:r>
        <w:t>Ověřit centrální autorizační hranici: resource metadata, vydání tokenu přes client_credentials, explicitní Kaja oprávnění, audience binding na přesný HTTPS resource, expiraci, revokaci, enabled stav a odmítnutí cizího tokenu před invoke.</w:t>
      </w:r>
    </w:p>
    <w:p>
      <w:pPr>
        <w:spacing w:after="60"/>
        <w:numPr>
          <w:ilvl w:val="0"/>
          <w:numId w:val="11"/>
        </w:numPr>
      </w:pPr>
      <w:r>
        <w:t>Doplnit strukturované logy, append-only audit, correlationId, klasifikované chyby, redakci tajemství a perzistentní metriky úspěchu, autorizované chyby, neautorizovaného volání, latence a provozního stavu.</w:t>
      </w:r>
    </w:p>
    <w:p>
      <w:pPr>
        <w:spacing w:after="60"/>
        <w:numPr>
          <w:ilvl w:val="0"/>
          <w:numId w:val="11"/>
        </w:numPr>
      </w:pPr>
      <w:r>
        <w:t>Spustit pozitivní, negativní, schématické, autorizační, izolační, timeoutové, redakční, restartové a provozní testy T-01 až T-25 a úplný příkaz pnpm run ci. Každý neúspěch opravit nebo označit BLOCKED; test nesmí být přeskočen bez schválené změny standardu.</w:t>
      </w:r>
    </w:p>
    <w:p>
      <w:pPr>
        <w:spacing w:after="60"/>
        <w:numPr>
          <w:ilvl w:val="0"/>
          <w:numId w:val="11"/>
        </w:numPr>
      </w:pPr>
      <w:r>
        <w:t>Vytvořit katalogový záznam ve stavu REGISTERED_DISABLED a s enabled=false. Připojit manifest, digesty, testovací vektory, výsledky CI a matici shody. Projít technickou, bezpečnostní a testovací kontrolou v předepsaném pořadí.</w:t>
      </w:r>
    </w:p>
    <w:p>
      <w:pPr>
        <w:spacing w:after="60"/>
        <w:numPr>
          <w:ilvl w:val="0"/>
          <w:numId w:val="11"/>
        </w:numPr>
      </w:pPr>
      <w:r>
        <w:t>Provést produkční preflight nad přidělenou HTTPS adresou: DNS, platný TLS řetězec, přesný Host routing, protected-resource metadata, autorizaci, databázi, dostupnost handleru, křížovou izolaci a fail-closed chování. Teprve po úplném PASS a explicitním schválení přejít do TRIAL nebo ACTIVE a samostatně nastavit enabled=true.</w:t>
      </w:r>
    </w:p>
    <w:p>
      <w:pPr>
        <w:pStyle w:val="Heading2"/>
        <w:keepNext/>
        <w:keepLines/>
      </w:pPr>
      <w:r>
        <w:t>23.3 Povinné stop podmínky</w:t>
      </w:r>
    </w:p>
    <w:tbl>
      <w:tblPr>
        <w:tblStyle w:val="TableGrid"/>
        <w:tblW w:type="dxa" w:w="10080"/>
        <w:tblLayout w:type="fixed"/>
        <w:tblLook w:firstColumn="1" w:firstRow="1" w:lastColumn="0" w:lastRow="0" w:noHBand="0" w:noVBand="1" w:val="04A0"/>
        <w:tblInd w:w="0" w:type="dxa"/>
      </w:tblPr>
      <w:tblGrid>
        <w:gridCol w:w="3600"/>
        <w:gridCol w:w="6480"/>
      </w:tblGrid>
      <w:tr>
        <w:trPr>
          <w:tblHeader w:val="true"/>
          <w:cantSplit/>
        </w:trPr>
        <w:tc>
          <w:tcPr>
            <w:tcW w:type="dxa" w:w="360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Situace</w:t>
            </w:r>
          </w:p>
        </w:tc>
        <w:tc>
          <w:tcPr>
            <w:tcW w:type="dxa" w:w="648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Povinný výsledek</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Chybí systémem přidělená identita</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BLOCKED_FOR_REGISTRATION; povolen je pouze UNASSIGNED_SCAFFOLD bez produkčního manifestu a routingu.</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Zadání odporuje tomuto dokumentu</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Použít přísnější pravidlo. Pokud by výsledek změnil architekturu nebo bezpečnostní hranici, zastavit práci a vyžádat rozhodnutí správce.</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Chybí schéma, testovací vektor nebo akceptační podmínka</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Neimplementovat domněnku jako produkční chování; označit BLOCKED a vyžádat doplnění nebo schválení návrhu.</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Selže povinný test nebo CI</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Server zůstává disabled. Zákaz ručního přepnutí výsledku, zakázání testu nebo výjimky bez změny standardu.</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Centrální UI neumí spravovat povinnou konfiguraci</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Doplnit centrální schopnost nebo integraci zablokovat. Zakázán skrytý .env, lokální soubor nebo ruční databázový zásah.</w:t>
            </w:r>
          </w:p>
        </w:tc>
      </w:tr>
      <w:tr>
        <w:trPr>
          <w:cantSplit/>
        </w:trPr>
        <w:tc>
          <w:tcPr>
            <w:tcW w:type="dxa" w:w="3600"/>
            <w:tcMar>
              <w:top w:w="95" w:type="dxa"/>
              <w:start w:w="140" w:type="dxa"/>
              <w:bottom w:w="95" w:type="dxa"/>
              <w:end w:w="140" w:type="dxa"/>
            </w:tcMar>
            <w:vAlign w:val="center"/>
          </w:tcPr>
          <w:p>
            <w:pPr>
              <w:spacing w:before="0" w:after="0" w:line="252" w:lineRule="auto"/>
            </w:pPr>
            <w:r>
              <w:rPr>
                <w:rFonts w:ascii="Aptos" w:hAnsi="Aptos"/>
                <w:b w:val="0"/>
                <w:sz w:val="19"/>
                <w:color w:val="1F1F1F"/>
              </w:rPr>
              <w:t>DNS, TLS, autorizace, databáze nebo routing nejsou ověřitelné</w:t>
            </w:r>
          </w:p>
        </w:tc>
        <w:tc>
          <w:tcPr>
            <w:tcW w:type="dxa" w:w="6480"/>
            <w:tcMar>
              <w:top w:w="95" w:type="dxa"/>
              <w:start w:w="140" w:type="dxa"/>
              <w:bottom w:w="95" w:type="dxa"/>
              <w:end w:w="140" w:type="dxa"/>
            </w:tcMar>
            <w:vAlign w:val="center"/>
          </w:tcPr>
          <w:p>
            <w:pPr>
              <w:spacing w:before="0" w:after="0" w:line="252" w:lineRule="auto"/>
            </w:pPr>
            <w:r>
              <w:rPr>
                <w:rFonts w:ascii="Aptos" w:hAnsi="Aptos"/>
                <w:b w:val="0"/>
                <w:sz w:val="19"/>
                <w:color w:val="1F1F1F"/>
              </w:rPr>
              <w:t>Žádná aktivace. Stav BLOCKED nebo QUARANTINED podle fáze životního cyklu.</w:t>
            </w:r>
          </w:p>
        </w:tc>
      </w:tr>
    </w:tbl>
    <w:p>
      <w:pPr>
        <w:spacing w:after="40"/>
      </w:pPr>
    </w:p>
    <w:p>
      <w:r>
        <w:br w:type="page"/>
      </w:r>
    </w:p>
    <w:p>
      <w:pPr>
        <w:pStyle w:val="Heading1"/>
        <w:keepNext/>
        <w:keepLines/>
      </w:pPr>
      <w:r>
        <w:t>24. Akceptační balíček a strojové release gates</w:t>
      </w:r>
    </w:p>
    <w:p>
      <w:r>
        <w:t>Každá generovaná implementace musí spolu s kódem dodat auditovatelný akceptační balíček. Důkazy musí být svázány s konkrétním buildId, handlerVersion, contractVersion a digesty schémat; nesmí být převzaty z jiného serveru ani staršího buildu.</w:t>
      </w:r>
    </w:p>
    <w:p>
      <w:pPr>
        <w:pStyle w:val="Heading2"/>
        <w:keepNext/>
        <w:keepLines/>
      </w:pPr>
      <w:r>
        <w:t>24.1 Povinné důkazy</w:t>
      </w:r>
    </w:p>
    <w:tbl>
      <w:tblPr>
        <w:tblStyle w:val="TableGrid"/>
        <w:tblW w:type="dxa" w:w="10080"/>
        <w:tblLayout w:type="fixed"/>
        <w:tblLook w:firstColumn="1" w:firstRow="1" w:lastColumn="0" w:lastRow="0" w:noHBand="0" w:noVBand="1" w:val="04A0"/>
        <w:tblInd w:w="0" w:type="dxa"/>
      </w:tblPr>
      <w:tblGrid>
        <w:gridCol w:w="900"/>
        <w:gridCol w:w="2300"/>
        <w:gridCol w:w="6880"/>
      </w:tblGrid>
      <w:tr>
        <w:trPr>
          <w:tblHeader w:val="true"/>
          <w:cantSplit/>
        </w:trPr>
        <w:tc>
          <w:tcPr>
            <w:tcW w:type="dxa" w:w="90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ID</w:t>
            </w:r>
          </w:p>
        </w:tc>
        <w:tc>
          <w:tcPr>
            <w:tcW w:type="dxa" w:w="230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Důkaz</w:t>
            </w:r>
          </w:p>
        </w:tc>
        <w:tc>
          <w:tcPr>
            <w:tcW w:type="dxa" w:w="688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Minimální obsah</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C-01</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Identita</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Export katalogového záznamu s přiděleným KCML kódem, hostname a přesným HTTPS resource.</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C-02</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Handler a registr</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Cesty změněných souborů, handlerKey@handlerVersion a důkaz odmítnutí duplicity.</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C-03</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Kontrakt</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inputSchema, outputSchema, contractVersion, testovací vektory a kryptografické digesty.</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C-04</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Autorizace</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Výsledky vydání tokenu, chybějícího oprávnění, cizí audience, expirace, revokace a disabled stavu.</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C-05</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Izolace</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Důkaz jednoho nástroje, odmítnutí cizího toolName, křížové subdomény a neznámého hostu.</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C-06</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Observabilita</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Ukázkové strukturované události bez tajemství, auditní záznamy a změny perzistentních metrik.</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C-07</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Tajemství</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Výsledek secret scan a redakčního testu; potvrzení, že klientský bundle, logy a fixture neobsahují tajné hodnoty.</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C-08</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CI</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Příkaz, čas, commit/buildId a úplný úspěšný výstup pnpm run ci bez přeskočených povinných testů.</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C-09</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Preflight</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DNS, TLS, HTTPS, metadata, routing, auth, databáze, handler, fail-closed a post-deploy smoke test.</w:t>
            </w:r>
          </w:p>
        </w:tc>
      </w:tr>
      <w:tr>
        <w:trPr>
          <w:cantSplit/>
        </w:trPr>
        <w:tc>
          <w:tcPr>
            <w:tcW w:type="dxa" w:w="900"/>
            <w:tcMar>
              <w:top w:w="95" w:type="dxa"/>
              <w:start w:w="140" w:type="dxa"/>
              <w:bottom w:w="95" w:type="dxa"/>
              <w:end w:w="140" w:type="dxa"/>
            </w:tcMar>
            <w:vAlign w:val="center"/>
          </w:tcPr>
          <w:p>
            <w:pPr>
              <w:spacing w:before="0" w:after="0" w:line="252" w:lineRule="auto"/>
            </w:pPr>
            <w:r>
              <w:rPr>
                <w:rFonts w:ascii="Aptos" w:hAnsi="Aptos"/>
                <w:b w:val="0"/>
                <w:sz w:val="19"/>
                <w:color w:val="1F1F1F"/>
              </w:rPr>
              <w:t>C-10</w:t>
            </w:r>
          </w:p>
        </w:tc>
        <w:tc>
          <w:tcPr>
            <w:tcW w:type="dxa" w:w="2300"/>
            <w:tcMar>
              <w:top w:w="95" w:type="dxa"/>
              <w:start w:w="140" w:type="dxa"/>
              <w:bottom w:w="95" w:type="dxa"/>
              <w:end w:w="140" w:type="dxa"/>
            </w:tcMar>
            <w:vAlign w:val="center"/>
          </w:tcPr>
          <w:p>
            <w:pPr>
              <w:spacing w:before="0" w:after="0" w:line="252" w:lineRule="auto"/>
            </w:pPr>
            <w:r>
              <w:rPr>
                <w:rFonts w:ascii="Aptos" w:hAnsi="Aptos"/>
                <w:b w:val="0"/>
                <w:sz w:val="19"/>
                <w:color w:val="1F1F1F"/>
              </w:rPr>
              <w:t>Finální stav</w:t>
            </w:r>
          </w:p>
        </w:tc>
        <w:tc>
          <w:tcPr>
            <w:tcW w:type="dxa" w:w="6880"/>
            <w:tcMar>
              <w:top w:w="95" w:type="dxa"/>
              <w:start w:w="140" w:type="dxa"/>
              <w:bottom w:w="95" w:type="dxa"/>
              <w:end w:w="140" w:type="dxa"/>
            </w:tcMar>
            <w:vAlign w:val="center"/>
          </w:tcPr>
          <w:p>
            <w:pPr>
              <w:spacing w:before="0" w:after="0" w:line="252" w:lineRule="auto"/>
            </w:pPr>
            <w:r>
              <w:rPr>
                <w:rFonts w:ascii="Aptos" w:hAnsi="Aptos"/>
                <w:b w:val="0"/>
                <w:sz w:val="19"/>
                <w:color w:val="1F1F1F"/>
              </w:rPr>
              <w:t>Úplná matice shody se stavem PASS u každého povinného bodu a identitou schvalující osoby nebo workflow.</w:t>
            </w:r>
          </w:p>
        </w:tc>
      </w:tr>
    </w:tbl>
    <w:p>
      <w:pPr>
        <w:spacing w:after="40"/>
      </w:pPr>
    </w:p>
    <w:p>
      <w:pPr>
        <w:pStyle w:val="Heading2"/>
        <w:keepNext/>
        <w:keepLines/>
      </w:pPr>
      <w:r>
        <w:t>24.2 Rozšířené automatické testy</w:t>
      </w:r>
    </w:p>
    <w:tbl>
      <w:tblPr>
        <w:tblStyle w:val="TableGrid"/>
        <w:tblW w:type="dxa" w:w="10080"/>
        <w:tblLayout w:type="fixed"/>
        <w:tblLook w:firstColumn="1" w:firstRow="1" w:lastColumn="0" w:lastRow="0" w:noHBand="0" w:noVBand="1" w:val="04A0"/>
        <w:tblInd w:w="0" w:type="dxa"/>
      </w:tblPr>
      <w:tblGrid>
        <w:gridCol w:w="2600"/>
        <w:gridCol w:w="7480"/>
      </w:tblGrid>
      <w:tr>
        <w:trPr>
          <w:tblHeader w:val="true"/>
          <w:cantSplit/>
        </w:trPr>
        <w:tc>
          <w:tcPr>
            <w:tcW w:type="dxa" w:w="260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Test</w:t>
            </w:r>
          </w:p>
        </w:tc>
        <w:tc>
          <w:tcPr>
            <w:tcW w:type="dxa" w:w="748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Akceptační podmínka</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T-17 Přidělená identita</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Manifest, katalog, initialize a runtime context používají tentýž systémem přidělený KCML kód, hostname a resource.</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T-18 HTTPS a routing</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Přidělený hostname má platný TLS řetězec, zachovává Host a nesměruje na alias, IP ani společný vícefunkční endpoint.</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T-19 OAuth metadata</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Protected Resource Metadata uvádějí přesný resource a centrální authorization server; challenge odpovídá aktuálnímu centrálnímu profilu.</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T-20 Dvojitá křížová izolace</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Token A + host B, token B + host A, tool A + host B a tool B + host A jsou vždy odmítnuty před nesprávným handlerem.</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T-21 Revokace a vypnutí</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Odebrání oprávnění i enabled=false zablokují nové tokeny a účinek dříve vydaných tokenů podle centrální revokační politiky.</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T-22 Korelace a persistence</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Jedno correlationId propojuje request, auth, audit, handler a výsledek; metriky přežijí restart a mají správné oddělené čítače.</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T-23 Secret scan</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Repozitář, build artefakty, klientský bundle, logy, audit a testovací fixture neobsahují client secret, access token ani jiné zakázané tajemství.</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T-24 Integrita artefaktů</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Digesty schémat a manifestu odpovídají runtime artefaktům; změna bez nové verze nebo schválení je odmítnuta.</w:t>
            </w:r>
          </w:p>
        </w:tc>
      </w:tr>
      <w:tr>
        <w:trPr>
          <w:cantSplit/>
        </w:trPr>
        <w:tc>
          <w:tcPr>
            <w:tcW w:type="dxa" w:w="2600"/>
            <w:tcMar>
              <w:top w:w="95" w:type="dxa"/>
              <w:start w:w="140" w:type="dxa"/>
              <w:bottom w:w="95" w:type="dxa"/>
              <w:end w:w="140" w:type="dxa"/>
            </w:tcMar>
            <w:vAlign w:val="center"/>
          </w:tcPr>
          <w:p>
            <w:pPr>
              <w:spacing w:before="0" w:after="0" w:line="252" w:lineRule="auto"/>
            </w:pPr>
            <w:r>
              <w:rPr>
                <w:rFonts w:ascii="Aptos" w:hAnsi="Aptos"/>
                <w:b w:val="0"/>
                <w:sz w:val="19"/>
                <w:color w:val="1F1F1F"/>
              </w:rPr>
              <w:t>T-25 Úplnost důkazů</w:t>
            </w:r>
          </w:p>
        </w:tc>
        <w:tc>
          <w:tcPr>
            <w:tcW w:type="dxa" w:w="7480"/>
            <w:tcMar>
              <w:top w:w="95" w:type="dxa"/>
              <w:start w:w="140" w:type="dxa"/>
              <w:bottom w:w="95" w:type="dxa"/>
              <w:end w:w="140" w:type="dxa"/>
            </w:tcMar>
            <w:vAlign w:val="center"/>
          </w:tcPr>
          <w:p>
            <w:pPr>
              <w:spacing w:before="0" w:after="0" w:line="252" w:lineRule="auto"/>
            </w:pPr>
            <w:r>
              <w:rPr>
                <w:rFonts w:ascii="Aptos" w:hAnsi="Aptos"/>
                <w:b w:val="0"/>
                <w:sz w:val="19"/>
                <w:color w:val="1F1F1F"/>
              </w:rPr>
              <w:t>Akceptační balíček C-01 až C-10 je úplný, svázaný s jedním buildId a nemá povinný stav FAIL, BLOCKED ani NOT TESTED.</w:t>
            </w:r>
          </w:p>
        </w:tc>
      </w:tr>
    </w:tbl>
    <w:p>
      <w:pPr>
        <w:spacing w:after="40"/>
      </w:pPr>
    </w:p>
    <w:p>
      <w:pPr>
        <w:pStyle w:val="Heading2"/>
        <w:keepNext/>
        <w:keepLines/>
      </w:pPr>
      <w:r>
        <w:t>24.3 Povolené stavy matice shody</w:t>
      </w:r>
    </w:p>
    <w:p>
      <w:pPr>
        <w:pStyle w:val="ListBullet"/>
        <w:spacing w:after="40"/>
      </w:pPr>
      <w:r>
        <w:t>PASS - implementace i automatický důkaz splňují požadavek v tomto konkrétním buildu.</w:t>
      </w:r>
    </w:p>
    <w:p>
      <w:pPr>
        <w:pStyle w:val="ListBullet"/>
        <w:spacing w:after="40"/>
      </w:pPr>
      <w:r>
        <w:t>FAIL - důkaz prokazuje nesplnění; release je zakázán.</w:t>
      </w:r>
    </w:p>
    <w:p>
      <w:pPr>
        <w:pStyle w:val="ListBullet"/>
        <w:spacing w:after="40"/>
      </w:pPr>
      <w:r>
        <w:t>BLOCKED - důkaz nelze získat nebo chybí rozhodnutí; release je zakázán.</w:t>
      </w:r>
    </w:p>
    <w:p>
      <w:pPr>
        <w:pStyle w:val="ListBullet"/>
        <w:spacing w:after="40"/>
      </w:pPr>
      <w:r>
        <w:t>NOT TESTED - kontrola nebyla provedena; u povinného bodu je release zakázán.</w:t>
      </w:r>
    </w:p>
    <w:p>
      <w:pPr>
        <w:pStyle w:val="ListBullet"/>
        <w:spacing w:after="40"/>
      </w:pPr>
      <w:r>
        <w:t>NOT APPLICABLE - lze použít jen tehdy, když požadavek výslovně připouští neaplikovatelnost a správce uvede písemné odůvodnění. Nelze jím obejít MUST nebo NESMÍ.</w:t>
      </w:r>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MUST-GEN-02</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Souhrnný stav je PASS pouze tehdy, když je každý povinný řádek PASS. Agregace nesmí skrýt jednotlivé selhání procentem úspěšnosti, průměrem ani manuálním přepsáním výsledku.</w:t>
            </w:r>
          </w:p>
        </w:tc>
      </w:tr>
    </w:tbl>
    <w:p>
      <w:pPr>
        <w:spacing w:after="40"/>
      </w:pPr>
    </w:p>
    <w:p>
      <w:r>
        <w:br w:type="page"/>
      </w:r>
    </w:p>
    <w:p>
      <w:pPr>
        <w:pStyle w:val="Heading1"/>
        <w:keepNext/>
        <w:keepLines/>
      </w:pPr>
      <w:r>
        <w:t>25. Povinná instrukce při použití dokumentu jako přílohy</w:t>
      </w:r>
    </w:p>
    <w:p>
      <w:r>
        <w:t>Následující text se přikládá k funkčnímu zadání beze změny. Zadavatel doplní pouze specifikaci funkce a systémem přidělenou identitu. Text je určen pro AI generátor, vývojáře i automatizovaný scaffolding nástroj.</w:t>
      </w:r>
    </w:p>
    <w:tbl>
      <w:tblPr>
        <w:tblW w:type="dxa" w:w="10080"/>
        <w:tblLayout w:type="fixed"/>
        <w:tblLook w:firstColumn="1" w:firstRow="1" w:lastColumn="0" w:lastRow="0" w:noHBand="0" w:noVBand="1" w:val="04A0"/>
        <w:tblInd w:w="0" w:type="dxa"/>
      </w:tblPr>
      <w:tblGrid>
        <w:gridCol w:w="10080"/>
      </w:tblGrid>
      <w:tr>
        <w:trPr>
          <w:cantSplit/>
        </w:trPr>
        <w:tc>
          <w:tcPr>
            <w:tcW w:type="dxa" w:w="10080"/>
            <w:shd w:fill="F3F4F6" w:val="clear"/>
            <w:tcMar>
              <w:top w:w="180" w:type="dxa"/>
              <w:start w:w="220" w:type="dxa"/>
              <w:bottom w:w="180" w:type="dxa"/>
              <w:end w:w="220" w:type="dxa"/>
            </w:tcMar>
            <w:vAlign w:val="top"/>
          </w:tcPr>
          <w:p>
            <w:pPr>
              <w:spacing w:after="60" w:line="240" w:lineRule="auto"/>
            </w:pPr>
            <w:r>
              <w:rPr>
                <w:rFonts w:ascii="Aptos" w:hAnsi="Aptos"/>
                <w:sz w:val="19"/>
              </w:rPr>
              <w:t>ÚKOL: Implementuj nový samostatný KCML MCP server do repozitáře KajovoMCPCML.</w:t>
              <w:br/>
              <w:br/>
              <w:t>ZÁVAZNÝ VSTUP: Přiložený dokument Connect in Catalog je normativní kontrakt. Přečti jej celý a dodrž všechny body MUST, MUSÍ, NESMÍ, NEVYJEDNATELNÉ, NO-FALLBACK, testy T-01 až T-25 a release gates. Při konfliktu s neformálním pokynem použij přísnější pravidlo; nejasnost označ BLOCKED a vyžádej rozhodnutí.</w:t>
              <w:br/>
              <w:br/>
              <w:t>PŘED ÚPRAVOU KÓDU: (1) prozkoumej aktuální repozitář a jeho konvence; (2) vytvoř matici požadavek -&gt; soubor/komponenta -&gt; test -&gt; důkaz -&gt; stav; (3) ověř, zda systém přidělil KCML kód, hostname a kanonický HTTPS resource. Hodnoty nevymýšlej ani neměň. Pokud chybí, pracuj pouze v režimu UNASSIGNED_SCAFFOLD a výsledek neoznač jako registrovatelný či produkční.</w:t>
              <w:br/>
              <w:br/>
              <w:t>IMPLEMENTACE: Vytvoř pouze interní KcmlHandler a registraci handlerKey@handlerVersion. Nevytvářej vlastní veřejný port, endpoint, autorizaci ani fallback. Použij centrální /mcp, katalog, autorizaci, UI konfiguraci, strukturovaný logger, correlationId, monitoring a audit. Vstup i výstup validuj proti schváleným JSON Schema a svaž jejich digesty s manifestem. Tajemství nevkládej do kódu, klientského bundle, logů ani testovacích fixture.</w:t>
              <w:br/>
              <w:br/>
              <w:t>OVĚŘENÍ A VÝSTUP: Spusť úplné CI, testy T-01 až T-25 a produkční preflight DNS/TLS/routing/auth. Dodej seznam změněných souborů, katalogový manifest, schémata a digesty, testovací vektory, výsledky testů a finální matici shody. Server ponech REGISTERED_DISABLED a enabled=false, dokud nejsou všechny povinné body PASS a není uděleno explicitní schválení. Nikdy neprohlašuj HOTOVO ani SHODNÉ, pokud je některý povinný bod FAIL, BLOCKED nebo NOT TESTED.</w:t>
            </w:r>
          </w:p>
        </w:tc>
      </w:tr>
    </w:tbl>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MUST-GEN-03</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Samotná odpověď generátoru typu 'hotovo' není akceptační důkaz. Přijímá se pouze změna kódu doprovázená balíčkem C-01 až C-10 a úspěšnými testy T-01 až T-25.</w:t>
            </w:r>
          </w:p>
        </w:tc>
      </w:tr>
    </w:tbl>
    <w:p>
      <w:pPr>
        <w:spacing w:after="40"/>
      </w:pPr>
    </w:p>
    <w:p>
      <w:pPr>
        <w:pStyle w:val="Heading2"/>
        <w:keepNext/>
        <w:keepLines/>
      </w:pPr>
      <w:r>
        <w:t>25.1 Doprovodná data k příloze</w:t>
      </w:r>
    </w:p>
    <w:tbl>
      <w:tblPr>
        <w:tblStyle w:val="TableGrid"/>
        <w:tblW w:type="dxa" w:w="10080"/>
        <w:tblLayout w:type="fixed"/>
        <w:tblLook w:firstColumn="1" w:firstRow="1" w:lastColumn="0" w:lastRow="0" w:noHBand="0" w:noVBand="1" w:val="04A0"/>
        <w:tblInd w:w="0" w:type="dxa"/>
      </w:tblPr>
      <w:tblGrid>
        <w:gridCol w:w="3000"/>
        <w:gridCol w:w="7080"/>
      </w:tblGrid>
      <w:tr>
        <w:trPr>
          <w:tblHeader w:val="true"/>
          <w:cantSplit/>
        </w:trPr>
        <w:tc>
          <w:tcPr>
            <w:tcW w:type="dxa" w:w="300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Pole</w:t>
            </w:r>
          </w:p>
        </w:tc>
        <w:tc>
          <w:tcPr>
            <w:tcW w:type="dxa" w:w="7080"/>
            <w:shd w:fill="1F4E79" w:val="clear"/>
            <w:tcMar>
              <w:top w:w="100" w:type="dxa"/>
              <w:start w:w="140" w:type="dxa"/>
              <w:bottom w:w="100" w:type="dxa"/>
              <w:end w:w="140" w:type="dxa"/>
            </w:tcMar>
            <w:vAlign w:val="center"/>
          </w:tcPr>
          <w:p>
            <w:pPr>
              <w:spacing w:before="0" w:after="0" w:line="252" w:lineRule="auto"/>
            </w:pPr>
            <w:r>
              <w:rPr>
                <w:rFonts w:ascii="Aptos" w:hAnsi="Aptos"/>
                <w:b/>
                <w:sz w:val="20"/>
                <w:color w:val="FFFFFF"/>
              </w:rPr>
              <w:t>Povinná hodnota</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FUNCTION_SPEC</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Účel jediného nástroje, jeho vstup, výstup, omezení, vedlejší účinky a příklady.</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ASSIGNED_KCML_CODE</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Kód přidělený katalogem, nebo výslovná hodnota UNASSIGNED.</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ASSIGNED_HOSTNAME</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Hostname přidělený katalogem, nebo UNASSIGNED; generátor jej nesmí odvodit z příkladu.</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ASSIGNED_RESOURCE</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Přesná hodnota https://&lt;assigned-hostname&gt;/mcp, nebo UNASSIGNED.</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TARGET_REPOSITORY</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Přesná pracovní kopie/commit, vůči kterému se provede analýza a změna.</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UPSTREAM_AND_DATA_CLASS</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Závislosti, timeout, klasifikace dat, redakce a pravidla práce s tajemstvími.</w:t>
            </w:r>
          </w:p>
        </w:tc>
      </w:tr>
      <w:tr>
        <w:trPr>
          <w:cantSplit/>
        </w:trPr>
        <w:tc>
          <w:tcPr>
            <w:tcW w:type="dxa" w:w="3000"/>
            <w:tcMar>
              <w:top w:w="95" w:type="dxa"/>
              <w:start w:w="140" w:type="dxa"/>
              <w:bottom w:w="95" w:type="dxa"/>
              <w:end w:w="140" w:type="dxa"/>
            </w:tcMar>
            <w:vAlign w:val="center"/>
          </w:tcPr>
          <w:p>
            <w:pPr>
              <w:spacing w:before="0" w:after="0" w:line="252" w:lineRule="auto"/>
            </w:pPr>
            <w:r>
              <w:rPr>
                <w:rFonts w:ascii="Aptos" w:hAnsi="Aptos"/>
                <w:b w:val="0"/>
                <w:sz w:val="19"/>
                <w:color w:val="1F1F1F"/>
              </w:rPr>
              <w:t>APPROVER</w:t>
            </w:r>
          </w:p>
        </w:tc>
        <w:tc>
          <w:tcPr>
            <w:tcW w:type="dxa" w:w="7080"/>
            <w:tcMar>
              <w:top w:w="95" w:type="dxa"/>
              <w:start w:w="140" w:type="dxa"/>
              <w:bottom w:w="95" w:type="dxa"/>
              <w:end w:w="140" w:type="dxa"/>
            </w:tcMar>
            <w:vAlign w:val="center"/>
          </w:tcPr>
          <w:p>
            <w:pPr>
              <w:spacing w:before="0" w:after="0" w:line="252" w:lineRule="auto"/>
            </w:pPr>
            <w:r>
              <w:rPr>
                <w:rFonts w:ascii="Aptos" w:hAnsi="Aptos"/>
                <w:b w:val="0"/>
                <w:sz w:val="19"/>
                <w:color w:val="1F1F1F"/>
              </w:rPr>
              <w:t>Osoba nebo workflow oprávněné schválit kontrakt, bezpečnost, testy a aktivaci.</w:t>
            </w:r>
          </w:p>
        </w:tc>
      </w:tr>
    </w:tbl>
    <w:p>
      <w:pPr>
        <w:spacing w:after="40"/>
      </w:pPr>
    </w:p>
    <w:p>
      <w:r>
        <w:br w:type="page"/>
      </w:r>
    </w:p>
    <w:p>
      <w:pPr>
        <w:pStyle w:val="Heading1"/>
        <w:keepNext/>
        <w:keepLines/>
      </w:pPr>
      <w:r>
        <w:t>26. Zajištění shody a finální akceptace</w:t>
      </w:r>
    </w:p>
    <w:p>
      <w:r>
        <w:t>Statický dokument nedokáže sám zabránit chybné implementaci. Požadovaná míra jistoty vzniká teprve kombinací normativního zadání, automatických kontrol a fail-closed provozních bran. Následující mechanismy proto musí být součástí centrálního systému, nikoli pouze slibem vývojáře.</w:t>
      </w:r>
    </w:p>
    <w:p>
      <w:pPr>
        <w:pStyle w:val="ListBullet"/>
        <w:spacing w:after="40"/>
      </w:pPr>
      <w:r>
        <w:t>CI a ochrana větve odmítnou merge, pokud neprojde pnpm run ci, T-01 až T-25 nebo kontrola úplnosti C-01 až C-10.</w:t>
      </w:r>
    </w:p>
    <w:p>
      <w:pPr>
        <w:pStyle w:val="ListBullet"/>
        <w:spacing w:after="40"/>
      </w:pPr>
      <w:r>
        <w:t>Katalogový stavový automat nepovolí APPROVED, TRIAL ani ACTIVE bez platných schémat, digestů, dostupného handleru, schválení a úspěšného testovacího běhu.</w:t>
      </w:r>
    </w:p>
    <w:p>
      <w:pPr>
        <w:pStyle w:val="ListBullet"/>
        <w:spacing w:after="40"/>
      </w:pPr>
      <w:r>
        <w:t>Přepínač enabled nelze aktivovat, dokud produkční preflight neověří přidělenou HTTPS adresu, TLS, routing, autorizaci a izolaci.</w:t>
      </w:r>
    </w:p>
    <w:p>
      <w:pPr>
        <w:pStyle w:val="ListBullet"/>
        <w:spacing w:after="40"/>
      </w:pPr>
      <w:r>
        <w:t>Runtime vždy odvozuje resource z přesného hostu, porovnává jej s katalogem a audience tokenu a při neshodě končí fail-closed před invoke.</w:t>
      </w:r>
    </w:p>
    <w:p>
      <w:pPr>
        <w:pStyle w:val="ListBullet"/>
        <w:spacing w:after="40"/>
      </w:pPr>
      <w:r>
        <w:t>Akceptační důkazy jsou neměnně uloženy s buildId, handlerVersion, contractVersion a digesty. Změna kteréhokoli z nich zneplatní předchozí schválení.</w:t>
      </w:r>
    </w:p>
    <w:p>
      <w:pPr>
        <w:pStyle w:val="ListBullet"/>
        <w:spacing w:after="40"/>
      </w:pPr>
      <w:r>
        <w:t>Po nasazení proběhne smoke test, kontrola auditních událostí a metrik; rozpor aktivuje QUARANTINED nebo automatické vypnutí podle centrální politiky.</w:t>
      </w:r>
    </w:p>
    <w:p>
      <w:pPr>
        <w:pStyle w:val="ListBullet"/>
        <w:spacing w:after="40"/>
      </w:pPr>
      <w:r>
        <w:t>Pravidelné regresní testy opakují minimálně izolaci, audience binding, revokaci, redakci tajemství, integritu schémat a HTTPS preflight.</w:t>
      </w:r>
    </w:p>
    <w:p>
      <w:pPr>
        <w:pStyle w:val="ListBullet"/>
        <w:spacing w:after="40"/>
      </w:pPr>
      <w:r>
        <w:t>Nová verze tohoto standardu nebo centrální protokolové verze vyvolá řízenou revalidaci všech dotčených KCML serverů; jednotlivý handler si výjimku nesmí vyhlásit sám.</w:t>
      </w:r>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ACCEPT-01</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Nový KCML MCP server smí být označen jako shodný pouze tehdy, když jsou konkrétní verze tohoto dokumentu, buildId, katalogový manifest, handlerVersion, contractVersion, digesty, testovací report a schválení navzájem jednoznačně svázány a všechny povinné stavy jsou PASS.</w:t>
            </w:r>
          </w:p>
        </w:tc>
      </w:tr>
    </w:tbl>
    <w:p>
      <w:pPr>
        <w:spacing w:after="40"/>
      </w:pPr>
    </w:p>
    <w:tbl>
      <w:tblPr>
        <w:tblW w:type="dxa" w:w="10080"/>
        <w:tblLayout w:type="fixed"/>
        <w:tblLook w:firstColumn="1" w:firstRow="1" w:lastColumn="0" w:lastRow="0" w:noHBand="0" w:noVBand="1" w:val="04A0"/>
        <w:tblInd w:w="0" w:type="dxa"/>
      </w:tblPr>
      <w:tblGrid>
        <w:gridCol w:w="2232"/>
        <w:gridCol w:w="7848"/>
      </w:tblGrid>
      <w:tr>
        <w:trPr>
          <w:cantSplit/>
        </w:trPr>
        <w:tc>
          <w:tcPr>
            <w:tcW w:type="dxa" w:w="2232"/>
            <w:shd w:fill="1F4E79" w:val="clear"/>
            <w:tcMar>
              <w:top w:w="150" w:type="dxa"/>
              <w:start w:w="140" w:type="dxa"/>
              <w:bottom w:w="150" w:type="dxa"/>
              <w:end w:w="140" w:type="dxa"/>
            </w:tcMar>
            <w:vAlign w:val="center"/>
          </w:tcPr>
          <w:p>
            <w:pPr>
              <w:spacing w:before="0" w:after="0" w:line="252" w:lineRule="auto"/>
            </w:pPr>
            <w:r>
              <w:rPr>
                <w:rFonts w:ascii="Aptos" w:hAnsi="Aptos"/>
                <w:b/>
                <w:sz w:val="21"/>
                <w:color w:val="FFFFFF"/>
              </w:rPr>
              <w:t>Release gate</w:t>
            </w:r>
          </w:p>
        </w:tc>
        <w:tc>
          <w:tcPr>
            <w:tcW w:type="dxa" w:w="7848"/>
            <w:shd w:fill="E8F1F7" w:val="clear"/>
            <w:tcMar>
              <w:top w:w="150" w:type="dxa"/>
              <w:start w:w="140" w:type="dxa"/>
              <w:bottom w:w="150" w:type="dxa"/>
              <w:end w:w="140" w:type="dxa"/>
            </w:tcMar>
            <w:vAlign w:val="center"/>
          </w:tcPr>
          <w:p>
            <w:pPr>
              <w:spacing w:before="0" w:after="0" w:line="252" w:lineRule="auto"/>
            </w:pPr>
            <w:r>
              <w:rPr>
                <w:rFonts w:ascii="Aptos" w:hAnsi="Aptos"/>
                <w:b w:val="0"/>
                <w:sz w:val="21"/>
                <w:color w:val="1F1F1F"/>
              </w:rPr>
              <w:t>Příloha je závazným návodem, nikoli automatickou zárukou. Zárukou přijetí je pouze vynucení kapitoly 26 centrálním CI, katalogovým workflow a runtime kontrolami. Bez tohoto vynucení server zůstává REGISTERED_DISABLED nebo BLOCKED.</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Vývojářský integrační standard - autoritativní dokument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KAJOVOMCPCML  |  CONNECT IN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decimal"/>
      <w:lvlText w:val="%1."/>
      <w:suff w:val="tab"/>
      <w:pPr>
        <w:tabs>
          <w:tab w:val="num" w:pos="540"/>
        </w:tabs>
        <w:ind w:left="540" w:hanging="360"/>
      </w:pPr>
    </w:lvl>
  </w:abstractNum>
  <w:num w:numId="10">
    <w:abstractNumId w:val="9"/>
  </w:num>
  <w:abstractNum w:abstractNumId="10">
    <w:nsid w:val="0000000A"/>
    <w:multiLevelType w:val="singleLevel"/>
    <w:lvl w:ilvl="0">
      <w:start w:val="1"/>
      <w:numFmt w:val="decimal"/>
      <w:lvlText w:val="%1."/>
      <w:suff w:val="tab"/>
      <w:pPr>
        <w:tabs>
          <w:tab w:val="num" w:pos="540"/>
        </w:tabs>
        <w:ind w:left="54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in Catalog - vývojářský integrační standard</dc:title>
  <dc:subject>Závazný integrační a generativní kontrakt pro KCML MCP servery</dc:subject>
  <dc:creator>OpenAI</dc:creator>
  <cp:keywords>MCP, KCML, KajovoMCPCML, katalog, autorizace, tokeny, monitoring, logging</cp:keywords>
  <dc:description>Verze 1.1: doplněn generativní protokol, akceptační balíček a strojové release gates.</dc:description>
  <cp:lastModifiedBy/>
  <cp:revision>1</cp:revision>
  <dcterms:created xsi:type="dcterms:W3CDTF">2013-12-23T23:15:00Z</dcterms:created>
  <dcterms:modified xsi:type="dcterms:W3CDTF">2013-12-23T23:15:00Z</dcterms:modified>
  <cp:category/>
</cp:coreProperties>
</file>