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KajovoCML Onboarding Catalog 2026.07.23</w:t>
      </w:r>
    </w:p>
    <w:p>
      <w:r>
        <w:t>Release wave baseline: 9 AI agents, 11 MCP servers, 5 KCML managed services.</w:t>
      </w:r>
    </w:p>
    <w:p>
      <w:r>
        <w:t>This baseline is the first versioned production wave, not the final target scope of the system.</w:t>
      </w:r>
    </w:p>
    <w:p>
      <w:r>
        <w:t>Native v2 component onboarding requires blueprint.componentId, releaseWaveKey, token scope, authorization snapshot, Idempotency-Key and If-Match for revisions.</w:t>
      </w:r>
    </w:p>
    <w:p>
      <w:r>
        <w:t>Legacy v1 onboarding routes remain compatibility adapters only.</w:t>
      </w:r>
    </w:p>
    <w:sectPr>
      <w:pgSz w:w="12240" w:h="15840"/>
      <w:pgMar w:top="1440" w:right="1440" w:bottom="1440" w:left="1440"/>
    </w:sectPr>
  </w:body>
</w:document>
</file>