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spacing w:before="160" w:after="40"/>
      </w:pPr>
      <w:r>
        <w:rPr>
          <w:rFonts w:ascii="Calibri" w:hAnsi="Calibri"/>
          <w:b/>
          <w:i w:val="0"/>
          <w:caps w:val="0"/>
          <w:color w:val="16324F"/>
          <w:sz w:val="44"/>
        </w:rPr>
        <w:t>Legal Monitor Briefing</w:t>
      </w:r>
    </w:p>
    <w:p>
      <w:pPr>
        <w:spacing w:after="200"/>
      </w:pPr>
      <w:r>
        <w:rPr>
          <w:rFonts w:ascii="Calibri" w:hAnsi="Calibri"/>
          <w:b w:val="0"/>
          <w:i w:val="0"/>
          <w:caps w:val="0"/>
          <w:color w:val="506D8B"/>
          <w:sz w:val="23"/>
        </w:rPr>
        <w:t>Public registry monitoring summary for senior management</w:t>
      </w:r>
    </w:p>
    <w:tbl>
      <w:tblPr>
        <w:tblW w:type="auto" w:w="0"/>
        <w:jc w:val="center"/>
        <w:tblLayout w:type="fixed"/>
        <w:tblLook w:firstColumn="1" w:firstRow="1" w:lastColumn="0" w:lastRow="0" w:noHBand="0" w:noVBand="1" w:val="04A0"/>
      </w:tblPr>
      <w:tblGrid>
        <w:gridCol w:w="3437"/>
        <w:gridCol w:w="3437"/>
        <w:gridCol w:w="3437"/>
      </w:tblGrid>
      <w:tr>
        <w:tc>
          <w:tcPr>
            <w:tcW w:type="dxa" w:w="3402"/>
            <w:vAlign w:val="center"/>
            <w:tcBorders>
              <w:left w:val="single" w:sz="8" w:color="D8E1EA"/>
              <w:top w:val="single" w:sz="8" w:color="D8E1EA"/>
              <w:right w:val="single" w:sz="8" w:color="D8E1EA"/>
              <w:bottom w:val="single" w:sz="8" w:color="D8E1EA"/>
            </w:tcBorders>
            <w:shd w:fill="F7F9FC"/>
          </w:tcPr>
          <w:p>
            <w:pPr>
              <w:spacing w:after="20"/>
            </w:pPr>
            <w:r>
              <w:rPr>
                <w:rFonts w:ascii="Calibri" w:hAnsi="Calibri"/>
                <w:b/>
                <w:i w:val="0"/>
                <w:caps w:val="0"/>
                <w:color w:val="5B6670"/>
                <w:sz w:val="17"/>
              </w:rPr>
              <w:t>Monitored entity</w:t>
            </w:r>
          </w:p>
          <w:p>
            <w:pPr>
              <w:spacing w:before="0" w:after="0"/>
            </w:pPr>
            <w:r>
              <w:rPr>
                <w:rFonts w:ascii="Calibri" w:hAnsi="Calibri"/>
                <w:b w:val="0"/>
                <w:i w:val="0"/>
                <w:caps w:val="0"/>
                <w:color w:val="1F2933"/>
                <w:sz w:val="23"/>
              </w:rPr>
              <w:t>J Bau</w:t>
            </w:r>
          </w:p>
        </w:tc>
        <w:tc>
          <w:tcPr>
            <w:tcW w:type="dxa" w:w="3288"/>
            <w:vAlign w:val="center"/>
            <w:tcBorders>
              <w:left w:val="single" w:sz="8" w:color="D8E1EA"/>
              <w:top w:val="single" w:sz="8" w:color="D8E1EA"/>
              <w:right w:val="single" w:sz="8" w:color="D8E1EA"/>
              <w:bottom w:val="single" w:sz="8" w:color="D8E1EA"/>
            </w:tcBorders>
            <w:shd w:fill="F7F9FC"/>
          </w:tcPr>
          <w:p>
            <w:pPr>
              <w:spacing w:after="20"/>
            </w:pPr>
            <w:r>
              <w:rPr>
                <w:rFonts w:ascii="Calibri" w:hAnsi="Calibri"/>
                <w:b/>
                <w:i w:val="0"/>
                <w:caps w:val="0"/>
                <w:color w:val="5B6670"/>
                <w:sz w:val="17"/>
              </w:rPr>
              <w:t>Reporting period</w:t>
            </w:r>
          </w:p>
          <w:p>
            <w:pPr>
              <w:spacing w:before="0" w:after="0"/>
            </w:pPr>
            <w:r>
              <w:rPr>
                <w:rFonts w:ascii="Calibri" w:hAnsi="Calibri"/>
                <w:b w:val="0"/>
                <w:i w:val="0"/>
                <w:caps w:val="0"/>
                <w:color w:val="1F2933"/>
                <w:sz w:val="23"/>
              </w:rPr>
              <w:t>06 April 2026 - 06 May 2026</w:t>
            </w:r>
          </w:p>
        </w:tc>
        <w:tc>
          <w:tcPr>
            <w:tcW w:type="dxa" w:w="3288"/>
            <w:vAlign w:val="center"/>
            <w:tcBorders>
              <w:left w:val="single" w:sz="8" w:color="D8E1EA"/>
              <w:top w:val="single" w:sz="8" w:color="D8E1EA"/>
              <w:right w:val="single" w:sz="8" w:color="D8E1EA"/>
              <w:bottom w:val="single" w:sz="8" w:color="D8E1EA"/>
            </w:tcBorders>
            <w:shd w:fill="F7F9FC"/>
          </w:tcPr>
          <w:p>
            <w:pPr>
              <w:spacing w:after="20"/>
            </w:pPr>
            <w:r>
              <w:rPr>
                <w:rFonts w:ascii="Calibri" w:hAnsi="Calibri"/>
                <w:b/>
                <w:i w:val="0"/>
                <w:caps w:val="0"/>
                <w:color w:val="5B6670"/>
                <w:sz w:val="17"/>
              </w:rPr>
              <w:t>Report generated</w:t>
            </w:r>
          </w:p>
          <w:p>
            <w:pPr>
              <w:spacing w:before="0" w:after="0"/>
            </w:pPr>
            <w:r>
              <w:rPr>
                <w:rFonts w:ascii="Calibri" w:hAnsi="Calibri"/>
                <w:b w:val="0"/>
                <w:i w:val="0"/>
                <w:caps w:val="0"/>
                <w:color w:val="1F2933"/>
                <w:sz w:val="23"/>
              </w:rPr>
              <w:t>06 May 2026, 21:13 UTC</w:t>
            </w:r>
          </w:p>
        </w:tc>
      </w:tr>
      <w:tr>
        <w:tc>
          <w:tcPr>
            <w:tcW w:type="dxa" w:w="3402"/>
            <w:vAlign w:val="center"/>
            <w:tcBorders>
              <w:left w:val="single" w:sz="8" w:color="D8E1EA"/>
              <w:top w:val="single" w:sz="8" w:color="D8E1EA"/>
              <w:right w:val="single" w:sz="8" w:color="D8E1EA"/>
              <w:bottom w:val="single" w:sz="8" w:color="D8E1EA"/>
            </w:tcBorders>
            <w:shd w:fill="FFFFFF"/>
          </w:tcPr>
          <w:p>
            <w:pPr>
              <w:spacing w:after="20"/>
            </w:pPr>
            <w:r>
              <w:rPr>
                <w:rFonts w:ascii="Calibri" w:hAnsi="Calibri"/>
                <w:b/>
                <w:i w:val="0"/>
                <w:caps w:val="0"/>
                <w:color w:val="5B6670"/>
                <w:sz w:val="17"/>
              </w:rPr>
              <w:t>Records reviewed</w:t>
            </w:r>
          </w:p>
          <w:p>
            <w:pPr>
              <w:spacing w:before="0" w:after="0"/>
            </w:pPr>
            <w:r>
              <w:rPr>
                <w:rFonts w:ascii="Calibri" w:hAnsi="Calibri"/>
                <w:b/>
                <w:i w:val="0"/>
                <w:caps w:val="0"/>
                <w:color w:val="16324F"/>
                <w:sz w:val="23"/>
              </w:rPr>
              <w:t>593</w:t>
            </w:r>
          </w:p>
        </w:tc>
        <w:tc>
          <w:tcPr>
            <w:tcW w:type="dxa" w:w="3288"/>
            <w:vAlign w:val="center"/>
            <w:tcBorders>
              <w:left w:val="single" w:sz="8" w:color="D8E1EA"/>
              <w:top w:val="single" w:sz="8" w:color="D8E1EA"/>
              <w:right w:val="single" w:sz="8" w:color="D8E1EA"/>
              <w:bottom w:val="single" w:sz="8" w:color="D8E1EA"/>
            </w:tcBorders>
            <w:shd w:fill="FFFFFF"/>
          </w:tcPr>
          <w:p>
            <w:pPr>
              <w:spacing w:after="20"/>
            </w:pPr>
            <w:r>
              <w:rPr>
                <w:rFonts w:ascii="Calibri" w:hAnsi="Calibri"/>
                <w:b/>
                <w:i w:val="0"/>
                <w:caps w:val="0"/>
                <w:color w:val="5B6670"/>
                <w:sz w:val="17"/>
              </w:rPr>
              <w:t>Relevant findings</w:t>
            </w:r>
          </w:p>
          <w:p>
            <w:pPr>
              <w:spacing w:before="0" w:after="0"/>
            </w:pPr>
            <w:r>
              <w:rPr>
                <w:rFonts w:ascii="Calibri" w:hAnsi="Calibri"/>
                <w:b/>
                <w:i w:val="0"/>
                <w:caps w:val="0"/>
                <w:color w:val="16324F"/>
                <w:sz w:val="23"/>
              </w:rPr>
              <w:t>1</w:t>
            </w:r>
          </w:p>
        </w:tc>
        <w:tc>
          <w:tcPr>
            <w:tcW w:type="dxa" w:w="3288"/>
            <w:vAlign w:val="center"/>
            <w:tcBorders>
              <w:left w:val="single" w:sz="8" w:color="D8E1EA"/>
              <w:top w:val="single" w:sz="8" w:color="D8E1EA"/>
              <w:right w:val="single" w:sz="8" w:color="D8E1EA"/>
              <w:bottom w:val="single" w:sz="8" w:color="D8E1EA"/>
            </w:tcBorders>
            <w:shd w:fill="FFFFFF"/>
          </w:tcPr>
          <w:p>
            <w:pPr>
              <w:spacing w:after="20"/>
            </w:pPr>
            <w:r>
              <w:rPr>
                <w:rFonts w:ascii="Calibri" w:hAnsi="Calibri"/>
                <w:b/>
                <w:i w:val="0"/>
                <w:caps w:val="0"/>
                <w:color w:val="5B6670"/>
                <w:sz w:val="17"/>
              </w:rPr>
              <w:t>Coverage</w:t>
            </w:r>
          </w:p>
          <w:p>
            <w:pPr>
              <w:spacing w:before="0" w:after="0"/>
            </w:pPr>
            <w:r>
              <w:rPr>
                <w:rFonts w:ascii="Calibri" w:hAnsi="Calibri"/>
                <w:b w:val="0"/>
                <w:i w:val="0"/>
                <w:caps w:val="0"/>
                <w:color w:val="1F2933"/>
                <w:sz w:val="23"/>
              </w:rPr>
              <w:t>Public insolvency and liquidation notices</w:t>
            </w:r>
          </w:p>
        </w:tc>
      </w:tr>
    </w:tbl>
    <w:p>
      <w:pPr>
        <w:spacing w:after="80"/>
      </w:pPr>
    </w:p>
    <w:p>
      <w:pPr>
        <w:spacing w:before="160" w:after="80"/>
      </w:pPr>
      <w:r>
        <w:rPr>
          <w:rFonts w:ascii="Calibri" w:hAnsi="Calibri"/>
          <w:b/>
          <w:i w:val="0"/>
          <w:caps w:val="0"/>
          <w:color w:val="16324F"/>
          <w:sz w:val="26"/>
        </w:rPr>
        <w:t>Executive overview</w:t>
      </w:r>
    </w:p>
    <w:tbl>
      <w:tblPr>
        <w:tblW w:type="auto" w:w="0"/>
        <w:jc w:val="center"/>
        <w:tblLook w:firstColumn="1" w:firstRow="1" w:lastColumn="0" w:lastRow="0" w:noHBand="0" w:noVBand="1" w:val="04A0"/>
      </w:tblPr>
      <w:tblGrid>
        <w:gridCol w:w="10312"/>
      </w:tblGrid>
      <w:tr>
        <w:tc>
          <w:tcPr>
            <w:tcW w:type="dxa" w:w="10312"/>
            <w:shd w:fill="EAF1F7"/>
            <w:tcBorders>
              <w:left w:val="single" w:sz="14" w:color="B08B3E"/>
              <w:top w:val="single" w:sz="8" w:color="EAF1F7"/>
              <w:right w:val="single" w:sz="8" w:color="EAF1F7"/>
              <w:bottom w:val="single" w:sz="8" w:color="EAF1F7"/>
            </w:tcBorders>
          </w:tcPr>
          <w:p>
            <w:pPr>
              <w:spacing w:after="40"/>
            </w:pPr>
            <w:r>
              <w:rPr>
                <w:rFonts w:ascii="Calibri" w:hAnsi="Calibri"/>
                <w:b/>
                <w:i w:val="0"/>
                <w:caps w:val="0"/>
                <w:color w:val="16324F"/>
                <w:sz w:val="20"/>
              </w:rPr>
              <w:t>Key point</w:t>
            </w:r>
          </w:p>
          <w:p>
            <w:pPr>
              <w:spacing w:after="0" w:line="276" w:lineRule="auto"/>
            </w:pPr>
            <w:r>
              <w:rPr>
                <w:rFonts w:ascii="Calibri" w:hAnsi="Calibri"/>
                <w:b w:val="0"/>
                <w:i w:val="0"/>
                <w:caps w:val="0"/>
                <w:color w:val="1F2933"/>
                <w:sz w:val="21"/>
              </w:rPr>
              <w:t>One relevant public notice was identified for J Bau s.r.o.. The notice published by Okresný súd Žilina states that the company was dissolved by court order on 17 February 2026, with legal effect stated as 24 March 2026. If the company does not enter liquidation within the stated period after publication, the notice indicates that insolvency is presumed under the cited procedural framework.</w:t>
            </w:r>
          </w:p>
        </w:tc>
      </w:tr>
    </w:tbl>
    <w:p>
      <w:pPr>
        <w:spacing w:after="40"/>
      </w:pPr>
    </w:p>
    <w:p>
      <w:pPr>
        <w:spacing w:before="160" w:after="80"/>
      </w:pPr>
      <w:r>
        <w:rPr>
          <w:rFonts w:ascii="Calibri" w:hAnsi="Calibri"/>
          <w:b/>
          <w:i w:val="0"/>
          <w:caps w:val="0"/>
          <w:color w:val="16324F"/>
          <w:sz w:val="26"/>
        </w:rPr>
        <w:t>Finding details</w:t>
      </w:r>
    </w:p>
    <w:p>
      <w:pPr>
        <w:spacing w:after="60"/>
      </w:pPr>
      <w:r>
        <w:rPr>
          <w:rFonts w:ascii="Calibri" w:hAnsi="Calibri"/>
          <w:b/>
          <w:i w:val="0"/>
          <w:caps w:val="0"/>
          <w:color w:val="16324F"/>
          <w:sz w:val="23"/>
        </w:rPr>
        <w:t>Finding 1 - dissolution notice</w:t>
      </w:r>
    </w:p>
    <w:tbl>
      <w:tblPr>
        <w:tblW w:type="auto" w:w="0"/>
        <w:jc w:val="center"/>
        <w:tblLayout w:type="fixed"/>
        <w:tblLook w:firstColumn="1" w:firstRow="1" w:lastColumn="0" w:lastRow="0" w:noHBand="0" w:noVBand="1" w:val="04A0"/>
      </w:tblPr>
      <w:tblGrid>
        <w:gridCol w:w="5156"/>
        <w:gridCol w:w="5156"/>
      </w:tblGrid>
      <w:tr>
        <w:tc>
          <w:tcPr>
            <w:tcW w:type="dxa" w:w="2778"/>
            <w:vAlign w:val="center"/>
            <w:shd w:fill="F7F9FC"/>
            <w:tcBorders>
              <w:left w:val="single" w:sz="8" w:color="D8E1EA"/>
              <w:top w:val="single" w:sz="8" w:color="D8E1EA"/>
              <w:right w:val="single" w:sz="8" w:color="D8E1EA"/>
              <w:bottom w:val="single" w:sz="8" w:color="D8E1EA"/>
            </w:tcBorders>
          </w:tcPr>
          <w:p>
            <w:pPr>
              <w:spacing w:after="0"/>
            </w:pPr>
            <w:r>
              <w:rPr>
                <w:rFonts w:ascii="Calibri" w:hAnsi="Calibri"/>
                <w:b/>
                <w:i w:val="0"/>
                <w:caps w:val="0"/>
                <w:color w:val="5B6670"/>
                <w:sz w:val="18"/>
              </w:rPr>
              <w:t>Entity</w:t>
            </w:r>
          </w:p>
        </w:tc>
        <w:tc>
          <w:tcPr>
            <w:tcW w:type="dxa" w:w="7200"/>
            <w:vAlign w:val="center"/>
            <w:tcBorders>
              <w:left w:val="single" w:sz="8" w:color="D8E1EA"/>
              <w:top w:val="single" w:sz="8" w:color="D8E1EA"/>
              <w:right w:val="single" w:sz="8" w:color="D8E1EA"/>
              <w:bottom w:val="single" w:sz="8" w:color="D8E1EA"/>
            </w:tcBorders>
          </w:tcPr>
          <w:p>
            <w:pPr>
              <w:spacing w:after="0"/>
            </w:pPr>
            <w:r>
              <w:rPr>
                <w:rFonts w:ascii="Calibri" w:hAnsi="Calibri"/>
                <w:b w:val="0"/>
                <w:i w:val="0"/>
                <w:caps w:val="0"/>
                <w:color w:val="1F2933"/>
                <w:sz w:val="20"/>
              </w:rPr>
              <w:t>J Bau s.r.o.</w:t>
            </w:r>
          </w:p>
        </w:tc>
      </w:tr>
      <w:tr>
        <w:tc>
          <w:tcPr>
            <w:tcW w:type="dxa" w:w="2778"/>
            <w:vAlign w:val="center"/>
            <w:shd w:fill="F7F9FC"/>
            <w:tcBorders>
              <w:left w:val="single" w:sz="8" w:color="D8E1EA"/>
              <w:top w:val="single" w:sz="8" w:color="D8E1EA"/>
              <w:right w:val="single" w:sz="8" w:color="D8E1EA"/>
              <w:bottom w:val="single" w:sz="8" w:color="D8E1EA"/>
            </w:tcBorders>
          </w:tcPr>
          <w:p>
            <w:pPr>
              <w:spacing w:after="0"/>
            </w:pPr>
            <w:r>
              <w:rPr>
                <w:rFonts w:ascii="Calibri" w:hAnsi="Calibri"/>
                <w:b/>
                <w:i w:val="0"/>
                <w:caps w:val="0"/>
                <w:color w:val="5B6670"/>
                <w:sz w:val="18"/>
              </w:rPr>
              <w:t>Notice type</w:t>
            </w:r>
          </w:p>
        </w:tc>
        <w:tc>
          <w:tcPr>
            <w:tcW w:type="dxa" w:w="7200"/>
            <w:vAlign w:val="center"/>
            <w:tcBorders>
              <w:left w:val="single" w:sz="8" w:color="D8E1EA"/>
              <w:top w:val="single" w:sz="8" w:color="D8E1EA"/>
              <w:right w:val="single" w:sz="8" w:color="D8E1EA"/>
              <w:bottom w:val="single" w:sz="8" w:color="D8E1EA"/>
            </w:tcBorders>
          </w:tcPr>
          <w:p>
            <w:pPr>
              <w:spacing w:after="0"/>
            </w:pPr>
            <w:r>
              <w:rPr>
                <w:rFonts w:ascii="Calibri" w:hAnsi="Calibri"/>
                <w:b w:val="0"/>
                <w:i w:val="0"/>
                <w:caps w:val="0"/>
                <w:color w:val="1F2933"/>
                <w:sz w:val="20"/>
              </w:rPr>
              <w:t>Court notice regarding dissolution of the company</w:t>
            </w:r>
          </w:p>
        </w:tc>
      </w:tr>
      <w:tr>
        <w:tc>
          <w:tcPr>
            <w:tcW w:type="dxa" w:w="2778"/>
            <w:vAlign w:val="center"/>
            <w:shd w:fill="F7F9FC"/>
            <w:tcBorders>
              <w:left w:val="single" w:sz="8" w:color="D8E1EA"/>
              <w:top w:val="single" w:sz="8" w:color="D8E1EA"/>
              <w:right w:val="single" w:sz="8" w:color="D8E1EA"/>
              <w:bottom w:val="single" w:sz="8" w:color="D8E1EA"/>
            </w:tcBorders>
          </w:tcPr>
          <w:p>
            <w:pPr>
              <w:spacing w:after="0"/>
            </w:pPr>
            <w:r>
              <w:rPr>
                <w:rFonts w:ascii="Calibri" w:hAnsi="Calibri"/>
                <w:b/>
                <w:i w:val="0"/>
                <w:caps w:val="0"/>
                <w:color w:val="5B6670"/>
                <w:sz w:val="18"/>
              </w:rPr>
              <w:t>Court</w:t>
            </w:r>
          </w:p>
        </w:tc>
        <w:tc>
          <w:tcPr>
            <w:tcW w:type="dxa" w:w="7200"/>
            <w:vAlign w:val="center"/>
            <w:tcBorders>
              <w:left w:val="single" w:sz="8" w:color="D8E1EA"/>
              <w:top w:val="single" w:sz="8" w:color="D8E1EA"/>
              <w:right w:val="single" w:sz="8" w:color="D8E1EA"/>
              <w:bottom w:val="single" w:sz="8" w:color="D8E1EA"/>
            </w:tcBorders>
          </w:tcPr>
          <w:p>
            <w:pPr>
              <w:spacing w:after="0"/>
            </w:pPr>
            <w:r>
              <w:rPr>
                <w:rFonts w:ascii="Calibri" w:hAnsi="Calibri"/>
                <w:b w:val="0"/>
                <w:i w:val="0"/>
                <w:caps w:val="0"/>
                <w:color w:val="1F2933"/>
                <w:sz w:val="20"/>
              </w:rPr>
              <w:t>Okresný súd Žilina</w:t>
            </w:r>
          </w:p>
        </w:tc>
      </w:tr>
      <w:tr>
        <w:tc>
          <w:tcPr>
            <w:tcW w:type="dxa" w:w="2778"/>
            <w:vAlign w:val="center"/>
            <w:shd w:fill="F7F9FC"/>
            <w:tcBorders>
              <w:left w:val="single" w:sz="8" w:color="D8E1EA"/>
              <w:top w:val="single" w:sz="8" w:color="D8E1EA"/>
              <w:right w:val="single" w:sz="8" w:color="D8E1EA"/>
              <w:bottom w:val="single" w:sz="8" w:color="D8E1EA"/>
            </w:tcBorders>
          </w:tcPr>
          <w:p>
            <w:pPr>
              <w:spacing w:after="0"/>
            </w:pPr>
            <w:r>
              <w:rPr>
                <w:rFonts w:ascii="Calibri" w:hAnsi="Calibri"/>
                <w:b/>
                <w:i w:val="0"/>
                <w:caps w:val="0"/>
                <w:color w:val="5B6670"/>
                <w:sz w:val="18"/>
              </w:rPr>
              <w:t>Reference</w:t>
            </w:r>
          </w:p>
        </w:tc>
        <w:tc>
          <w:tcPr>
            <w:tcW w:type="dxa" w:w="7200"/>
            <w:vAlign w:val="center"/>
            <w:tcBorders>
              <w:left w:val="single" w:sz="8" w:color="D8E1EA"/>
              <w:top w:val="single" w:sz="8" w:color="D8E1EA"/>
              <w:right w:val="single" w:sz="8" w:color="D8E1EA"/>
              <w:bottom w:val="single" w:sz="8" w:color="D8E1EA"/>
            </w:tcBorders>
          </w:tcPr>
          <w:p>
            <w:pPr>
              <w:spacing w:after="0"/>
            </w:pPr>
            <w:r>
              <w:rPr>
                <w:rFonts w:ascii="Calibri" w:hAnsi="Calibri"/>
                <w:b w:val="0"/>
                <w:i w:val="0"/>
                <w:caps w:val="0"/>
                <w:color w:val="1F2933"/>
                <w:sz w:val="20"/>
              </w:rPr>
              <w:t>52CbR/79/2025</w:t>
            </w:r>
          </w:p>
        </w:tc>
      </w:tr>
      <w:tr>
        <w:tc>
          <w:tcPr>
            <w:tcW w:type="dxa" w:w="2778"/>
            <w:vAlign w:val="center"/>
            <w:shd w:fill="F7F9FC"/>
            <w:tcBorders>
              <w:left w:val="single" w:sz="8" w:color="D8E1EA"/>
              <w:top w:val="single" w:sz="8" w:color="D8E1EA"/>
              <w:right w:val="single" w:sz="8" w:color="D8E1EA"/>
              <w:bottom w:val="single" w:sz="8" w:color="D8E1EA"/>
            </w:tcBorders>
          </w:tcPr>
          <w:p>
            <w:pPr>
              <w:spacing w:after="0"/>
            </w:pPr>
            <w:r>
              <w:rPr>
                <w:rFonts w:ascii="Calibri" w:hAnsi="Calibri"/>
                <w:b/>
                <w:i w:val="0"/>
                <w:caps w:val="0"/>
                <w:color w:val="5B6670"/>
                <w:sz w:val="18"/>
              </w:rPr>
              <w:t>Publication date</w:t>
            </w:r>
          </w:p>
        </w:tc>
        <w:tc>
          <w:tcPr>
            <w:tcW w:type="dxa" w:w="7200"/>
            <w:vAlign w:val="center"/>
            <w:tcBorders>
              <w:left w:val="single" w:sz="8" w:color="D8E1EA"/>
              <w:top w:val="single" w:sz="8" w:color="D8E1EA"/>
              <w:right w:val="single" w:sz="8" w:color="D8E1EA"/>
              <w:bottom w:val="single" w:sz="8" w:color="D8E1EA"/>
            </w:tcBorders>
          </w:tcPr>
          <w:p>
            <w:pPr>
              <w:spacing w:after="0"/>
            </w:pPr>
            <w:r>
              <w:rPr>
                <w:rFonts w:ascii="Calibri" w:hAnsi="Calibri"/>
                <w:b w:val="0"/>
                <w:i w:val="0"/>
                <w:caps w:val="0"/>
                <w:color w:val="1F2933"/>
                <w:sz w:val="20"/>
              </w:rPr>
              <w:t>31 March 2026</w:t>
            </w:r>
          </w:p>
        </w:tc>
      </w:tr>
      <w:tr>
        <w:tc>
          <w:tcPr>
            <w:tcW w:type="dxa" w:w="2778"/>
            <w:vAlign w:val="center"/>
            <w:shd w:fill="F7F9FC"/>
            <w:tcBorders>
              <w:left w:val="single" w:sz="8" w:color="D8E1EA"/>
              <w:top w:val="single" w:sz="8" w:color="D8E1EA"/>
              <w:right w:val="single" w:sz="8" w:color="D8E1EA"/>
              <w:bottom w:val="single" w:sz="8" w:color="D8E1EA"/>
            </w:tcBorders>
          </w:tcPr>
          <w:p>
            <w:pPr>
              <w:spacing w:after="0"/>
            </w:pPr>
            <w:r>
              <w:rPr>
                <w:rFonts w:ascii="Calibri" w:hAnsi="Calibri"/>
                <w:b/>
                <w:i w:val="0"/>
                <w:caps w:val="0"/>
                <w:color w:val="5B6670"/>
                <w:sz w:val="18"/>
              </w:rPr>
              <w:t>Latest registry update</w:t>
            </w:r>
          </w:p>
        </w:tc>
        <w:tc>
          <w:tcPr>
            <w:tcW w:type="dxa" w:w="7200"/>
            <w:vAlign w:val="center"/>
            <w:tcBorders>
              <w:left w:val="single" w:sz="8" w:color="D8E1EA"/>
              <w:top w:val="single" w:sz="8" w:color="D8E1EA"/>
              <w:right w:val="single" w:sz="8" w:color="D8E1EA"/>
              <w:bottom w:val="single" w:sz="8" w:color="D8E1EA"/>
            </w:tcBorders>
          </w:tcPr>
          <w:p>
            <w:pPr>
              <w:spacing w:after="0"/>
            </w:pPr>
            <w:r>
              <w:rPr>
                <w:rFonts w:ascii="Calibri" w:hAnsi="Calibri"/>
                <w:b w:val="0"/>
                <w:i w:val="0"/>
                <w:caps w:val="0"/>
                <w:color w:val="1F2933"/>
                <w:sz w:val="20"/>
              </w:rPr>
              <w:t>09 April 2026, 03:05 UTC</w:t>
            </w:r>
          </w:p>
        </w:tc>
      </w:tr>
      <w:tr>
        <w:tc>
          <w:tcPr>
            <w:tcW w:type="dxa" w:w="2778"/>
            <w:vAlign w:val="center"/>
            <w:shd w:fill="F7F9FC"/>
            <w:tcBorders>
              <w:left w:val="single" w:sz="8" w:color="D8E1EA"/>
              <w:top w:val="single" w:sz="8" w:color="D8E1EA"/>
              <w:right w:val="single" w:sz="8" w:color="D8E1EA"/>
              <w:bottom w:val="single" w:sz="8" w:color="D8E1EA"/>
            </w:tcBorders>
          </w:tcPr>
          <w:p>
            <w:pPr>
              <w:spacing w:after="0"/>
            </w:pPr>
            <w:r>
              <w:rPr>
                <w:rFonts w:ascii="Calibri" w:hAnsi="Calibri"/>
                <w:b/>
                <w:i w:val="0"/>
                <w:caps w:val="0"/>
                <w:color w:val="5B6670"/>
                <w:sz w:val="18"/>
              </w:rPr>
              <w:t>Relevant party</w:t>
            </w:r>
          </w:p>
        </w:tc>
        <w:tc>
          <w:tcPr>
            <w:tcW w:type="dxa" w:w="7200"/>
            <w:vAlign w:val="center"/>
            <w:tcBorders>
              <w:left w:val="single" w:sz="8" w:color="D8E1EA"/>
              <w:top w:val="single" w:sz="8" w:color="D8E1EA"/>
              <w:right w:val="single" w:sz="8" w:color="D8E1EA"/>
              <w:bottom w:val="single" w:sz="8" w:color="D8E1EA"/>
            </w:tcBorders>
          </w:tcPr>
          <w:p>
            <w:pPr>
              <w:spacing w:after="0"/>
            </w:pPr>
            <w:r>
              <w:rPr>
                <w:rFonts w:ascii="Calibri" w:hAnsi="Calibri"/>
                <w:b w:val="0"/>
                <w:i w:val="0"/>
                <w:caps w:val="0"/>
                <w:color w:val="1F2933"/>
                <w:sz w:val="20"/>
              </w:rPr>
              <w:t>J Bau s. r. o.</w:t>
            </w:r>
          </w:p>
        </w:tc>
      </w:tr>
    </w:tbl>
    <w:p>
      <w:pPr>
        <w:spacing w:after="40"/>
      </w:pPr>
    </w:p>
    <w:p>
      <w:pPr>
        <w:spacing w:before="160" w:after="80"/>
      </w:pPr>
      <w:r>
        <w:rPr>
          <w:rFonts w:ascii="Calibri" w:hAnsi="Calibri"/>
          <w:b/>
          <w:i w:val="0"/>
          <w:caps w:val="0"/>
          <w:color w:val="16324F"/>
          <w:sz w:val="26"/>
        </w:rPr>
        <w:t>Management summary</w:t>
      </w:r>
    </w:p>
    <w:p>
      <w:pPr>
        <w:spacing w:after="120" w:line="276" w:lineRule="auto"/>
        <w:jc w:val="left"/>
      </w:pPr>
      <w:r>
        <w:rPr>
          <w:rFonts w:ascii="Calibri" w:hAnsi="Calibri"/>
          <w:b w:val="0"/>
          <w:i w:val="0"/>
          <w:caps w:val="0"/>
          <w:color w:val="1F2933"/>
          <w:sz w:val="21"/>
        </w:rPr>
        <w:t>One relevant public notice was identified for J Bau s.r.o.. The notice published by Okresný súd Žilina states that the company was dissolved by court order on 17 February 2026, with legal effect stated as 24 March 2026. If the company does not enter liquidation within the stated period after publication, the notice indicates that insolvency is presumed under the cited procedural framework.</w:t>
      </w:r>
    </w:p>
    <w:p>
      <w:pPr>
        <w:spacing w:before="160" w:after="80"/>
      </w:pPr>
      <w:r>
        <w:rPr>
          <w:rFonts w:ascii="Calibri" w:hAnsi="Calibri"/>
          <w:b/>
          <w:i w:val="0"/>
          <w:caps w:val="0"/>
          <w:color w:val="16324F"/>
          <w:sz w:val="26"/>
        </w:rPr>
        <w:t>Source extract</w:t>
      </w:r>
    </w:p>
    <w:tbl>
      <w:tblPr>
        <w:tblW w:type="auto" w:w="0"/>
        <w:jc w:val="center"/>
        <w:tblLook w:firstColumn="1" w:firstRow="1" w:lastColumn="0" w:lastRow="0" w:noHBand="0" w:noVBand="1" w:val="04A0"/>
      </w:tblPr>
      <w:tblGrid>
        <w:gridCol w:w="10312"/>
      </w:tblGrid>
      <w:tr>
        <w:tc>
          <w:tcPr>
            <w:tcW w:type="dxa" w:w="10312"/>
            <w:shd w:fill="FBFCFE"/>
            <w:tcBorders>
              <w:left w:val="single" w:sz="12" w:color="506D8B"/>
              <w:top w:val="single" w:sz="8" w:color="D8E1EA"/>
              <w:right w:val="single" w:sz="8" w:color="D8E1EA"/>
              <w:bottom w:val="single" w:sz="8" w:color="D8E1EA"/>
            </w:tcBorders>
          </w:tcPr>
          <w:p>
            <w:pPr>
              <w:spacing w:line="276" w:lineRule="auto" w:after="0"/>
            </w:pPr>
            <w:r>
              <w:rPr>
                <w:rFonts w:ascii="Calibri" w:hAnsi="Calibri"/>
                <w:b w:val="0"/>
                <w:i w:val="0"/>
                <w:caps w:val="0"/>
                <w:color w:val="1F2933"/>
                <w:sz w:val="20"/>
              </w:rPr>
              <w:t>Oznámenie o zrušení spoločnosti. Okresný súd Žilina oznámil, že uznesením zo dňa 17.02.2026 zrušil obchodnú spoločnosť J Bau s.r.o., so sídlom Makovického 8567/3A, 010 01 Žilina, IČO 56 064 381. Uznesenie nadobudlo právoplatnosť 24.03.2026. Ak spoločnosť do 90 dní od zverejnenia oznámenia nevstúpi do likvidácie, predpokladá sa, že je v úpadku.</w:t>
            </w:r>
          </w:p>
        </w:tc>
      </w:tr>
    </w:tbl>
    <w:p>
      <w:pPr>
        <w:spacing w:before="160" w:after="0"/>
      </w:pPr>
      <w:r>
        <w:rPr>
          <w:rFonts w:ascii="Calibri" w:hAnsi="Calibri"/>
          <w:b w:val="0"/>
          <w:i w:val="0"/>
          <w:caps w:val="0"/>
          <w:color w:val="5B6670"/>
          <w:sz w:val="17"/>
        </w:rPr>
        <w:t>Source note: Public notice monitored through Slovensko.Digital / Obchodný vestník data feeds.</w:t>
      </w:r>
    </w:p>
    <w:sectPr w:rsidR="00FC693F" w:rsidRPr="0006063C" w:rsidSect="00034616">
      <w:headerReference w:type="default" r:id="rId9"/>
      <w:footerReference w:type="default" r:id="rId10"/>
      <w:pgSz w:w="12240" w:h="15840"/>
      <w:pgMar w:top="907" w:right="964" w:bottom="794"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89"/>
      <w:gridCol w:w="4989"/>
    </w:tblGrid>
    <w:tr>
      <w:tc>
        <w:tcPr>
          <w:tcW w:type="dxa" w:w="4989"/>
          <w:tcBorders>
            <w:top w:val="single" w:sz="8" w:color="D8E1EA"/>
          </w:tcBorders>
          <w:vAlign w:val="center"/>
        </w:tcPr>
        <w:p>
          <w:pPr>
            <w:jc w:val="left"/>
          </w:pPr>
          <w:r>
            <w:rPr>
              <w:rFonts w:ascii="Calibri" w:hAnsi="Calibri"/>
              <w:b w:val="0"/>
              <w:i w:val="0"/>
              <w:caps w:val="0"/>
              <w:color w:val="5B6670"/>
              <w:sz w:val="17"/>
            </w:rPr>
            <w:t>Prepared from public registry monitoring data for internal management use.</w:t>
          </w:r>
        </w:p>
      </w:tc>
      <w:tc>
        <w:tcPr>
          <w:tcW w:type="dxa" w:w="4989"/>
          <w:tcBorders>
            <w:top w:val="single" w:sz="8" w:color="D8E1EA"/>
          </w:tcBorders>
          <w:vAlign w:val="center"/>
        </w:tcPr>
        <w:p>
          <w:pPr>
            <w:jc w:val="right"/>
          </w:pPr>
          <w:r>
            <w:rPr>
              <w:rFonts w:ascii="Calibri" w:hAnsi="Calibri"/>
              <w:b w:val="0"/>
              <w:i w:val="0"/>
              <w:caps w:val="0"/>
              <w:color w:val="5B6670"/>
              <w:sz w:val="17"/>
            </w:rPr>
            <w:t xml:space="preserve">Page </w:t>
          </w:r>
          <w:fldSimple w:instr="PAGE">
            <w: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989"/>
      <w:gridCol w:w="4989"/>
    </w:tblGrid>
    <w:tr>
      <w:tc>
        <w:tcPr>
          <w:tcW w:type="dxa" w:w="4989"/>
          <w:vAlign w:val="center"/>
          <w:tcBorders>
            <w:bottom w:val="single" w:sz="8" w:color="D8E1EA"/>
          </w:tcBorders>
        </w:tcPr>
        <w:p>
          <w:pPr>
            <w:jc w:val="left"/>
          </w:pPr>
          <w:r>
            <w:rPr>
              <w:rFonts w:ascii="Calibri" w:hAnsi="Calibri"/>
              <w:b/>
              <w:i w:val="0"/>
              <w:caps w:val="0"/>
              <w:color w:val="16324F"/>
              <w:sz w:val="18"/>
            </w:rPr>
            <w:t>LEGAL MONITOR</w:t>
          </w:r>
          <w:r>
            <w:rPr>
              <w:rFonts w:ascii="Calibri" w:hAnsi="Calibri"/>
              <w:b w:val="0"/>
              <w:i w:val="0"/>
              <w:caps w:val="0"/>
              <w:color w:val="5B6670"/>
              <w:sz w:val="18"/>
            </w:rPr>
            <w:t xml:space="preserve">  |  Management briefing</w:t>
          </w:r>
        </w:p>
      </w:tc>
      <w:tc>
        <w:tcPr>
          <w:tcW w:type="dxa" w:w="4989"/>
          <w:vAlign w:val="center"/>
          <w:tcBorders>
            <w:bottom w:val="single" w:sz="8" w:color="D8E1EA"/>
          </w:tcBorders>
        </w:tcPr>
        <w:p>
          <w:pPr>
            <w:jc w:val="right"/>
          </w:pPr>
          <w:r>
            <w:rPr>
              <w:rFonts w:ascii="Calibri" w:hAnsi="Calibri"/>
              <w:b w:val="0"/>
              <w:i w:val="0"/>
              <w:caps w:val="0"/>
              <w:color w:val="5B6670"/>
              <w:sz w:val="18"/>
            </w:rPr>
            <w:t>Sample | 06 May 2026, 21:13 UTC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