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EF895" w14:textId="77777777" w:rsidR="007A5CBD" w:rsidRPr="00BD5779" w:rsidRDefault="007A5CBD" w:rsidP="007A5CBD">
      <w:pPr>
        <w:pStyle w:val="Heading1"/>
        <w:rPr>
          <w:rFonts w:cs="Times New Roman"/>
        </w:rPr>
      </w:pPr>
      <w:bookmarkStart w:id="0" w:name="_Toc20248584"/>
      <w:r w:rsidRPr="00BD5779">
        <w:rPr>
          <w:rFonts w:cs="Times New Roman"/>
        </w:rPr>
        <w:t>Results</w:t>
      </w:r>
      <w:bookmarkEnd w:id="0"/>
    </w:p>
    <w:p w14:paraId="37E25350" w14:textId="77777777" w:rsidR="007A5CBD" w:rsidRPr="00BD5779" w:rsidRDefault="007A5CBD" w:rsidP="007A5CBD">
      <w:pPr>
        <w:pStyle w:val="Heading2"/>
        <w:rPr>
          <w:rFonts w:cs="Times New Roman"/>
        </w:rPr>
      </w:pPr>
      <w:bookmarkStart w:id="1" w:name="_Toc20248588"/>
      <w:commentRangeStart w:id="2"/>
      <w:r w:rsidRPr="00BD5779">
        <w:rPr>
          <w:rFonts w:cs="Times New Roman"/>
        </w:rPr>
        <w:t>II. Machine learning on synthetic data</w:t>
      </w:r>
      <w:r w:rsidRPr="00BD5779">
        <w:rPr>
          <w:rFonts w:cs="Times New Roman"/>
          <w:noProof/>
        </w:rPr>
        <w:t xml:space="preserve"> </w:t>
      </w:r>
      <w:commentRangeEnd w:id="2"/>
      <w:r>
        <w:rPr>
          <w:rStyle w:val="CommentReference"/>
          <w:rFonts w:eastAsiaTheme="minorEastAsia" w:cstheme="minorBidi"/>
        </w:rPr>
        <w:commentReference w:id="2"/>
      </w:r>
      <w:bookmarkEnd w:id="1"/>
    </w:p>
    <w:p w14:paraId="7D519A51" w14:textId="424474FE" w:rsidR="009812BE" w:rsidRDefault="007A5CBD" w:rsidP="007A5CBD">
      <w:pPr>
        <w:spacing w:after="0" w:line="360" w:lineRule="auto"/>
        <w:rPr>
          <w:rFonts w:cs="Times New Roman"/>
          <w:noProof/>
        </w:rPr>
      </w:pPr>
      <w:r w:rsidRPr="00BD5779">
        <w:rPr>
          <w:rFonts w:cs="Times New Roman"/>
          <w:noProof/>
        </w:rPr>
        <w:tab/>
      </w:r>
      <w:r>
        <w:rPr>
          <w:rFonts w:cs="Times New Roman"/>
          <w:noProof/>
        </w:rPr>
        <w:t xml:space="preserve">We proceeded to create a machine learning model with our synthetic data as the training and validating data. Because the synthetic data does not contain unexplained errors like the TCGA data, it is more reliable for creating a robust machine learning model. </w:t>
      </w:r>
    </w:p>
    <w:p w14:paraId="5749093E" w14:textId="3E14A9B2" w:rsidR="00EE30C7" w:rsidRPr="00EE30C7" w:rsidRDefault="00EE30C7" w:rsidP="007A5CBD">
      <w:pPr>
        <w:spacing w:after="0" w:line="360" w:lineRule="auto"/>
        <w:rPr>
          <w:rFonts w:cs="Times New Roman"/>
          <w:noProof/>
          <w:color w:val="FF0000"/>
        </w:rPr>
      </w:pPr>
      <w:r>
        <w:rPr>
          <w:rFonts w:cs="Times New Roman"/>
          <w:noProof/>
          <w:color w:val="FF0000"/>
        </w:rPr>
        <w:t>To-do: make everything binary classification</w:t>
      </w:r>
      <w:bookmarkStart w:id="4" w:name="_GoBack"/>
      <w:bookmarkEnd w:id="4"/>
    </w:p>
    <w:p w14:paraId="1FFCE22F" w14:textId="4FD3C5E0" w:rsidR="009812BE" w:rsidRDefault="009812BE" w:rsidP="007A5CBD">
      <w:pPr>
        <w:spacing w:after="0" w:line="360" w:lineRule="auto"/>
        <w:rPr>
          <w:rFonts w:cs="Times New Roman"/>
          <w:noProof/>
        </w:rPr>
      </w:pPr>
      <w:r>
        <w:rPr>
          <w:noProof/>
        </w:rPr>
        <w:drawing>
          <wp:inline distT="0" distB="0" distL="0" distR="0" wp14:anchorId="0A5AF34D" wp14:editId="5E348B0A">
            <wp:extent cx="2847975" cy="2305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47975" cy="2305050"/>
                    </a:xfrm>
                    <a:prstGeom prst="rect">
                      <a:avLst/>
                    </a:prstGeom>
                  </pic:spPr>
                </pic:pic>
              </a:graphicData>
            </a:graphic>
          </wp:inline>
        </w:drawing>
      </w:r>
    </w:p>
    <w:p w14:paraId="4DE3AB27" w14:textId="77777777" w:rsidR="009812BE" w:rsidRDefault="009812BE" w:rsidP="007A5CBD">
      <w:pPr>
        <w:spacing w:after="0" w:line="360" w:lineRule="auto"/>
        <w:rPr>
          <w:rFonts w:cs="Times New Roman"/>
          <w:noProof/>
        </w:rPr>
      </w:pPr>
    </w:p>
    <w:p w14:paraId="00A2FB0F" w14:textId="437DD866" w:rsidR="007A5CBD" w:rsidRPr="00BD5779" w:rsidRDefault="007A5CBD" w:rsidP="007A5CBD">
      <w:pPr>
        <w:spacing w:after="0" w:line="360" w:lineRule="auto"/>
        <w:rPr>
          <w:rFonts w:cs="Times New Roman"/>
          <w:sz w:val="26"/>
          <w:szCs w:val="26"/>
        </w:rPr>
      </w:pPr>
      <w:r>
        <w:rPr>
          <w:rFonts w:cs="Times New Roman"/>
          <w:noProof/>
        </w:rPr>
        <w:t xml:space="preserve">The random forest algorithm was used, and to account for the imbalance between the passenger and driver class, we applied the RUSBoost algorithm, which reduces bias towards the majority class through a iterative sampling method that prioritizes the correction of a previously misclassified item </w:t>
      </w:r>
      <w:r>
        <w:rPr>
          <w:rFonts w:cs="Times New Roman"/>
          <w:noProof/>
        </w:rPr>
        <w:fldChar w:fldCharType="begin" w:fldLock="1"/>
      </w:r>
      <w:r>
        <w:rPr>
          <w:rFonts w:cs="Times New Roman"/>
          <w:noProof/>
        </w:rPr>
        <w:instrText>ADDIN CSL_CITATION {"citationItems":[{"id":"ITEM-1","itemData":{"author":[{"dropping-particle":"","family":"Seiffert","given":"Chris","non-dropping-particle":"","parse-names":false,"suffix":""},{"dropping-particle":"","family":"Khoshgoftaar","given":"Taghi M","non-dropping-particle":"","parse-names":false,"suffix":""},{"dropping-particle":"Van","family":"Hulse","given":"Jason","non-dropping-particle":"","parse-names":false,"suffix":""},{"dropping-particle":"","family":"Napolitano","given":"Amri","non-dropping-particle":"","parse-names":false,"suffix":""}],"id":"ITEM-1","issue":"1","issued":{"date-parts":[["2010"]]},"page":"185-197","title":"RUSBoost : A Hybrid Approach to Alleviating Class Imbalance","type":"article-journal","volume":"40"},"uris":["http://www.mendeley.com/documents/?uuid=f5e02eaf-c002-4050-b885-b4ed4ee36c01"]}],"mendeley":{"formattedCitation":"(Seiffert et al.)","plainTextFormattedCitation":"(Seiffert et al.)","previouslyFormattedCitation":"(Seiffert, Khoshgoftaar, Hulse, &amp; Napolitano, 2010)"},"properties":{"noteIndex":0},"schema":"https://github.com/citation-style-language/schema/raw/master/csl-citation.json"}</w:instrText>
      </w:r>
      <w:r>
        <w:rPr>
          <w:rFonts w:cs="Times New Roman"/>
          <w:noProof/>
        </w:rPr>
        <w:fldChar w:fldCharType="separate"/>
      </w:r>
      <w:r>
        <w:rPr>
          <w:rFonts w:cs="Times New Roman"/>
          <w:noProof/>
        </w:rPr>
        <w:t>(Seiffert et al.)</w:t>
      </w:r>
      <w:r>
        <w:rPr>
          <w:rFonts w:cs="Times New Roman"/>
          <w:noProof/>
        </w:rPr>
        <w:fldChar w:fldCharType="end"/>
      </w:r>
      <w:r>
        <w:rPr>
          <w:rFonts w:cs="Times New Roman"/>
          <w:noProof/>
        </w:rPr>
        <w:t xml:space="preserve">. Results of 15% hold-out validation on the classifier is reported in Table 1. </w:t>
      </w:r>
      <w:commentRangeStart w:id="5"/>
      <w:r>
        <w:rPr>
          <w:rFonts w:cs="Times New Roman"/>
          <w:noProof/>
        </w:rPr>
        <w:t xml:space="preserve">The classifier’s accuracy well exceeds 90% and its Cohen’s kappa, a  measure of accuracy that is adjusted for chance selection, exceeds 0.8. </w:t>
      </w:r>
      <w:commentRangeEnd w:id="5"/>
      <w:r w:rsidR="00C6062B">
        <w:rPr>
          <w:rStyle w:val="CommentReference"/>
          <w:rFonts w:asciiTheme="minorHAnsi" w:hAnsiTheme="minorHAnsi"/>
        </w:rPr>
        <w:commentReference w:id="5"/>
      </w:r>
    </w:p>
    <w:p w14:paraId="07861D82" w14:textId="72F009B2" w:rsidR="007A5CBD" w:rsidRPr="00BD5779" w:rsidRDefault="007A5CBD" w:rsidP="007A5CBD">
      <w:pPr>
        <w:spacing w:line="360" w:lineRule="auto"/>
        <w:rPr>
          <w:rFonts w:cs="Times New Roman"/>
          <w:strike/>
        </w:rPr>
      </w:pPr>
    </w:p>
    <w:p w14:paraId="3F26BA67" w14:textId="77777777" w:rsidR="007A5CBD" w:rsidRDefault="007A5CBD" w:rsidP="007A5CBD">
      <w:pPr>
        <w:pStyle w:val="Heading2"/>
        <w:rPr>
          <w:rFonts w:cs="Times New Roman"/>
        </w:rPr>
      </w:pPr>
      <w:bookmarkStart w:id="6" w:name="_Toc20248589"/>
      <w:r w:rsidRPr="00BD5779">
        <w:rPr>
          <w:rFonts w:cs="Times New Roman"/>
        </w:rPr>
        <w:t xml:space="preserve">III. </w:t>
      </w:r>
      <w:r>
        <w:rPr>
          <w:rFonts w:cs="Times New Roman"/>
        </w:rPr>
        <w:t>Validation of putative cancer driver genes from TCGA</w:t>
      </w:r>
      <w:bookmarkEnd w:id="6"/>
    </w:p>
    <w:p w14:paraId="4BC9CCE8" w14:textId="77777777" w:rsidR="007A5CBD" w:rsidRDefault="007A5CBD" w:rsidP="007A5CBD">
      <w:pPr>
        <w:pStyle w:val="Heading3"/>
      </w:pPr>
      <w:bookmarkStart w:id="7" w:name="_Toc20248590"/>
      <w:r>
        <w:t xml:space="preserve">a. </w:t>
      </w:r>
      <w:commentRangeStart w:id="8"/>
      <w:r>
        <w:t xml:space="preserve">Statistical </w:t>
      </w:r>
      <w:commentRangeEnd w:id="8"/>
      <w:r w:rsidR="00091176">
        <w:rPr>
          <w:rStyle w:val="CommentReference"/>
          <w:rFonts w:asciiTheme="minorHAnsi" w:eastAsiaTheme="minorEastAsia" w:hAnsiTheme="minorHAnsi" w:cstheme="minorBidi"/>
        </w:rPr>
        <w:commentReference w:id="8"/>
      </w:r>
      <w:r>
        <w:t>analysis and driver gene ranking</w:t>
      </w:r>
      <w:bookmarkEnd w:id="7"/>
    </w:p>
    <w:tbl>
      <w:tblPr>
        <w:tblStyle w:val="TableGrid"/>
        <w:tblW w:w="9350" w:type="dxa"/>
        <w:tblLook w:val="04A0" w:firstRow="1" w:lastRow="0" w:firstColumn="1" w:lastColumn="0" w:noHBand="0" w:noVBand="1"/>
      </w:tblPr>
      <w:tblGrid>
        <w:gridCol w:w="2002"/>
        <w:gridCol w:w="1964"/>
        <w:gridCol w:w="1943"/>
        <w:gridCol w:w="1647"/>
        <w:gridCol w:w="1794"/>
      </w:tblGrid>
      <w:tr w:rsidR="00C6062B" w:rsidRPr="00BD5779" w14:paraId="614CF0D6" w14:textId="77777777" w:rsidTr="00C6062B">
        <w:trPr>
          <w:trHeight w:val="601"/>
        </w:trPr>
        <w:tc>
          <w:tcPr>
            <w:tcW w:w="2002" w:type="dxa"/>
          </w:tcPr>
          <w:p w14:paraId="17C6CD61" w14:textId="77777777" w:rsidR="00C6062B" w:rsidRPr="00BD5779" w:rsidRDefault="00C6062B" w:rsidP="00FF44BB">
            <w:pPr>
              <w:jc w:val="center"/>
              <w:rPr>
                <w:rFonts w:cs="Times New Roman"/>
              </w:rPr>
            </w:pPr>
            <w:r w:rsidRPr="00BD5779">
              <w:rPr>
                <w:rFonts w:cs="Times New Roman"/>
              </w:rPr>
              <w:t>Cancer Name</w:t>
            </w:r>
          </w:p>
        </w:tc>
        <w:tc>
          <w:tcPr>
            <w:tcW w:w="1964" w:type="dxa"/>
          </w:tcPr>
          <w:p w14:paraId="40C1C7B2" w14:textId="77777777" w:rsidR="00C6062B" w:rsidRPr="00BD5779" w:rsidRDefault="00C6062B" w:rsidP="00FF44BB">
            <w:pPr>
              <w:jc w:val="center"/>
              <w:rPr>
                <w:rFonts w:cs="Times New Roman"/>
              </w:rPr>
            </w:pPr>
            <w:r w:rsidRPr="00BD5779">
              <w:rPr>
                <w:rFonts w:cs="Times New Roman"/>
              </w:rPr>
              <w:t>Accuracy</w:t>
            </w:r>
          </w:p>
        </w:tc>
        <w:tc>
          <w:tcPr>
            <w:tcW w:w="1943" w:type="dxa"/>
          </w:tcPr>
          <w:p w14:paraId="6516E01D" w14:textId="4FE2E0F1" w:rsidR="00C6062B" w:rsidRPr="00BD5779" w:rsidRDefault="00C6062B" w:rsidP="00FF44BB">
            <w:pPr>
              <w:jc w:val="center"/>
              <w:rPr>
                <w:rFonts w:cs="Times New Roman"/>
              </w:rPr>
            </w:pPr>
            <w:r>
              <w:rPr>
                <w:rFonts w:cs="Times New Roman"/>
              </w:rPr>
              <w:t>Precision</w:t>
            </w:r>
          </w:p>
        </w:tc>
        <w:tc>
          <w:tcPr>
            <w:tcW w:w="1647" w:type="dxa"/>
          </w:tcPr>
          <w:p w14:paraId="06C0FB85" w14:textId="6A9333BD" w:rsidR="00C6062B" w:rsidRDefault="00C6062B" w:rsidP="00FF44BB">
            <w:pPr>
              <w:jc w:val="center"/>
              <w:rPr>
                <w:rFonts w:cs="Times New Roman"/>
              </w:rPr>
            </w:pPr>
            <w:r>
              <w:rPr>
                <w:rFonts w:cs="Times New Roman"/>
              </w:rPr>
              <w:t>Recall</w:t>
            </w:r>
          </w:p>
        </w:tc>
        <w:tc>
          <w:tcPr>
            <w:tcW w:w="1794" w:type="dxa"/>
          </w:tcPr>
          <w:p w14:paraId="39A09A51" w14:textId="2B340C1A" w:rsidR="00C6062B" w:rsidRPr="00BD5779" w:rsidRDefault="00C6062B" w:rsidP="00FF44BB">
            <w:pPr>
              <w:jc w:val="center"/>
              <w:rPr>
                <w:rFonts w:cs="Times New Roman"/>
              </w:rPr>
            </w:pPr>
            <w:r>
              <w:rPr>
                <w:rFonts w:cs="Times New Roman"/>
              </w:rPr>
              <w:t>P-value</w:t>
            </w:r>
          </w:p>
        </w:tc>
      </w:tr>
      <w:tr w:rsidR="00C6062B" w:rsidRPr="00BD5779" w14:paraId="45E9C3DE" w14:textId="77777777" w:rsidTr="00C6062B">
        <w:trPr>
          <w:trHeight w:val="191"/>
        </w:trPr>
        <w:tc>
          <w:tcPr>
            <w:tcW w:w="2002" w:type="dxa"/>
          </w:tcPr>
          <w:p w14:paraId="5FC032A8" w14:textId="77777777" w:rsidR="00C6062B" w:rsidRPr="00BD5779" w:rsidRDefault="00C6062B" w:rsidP="00FF44BB">
            <w:pPr>
              <w:jc w:val="center"/>
              <w:rPr>
                <w:rFonts w:cs="Times New Roman"/>
              </w:rPr>
            </w:pPr>
            <w:r w:rsidRPr="00BD5779">
              <w:rPr>
                <w:rFonts w:cs="Times New Roman"/>
              </w:rPr>
              <w:t>Colorectal</w:t>
            </w:r>
          </w:p>
        </w:tc>
        <w:tc>
          <w:tcPr>
            <w:tcW w:w="1964" w:type="dxa"/>
          </w:tcPr>
          <w:p w14:paraId="6B644CF7" w14:textId="77777777" w:rsidR="00C6062B" w:rsidRPr="00BD5779" w:rsidRDefault="00C6062B" w:rsidP="00FF44BB">
            <w:pPr>
              <w:jc w:val="center"/>
              <w:rPr>
                <w:rFonts w:cs="Times New Roman"/>
              </w:rPr>
            </w:pPr>
            <w:r w:rsidRPr="00BD5779">
              <w:rPr>
                <w:rFonts w:cs="Times New Roman"/>
              </w:rPr>
              <w:t>85.8%</w:t>
            </w:r>
          </w:p>
        </w:tc>
        <w:tc>
          <w:tcPr>
            <w:tcW w:w="1943" w:type="dxa"/>
          </w:tcPr>
          <w:p w14:paraId="01E99C31" w14:textId="77777777" w:rsidR="00C6062B" w:rsidRPr="00BD5779" w:rsidRDefault="00C6062B" w:rsidP="00FF44BB">
            <w:pPr>
              <w:jc w:val="center"/>
              <w:rPr>
                <w:rFonts w:cs="Times New Roman"/>
              </w:rPr>
            </w:pPr>
          </w:p>
        </w:tc>
        <w:tc>
          <w:tcPr>
            <w:tcW w:w="1647" w:type="dxa"/>
          </w:tcPr>
          <w:p w14:paraId="586F7C8C" w14:textId="77777777" w:rsidR="00C6062B" w:rsidRPr="00BD5779" w:rsidRDefault="00C6062B" w:rsidP="00FF44BB">
            <w:pPr>
              <w:jc w:val="center"/>
              <w:rPr>
                <w:rFonts w:cs="Times New Roman"/>
              </w:rPr>
            </w:pPr>
          </w:p>
        </w:tc>
        <w:tc>
          <w:tcPr>
            <w:tcW w:w="1794" w:type="dxa"/>
          </w:tcPr>
          <w:p w14:paraId="7A19AC09" w14:textId="347DC807" w:rsidR="00C6062B" w:rsidRPr="00BD5779" w:rsidRDefault="00C6062B" w:rsidP="00FF44BB">
            <w:pPr>
              <w:jc w:val="center"/>
              <w:rPr>
                <w:rFonts w:cs="Times New Roman"/>
              </w:rPr>
            </w:pPr>
          </w:p>
        </w:tc>
      </w:tr>
      <w:tr w:rsidR="00C6062B" w:rsidRPr="00BD5779" w14:paraId="247D24AA" w14:textId="77777777" w:rsidTr="00C6062B">
        <w:trPr>
          <w:trHeight w:val="204"/>
        </w:trPr>
        <w:tc>
          <w:tcPr>
            <w:tcW w:w="2002" w:type="dxa"/>
          </w:tcPr>
          <w:p w14:paraId="340BEA19" w14:textId="77777777" w:rsidR="00C6062B" w:rsidRPr="00BD5779" w:rsidRDefault="00C6062B" w:rsidP="00FF44BB">
            <w:pPr>
              <w:jc w:val="center"/>
              <w:rPr>
                <w:rFonts w:cs="Times New Roman"/>
              </w:rPr>
            </w:pPr>
            <w:r w:rsidRPr="00BD5779">
              <w:rPr>
                <w:rFonts w:cs="Times New Roman"/>
              </w:rPr>
              <w:t>Pancreatic</w:t>
            </w:r>
          </w:p>
        </w:tc>
        <w:tc>
          <w:tcPr>
            <w:tcW w:w="1964" w:type="dxa"/>
          </w:tcPr>
          <w:p w14:paraId="4820A1BD" w14:textId="77777777" w:rsidR="00C6062B" w:rsidRPr="00BD5779" w:rsidRDefault="00C6062B" w:rsidP="00FF44BB">
            <w:pPr>
              <w:jc w:val="center"/>
              <w:rPr>
                <w:rFonts w:cs="Times New Roman"/>
              </w:rPr>
            </w:pPr>
            <w:r w:rsidRPr="00BD5779">
              <w:rPr>
                <w:rFonts w:cs="Times New Roman"/>
              </w:rPr>
              <w:t>85.6%</w:t>
            </w:r>
          </w:p>
        </w:tc>
        <w:tc>
          <w:tcPr>
            <w:tcW w:w="1943" w:type="dxa"/>
          </w:tcPr>
          <w:p w14:paraId="26E9B5A4" w14:textId="77777777" w:rsidR="00C6062B" w:rsidRPr="00BD5779" w:rsidRDefault="00C6062B" w:rsidP="00FF44BB">
            <w:pPr>
              <w:jc w:val="center"/>
              <w:rPr>
                <w:rFonts w:cs="Times New Roman"/>
              </w:rPr>
            </w:pPr>
          </w:p>
        </w:tc>
        <w:tc>
          <w:tcPr>
            <w:tcW w:w="1647" w:type="dxa"/>
          </w:tcPr>
          <w:p w14:paraId="41313FD7" w14:textId="77777777" w:rsidR="00C6062B" w:rsidRPr="00BD5779" w:rsidRDefault="00C6062B" w:rsidP="00FF44BB">
            <w:pPr>
              <w:jc w:val="center"/>
              <w:rPr>
                <w:rFonts w:cs="Times New Roman"/>
              </w:rPr>
            </w:pPr>
          </w:p>
        </w:tc>
        <w:tc>
          <w:tcPr>
            <w:tcW w:w="1794" w:type="dxa"/>
          </w:tcPr>
          <w:p w14:paraId="6EEA1038" w14:textId="4809F60E" w:rsidR="00C6062B" w:rsidRPr="00BD5779" w:rsidRDefault="00C6062B" w:rsidP="00FF44BB">
            <w:pPr>
              <w:jc w:val="center"/>
              <w:rPr>
                <w:rFonts w:cs="Times New Roman"/>
              </w:rPr>
            </w:pPr>
          </w:p>
        </w:tc>
      </w:tr>
      <w:tr w:rsidR="00C6062B" w:rsidRPr="00BD5779" w14:paraId="4982ADC0" w14:textId="77777777" w:rsidTr="00C6062B">
        <w:trPr>
          <w:trHeight w:val="191"/>
        </w:trPr>
        <w:tc>
          <w:tcPr>
            <w:tcW w:w="2002" w:type="dxa"/>
          </w:tcPr>
          <w:p w14:paraId="6FF44C05" w14:textId="77777777" w:rsidR="00C6062B" w:rsidRPr="00BD5779" w:rsidRDefault="00C6062B" w:rsidP="00FF44BB">
            <w:pPr>
              <w:jc w:val="center"/>
              <w:rPr>
                <w:rFonts w:cs="Times New Roman"/>
              </w:rPr>
            </w:pPr>
            <w:r w:rsidRPr="00BD5779">
              <w:rPr>
                <w:rFonts w:cs="Times New Roman"/>
              </w:rPr>
              <w:t>Breast</w:t>
            </w:r>
          </w:p>
        </w:tc>
        <w:tc>
          <w:tcPr>
            <w:tcW w:w="1964" w:type="dxa"/>
          </w:tcPr>
          <w:p w14:paraId="0A1559D9" w14:textId="77777777" w:rsidR="00C6062B" w:rsidRPr="00BD5779" w:rsidRDefault="00C6062B" w:rsidP="00FF44BB">
            <w:pPr>
              <w:jc w:val="center"/>
              <w:rPr>
                <w:rFonts w:cs="Times New Roman"/>
              </w:rPr>
            </w:pPr>
            <w:r w:rsidRPr="00BD5779">
              <w:rPr>
                <w:rFonts w:cs="Times New Roman"/>
              </w:rPr>
              <w:t>86.9%</w:t>
            </w:r>
          </w:p>
        </w:tc>
        <w:tc>
          <w:tcPr>
            <w:tcW w:w="1943" w:type="dxa"/>
          </w:tcPr>
          <w:p w14:paraId="7024A163" w14:textId="77777777" w:rsidR="00C6062B" w:rsidRPr="00BD5779" w:rsidRDefault="00C6062B" w:rsidP="00FF44BB">
            <w:pPr>
              <w:jc w:val="center"/>
              <w:rPr>
                <w:rFonts w:cs="Times New Roman"/>
              </w:rPr>
            </w:pPr>
          </w:p>
        </w:tc>
        <w:tc>
          <w:tcPr>
            <w:tcW w:w="1647" w:type="dxa"/>
          </w:tcPr>
          <w:p w14:paraId="3968C0E3" w14:textId="77777777" w:rsidR="00C6062B" w:rsidRPr="00BD5779" w:rsidRDefault="00C6062B" w:rsidP="00FF44BB">
            <w:pPr>
              <w:jc w:val="center"/>
              <w:rPr>
                <w:rFonts w:cs="Times New Roman"/>
              </w:rPr>
            </w:pPr>
          </w:p>
        </w:tc>
        <w:tc>
          <w:tcPr>
            <w:tcW w:w="1794" w:type="dxa"/>
          </w:tcPr>
          <w:p w14:paraId="48503EB6" w14:textId="196B0342" w:rsidR="00C6062B" w:rsidRPr="00BD5779" w:rsidRDefault="00C6062B" w:rsidP="00FF44BB">
            <w:pPr>
              <w:jc w:val="center"/>
              <w:rPr>
                <w:rFonts w:cs="Times New Roman"/>
              </w:rPr>
            </w:pPr>
          </w:p>
        </w:tc>
      </w:tr>
      <w:tr w:rsidR="00C6062B" w:rsidRPr="00BD5779" w14:paraId="4840B32A" w14:textId="77777777" w:rsidTr="00C6062B">
        <w:trPr>
          <w:trHeight w:val="191"/>
        </w:trPr>
        <w:tc>
          <w:tcPr>
            <w:tcW w:w="2002" w:type="dxa"/>
          </w:tcPr>
          <w:p w14:paraId="35506C3A" w14:textId="77777777" w:rsidR="00C6062B" w:rsidRPr="00BD5779" w:rsidRDefault="00C6062B" w:rsidP="00FF44BB">
            <w:pPr>
              <w:jc w:val="center"/>
              <w:rPr>
                <w:rFonts w:cs="Times New Roman"/>
              </w:rPr>
            </w:pPr>
            <w:r w:rsidRPr="00BD5779">
              <w:rPr>
                <w:rFonts w:cs="Times New Roman"/>
              </w:rPr>
              <w:t>Melanoma</w:t>
            </w:r>
          </w:p>
        </w:tc>
        <w:tc>
          <w:tcPr>
            <w:tcW w:w="1964" w:type="dxa"/>
          </w:tcPr>
          <w:p w14:paraId="6954BFDD" w14:textId="77777777" w:rsidR="00C6062B" w:rsidRPr="00BD5779" w:rsidRDefault="00C6062B" w:rsidP="00FF44BB">
            <w:pPr>
              <w:jc w:val="center"/>
              <w:rPr>
                <w:rFonts w:cs="Times New Roman"/>
              </w:rPr>
            </w:pPr>
            <w:r w:rsidRPr="00BD5779">
              <w:rPr>
                <w:rFonts w:cs="Times New Roman"/>
              </w:rPr>
              <w:t>87.2%</w:t>
            </w:r>
          </w:p>
        </w:tc>
        <w:tc>
          <w:tcPr>
            <w:tcW w:w="1943" w:type="dxa"/>
          </w:tcPr>
          <w:p w14:paraId="73517678" w14:textId="77777777" w:rsidR="00C6062B" w:rsidRPr="00BD5779" w:rsidRDefault="00C6062B" w:rsidP="00FF44BB">
            <w:pPr>
              <w:jc w:val="center"/>
              <w:rPr>
                <w:rFonts w:cs="Times New Roman"/>
              </w:rPr>
            </w:pPr>
          </w:p>
        </w:tc>
        <w:tc>
          <w:tcPr>
            <w:tcW w:w="1647" w:type="dxa"/>
          </w:tcPr>
          <w:p w14:paraId="1606EB0F" w14:textId="77777777" w:rsidR="00C6062B" w:rsidRPr="00BD5779" w:rsidRDefault="00C6062B" w:rsidP="00FF44BB">
            <w:pPr>
              <w:jc w:val="center"/>
              <w:rPr>
                <w:rFonts w:cs="Times New Roman"/>
              </w:rPr>
            </w:pPr>
          </w:p>
        </w:tc>
        <w:tc>
          <w:tcPr>
            <w:tcW w:w="1794" w:type="dxa"/>
          </w:tcPr>
          <w:p w14:paraId="173ADD19" w14:textId="02BC8A01" w:rsidR="00C6062B" w:rsidRPr="00BD5779" w:rsidRDefault="00C6062B" w:rsidP="00FF44BB">
            <w:pPr>
              <w:jc w:val="center"/>
              <w:rPr>
                <w:rFonts w:cs="Times New Roman"/>
              </w:rPr>
            </w:pPr>
          </w:p>
        </w:tc>
      </w:tr>
    </w:tbl>
    <w:p w14:paraId="75263D1A" w14:textId="77777777" w:rsidR="007A5CBD" w:rsidRDefault="007A5CBD" w:rsidP="007A5CBD">
      <w:pPr>
        <w:shd w:val="clear" w:color="auto" w:fill="FFFFFF" w:themeFill="background1"/>
        <w:spacing w:after="0" w:line="360" w:lineRule="auto"/>
        <w:ind w:firstLine="720"/>
        <w:rPr>
          <w:rFonts w:cs="Times New Roman"/>
        </w:rPr>
      </w:pPr>
      <w:commentRangeStart w:id="9"/>
      <w:r>
        <w:rPr>
          <w:rFonts w:cs="Times New Roman"/>
        </w:rPr>
        <w:t xml:space="preserve">New Paragraph </w:t>
      </w:r>
      <w:r w:rsidRPr="00ED046C">
        <w:rPr>
          <w:rFonts w:cs="Times New Roman"/>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w:t>
      </w:r>
      <w:r w:rsidRPr="00ED046C">
        <w:rPr>
          <w:rFonts w:cs="Times New Roman"/>
        </w:rPr>
        <w:lastRenderedPageBreak/>
        <w:t>esse cillum dolore eu fugiat nulla pariatur. Excepteur sint occaecat cupidatat non proident, sunt in culpa qui officia deserunt mollit anim id est laborum</w:t>
      </w:r>
      <w:commentRangeEnd w:id="9"/>
      <w:r>
        <w:rPr>
          <w:rStyle w:val="CommentReference"/>
        </w:rPr>
        <w:commentReference w:id="9"/>
      </w:r>
    </w:p>
    <w:p w14:paraId="57030F65" w14:textId="7DB0DD42" w:rsidR="007A5CBD" w:rsidRPr="00F80625" w:rsidRDefault="007A5CBD" w:rsidP="007A5CBD"/>
    <w:p w14:paraId="2B7286C3" w14:textId="77777777" w:rsidR="007A5CBD" w:rsidRPr="00F80625" w:rsidRDefault="007A5CBD" w:rsidP="007A5CBD"/>
    <w:p w14:paraId="63A89DFC" w14:textId="77777777" w:rsidR="007A5CBD" w:rsidRDefault="007A5CBD" w:rsidP="007A5CBD">
      <w:pPr>
        <w:spacing w:after="0" w:line="360" w:lineRule="auto"/>
        <w:rPr>
          <w:rFonts w:cs="Times New Roman"/>
        </w:rPr>
      </w:pPr>
      <w:r w:rsidRPr="00BD5779">
        <w:rPr>
          <w:rFonts w:cs="Times New Roman"/>
        </w:rPr>
        <w:tab/>
        <w:t xml:space="preserve">Having </w:t>
      </w:r>
      <w:r>
        <w:rPr>
          <w:rFonts w:cs="Times New Roman"/>
        </w:rPr>
        <w:t>validated</w:t>
      </w:r>
      <w:r w:rsidRPr="00BD5779">
        <w:rPr>
          <w:rFonts w:cs="Times New Roman"/>
        </w:rPr>
        <w:t xml:space="preserve"> our driver gene classifier with the synthetic dataset, we applied it to four cancer types in the TCGA dataset: colorectal cancer, pancreatic cancer, breast cancer, and melanoma. This approach identified 118, 531,1673, and 1660 driver genes in each respective cancer type, including most well-known mutations (e.g. oncogenes like BRAF, tumor suppressors like TP53). </w:t>
      </w:r>
    </w:p>
    <w:p w14:paraId="56C1C0C2" w14:textId="77777777" w:rsidR="007A5CBD" w:rsidRDefault="007A5CBD" w:rsidP="007A5CBD">
      <w:pPr>
        <w:spacing w:after="0" w:line="360" w:lineRule="auto"/>
        <w:rPr>
          <w:rFonts w:cs="Times New Roman"/>
        </w:rPr>
      </w:pPr>
    </w:p>
    <w:p w14:paraId="620CC81D" w14:textId="77777777" w:rsidR="007A5CBD" w:rsidRPr="00BD5779" w:rsidRDefault="007A5CBD" w:rsidP="007A5CBD">
      <w:pPr>
        <w:pStyle w:val="Heading3"/>
      </w:pPr>
      <w:bookmarkStart w:id="10" w:name="_Toc20248591"/>
      <w:r>
        <w:t>b. Cross-reference with CGC and NCBI</w:t>
      </w:r>
      <w:bookmarkEnd w:id="10"/>
    </w:p>
    <w:p w14:paraId="1F65E11F" w14:textId="77777777" w:rsidR="007A5CBD" w:rsidRPr="00BD5779" w:rsidRDefault="007A5CBD" w:rsidP="007A5CBD">
      <w:pPr>
        <w:spacing w:after="0" w:line="360" w:lineRule="auto"/>
        <w:rPr>
          <w:rFonts w:cs="Times New Roman"/>
        </w:rPr>
      </w:pPr>
      <w:r w:rsidRPr="00BD5779">
        <w:rPr>
          <w:rFonts w:cs="Times New Roman"/>
        </w:rPr>
        <w:tab/>
        <w:t xml:space="preserve">We found that our classifier identifies key driver genes included in the cancer census gene (CGC) list, which was downloaded from COSMIC as a reference list for generally accepted cancer genes. The number of oncogenes, tumor suppressor genes, and driver genes (without regards to type) that are reported as driver genes by both CGC and our classifier are reported in Table 2. </w:t>
      </w:r>
    </w:p>
    <w:p w14:paraId="227A1AE9" w14:textId="77777777" w:rsidR="007A5CBD" w:rsidRPr="00810FB3" w:rsidRDefault="007A5CBD" w:rsidP="007A5CBD">
      <w:pPr>
        <w:spacing w:after="0" w:line="360" w:lineRule="auto"/>
        <w:rPr>
          <w:rFonts w:cs="Times New Roman"/>
        </w:rPr>
      </w:pPr>
      <w:r w:rsidRPr="00BD5779">
        <w:rPr>
          <w:rFonts w:cs="Times New Roman"/>
        </w:rPr>
        <w:tab/>
        <w:t>To initialize our analysis of the top genes predicted by our classifier, we ranked the putative driver genes according to their driver scores. Driver scores were calculated as the combined probability of the gene being either a driver oncogene or tumor suppressor gene; this is the equivalent of the fraction of observations of the OG and TSG classes in the nodes of the random forest ensemble. After the putative drivers were ranked, a clear CGC gene enrichment was found for the top ranked genes for the four types analyzed (Table 2). On average, 62.5%, 29.1% and 23.0% of the top 10, 30 and 50 selected genes were CGC documented driver genes. The first column of Table 3 reports the names of the top fifteen putative driver genes that are also reported CGC driver genes; the second column reports the number of publication hits in NCBI which are found to be relevant to a query cancer type plus a query gene. The top CGC-validated putative genes are apparently more likely genes that have well-documented relevance to the cancer type.</w:t>
      </w:r>
    </w:p>
    <w:tbl>
      <w:tblPr>
        <w:tblStyle w:val="TableGrid"/>
        <w:tblW w:w="8264" w:type="dxa"/>
        <w:tblLook w:val="04A0" w:firstRow="1" w:lastRow="0" w:firstColumn="1" w:lastColumn="0" w:noHBand="0" w:noVBand="1"/>
      </w:tblPr>
      <w:tblGrid>
        <w:gridCol w:w="1269"/>
        <w:gridCol w:w="1258"/>
        <w:gridCol w:w="1197"/>
        <w:gridCol w:w="1198"/>
        <w:gridCol w:w="1114"/>
        <w:gridCol w:w="1114"/>
        <w:gridCol w:w="1114"/>
      </w:tblGrid>
      <w:tr w:rsidR="007A5CBD" w:rsidRPr="00BD5779" w14:paraId="102F423B" w14:textId="77777777" w:rsidTr="00FF44BB">
        <w:trPr>
          <w:trHeight w:val="601"/>
        </w:trPr>
        <w:tc>
          <w:tcPr>
            <w:tcW w:w="1269" w:type="dxa"/>
          </w:tcPr>
          <w:p w14:paraId="41671C69" w14:textId="77777777" w:rsidR="007A5CBD" w:rsidRPr="00BD5779" w:rsidRDefault="007A5CBD" w:rsidP="00FF44BB">
            <w:pPr>
              <w:jc w:val="center"/>
              <w:rPr>
                <w:rFonts w:cs="Times New Roman"/>
              </w:rPr>
            </w:pPr>
            <w:r w:rsidRPr="00BD5779">
              <w:rPr>
                <w:rFonts w:cs="Times New Roman"/>
              </w:rPr>
              <w:t>Cancer Name</w:t>
            </w:r>
          </w:p>
        </w:tc>
        <w:tc>
          <w:tcPr>
            <w:tcW w:w="1258" w:type="dxa"/>
          </w:tcPr>
          <w:p w14:paraId="2BB9B1BA" w14:textId="77777777" w:rsidR="007A5CBD" w:rsidRPr="00BD5779" w:rsidRDefault="007A5CBD" w:rsidP="00FF44BB">
            <w:pPr>
              <w:jc w:val="center"/>
              <w:rPr>
                <w:rFonts w:cs="Times New Roman"/>
              </w:rPr>
            </w:pPr>
            <w:r w:rsidRPr="00BD5779">
              <w:rPr>
                <w:rFonts w:cs="Times New Roman"/>
              </w:rPr>
              <w:t xml:space="preserve"># OG </w:t>
            </w:r>
            <w:commentRangeStart w:id="11"/>
            <w:r w:rsidRPr="00BD5779">
              <w:rPr>
                <w:rFonts w:cs="Times New Roman"/>
              </w:rPr>
              <w:t>overlap</w:t>
            </w:r>
            <w:commentRangeEnd w:id="11"/>
            <w:r>
              <w:rPr>
                <w:rStyle w:val="CommentReference"/>
              </w:rPr>
              <w:commentReference w:id="11"/>
            </w:r>
          </w:p>
        </w:tc>
        <w:tc>
          <w:tcPr>
            <w:tcW w:w="1197" w:type="dxa"/>
          </w:tcPr>
          <w:p w14:paraId="0DE3EE49" w14:textId="77777777" w:rsidR="007A5CBD" w:rsidRPr="00BD5779" w:rsidRDefault="007A5CBD" w:rsidP="00FF44BB">
            <w:pPr>
              <w:jc w:val="center"/>
              <w:rPr>
                <w:rFonts w:cs="Times New Roman"/>
              </w:rPr>
            </w:pPr>
            <w:r w:rsidRPr="00BD5779">
              <w:rPr>
                <w:rFonts w:cs="Times New Roman"/>
              </w:rPr>
              <w:t># TSG overlap</w:t>
            </w:r>
          </w:p>
        </w:tc>
        <w:tc>
          <w:tcPr>
            <w:tcW w:w="1198" w:type="dxa"/>
          </w:tcPr>
          <w:p w14:paraId="7C392575" w14:textId="77777777" w:rsidR="007A5CBD" w:rsidRPr="00BD5779" w:rsidRDefault="007A5CBD" w:rsidP="00FF44BB">
            <w:pPr>
              <w:jc w:val="center"/>
              <w:rPr>
                <w:rFonts w:cs="Times New Roman"/>
              </w:rPr>
            </w:pPr>
            <w:r w:rsidRPr="00BD5779">
              <w:rPr>
                <w:rFonts w:cs="Times New Roman"/>
              </w:rPr>
              <w:t># drivers overlap</w:t>
            </w:r>
          </w:p>
        </w:tc>
        <w:tc>
          <w:tcPr>
            <w:tcW w:w="1114" w:type="dxa"/>
          </w:tcPr>
          <w:p w14:paraId="375EE986" w14:textId="77777777" w:rsidR="007A5CBD" w:rsidRPr="00BD5779" w:rsidRDefault="007A5CBD" w:rsidP="00FF44BB">
            <w:pPr>
              <w:jc w:val="center"/>
              <w:rPr>
                <w:rFonts w:cs="Times New Roman"/>
              </w:rPr>
            </w:pPr>
            <w:commentRangeStart w:id="12"/>
            <w:r w:rsidRPr="00BD5779">
              <w:rPr>
                <w:rFonts w:cs="Times New Roman"/>
              </w:rPr>
              <w:t>Recall: top 10</w:t>
            </w:r>
          </w:p>
        </w:tc>
        <w:tc>
          <w:tcPr>
            <w:tcW w:w="1114" w:type="dxa"/>
          </w:tcPr>
          <w:p w14:paraId="4F31826F" w14:textId="77777777" w:rsidR="007A5CBD" w:rsidRPr="00BD5779" w:rsidRDefault="007A5CBD" w:rsidP="00FF44BB">
            <w:pPr>
              <w:jc w:val="center"/>
              <w:rPr>
                <w:rFonts w:cs="Times New Roman"/>
              </w:rPr>
            </w:pPr>
            <w:r w:rsidRPr="00BD5779">
              <w:rPr>
                <w:rFonts w:cs="Times New Roman"/>
              </w:rPr>
              <w:t>Recall: top 30</w:t>
            </w:r>
          </w:p>
        </w:tc>
        <w:tc>
          <w:tcPr>
            <w:tcW w:w="1114" w:type="dxa"/>
          </w:tcPr>
          <w:p w14:paraId="3965C47A" w14:textId="77777777" w:rsidR="007A5CBD" w:rsidRPr="00BD5779" w:rsidRDefault="007A5CBD" w:rsidP="00FF44BB">
            <w:pPr>
              <w:jc w:val="center"/>
              <w:rPr>
                <w:rFonts w:cs="Times New Roman"/>
              </w:rPr>
            </w:pPr>
            <w:r w:rsidRPr="00BD5779">
              <w:rPr>
                <w:rFonts w:cs="Times New Roman"/>
              </w:rPr>
              <w:t>Recall: top 50</w:t>
            </w:r>
            <w:commentRangeEnd w:id="12"/>
            <w:r>
              <w:rPr>
                <w:rStyle w:val="CommentReference"/>
              </w:rPr>
              <w:commentReference w:id="12"/>
            </w:r>
          </w:p>
        </w:tc>
      </w:tr>
      <w:tr w:rsidR="007A5CBD" w:rsidRPr="00BD5779" w14:paraId="6AD791E1" w14:textId="77777777" w:rsidTr="00FF44BB">
        <w:trPr>
          <w:trHeight w:val="191"/>
        </w:trPr>
        <w:tc>
          <w:tcPr>
            <w:tcW w:w="1269" w:type="dxa"/>
          </w:tcPr>
          <w:p w14:paraId="000C96F9" w14:textId="77777777" w:rsidR="007A5CBD" w:rsidRPr="00BD5779" w:rsidRDefault="007A5CBD" w:rsidP="00FF44BB">
            <w:pPr>
              <w:spacing w:line="360" w:lineRule="auto"/>
              <w:jc w:val="center"/>
              <w:rPr>
                <w:rFonts w:cs="Times New Roman"/>
                <w:highlight w:val="yellow"/>
              </w:rPr>
            </w:pPr>
            <w:r w:rsidRPr="00BD5779">
              <w:rPr>
                <w:rFonts w:cs="Times New Roman"/>
              </w:rPr>
              <w:t>Colorectal</w:t>
            </w:r>
          </w:p>
        </w:tc>
        <w:tc>
          <w:tcPr>
            <w:tcW w:w="1258" w:type="dxa"/>
          </w:tcPr>
          <w:p w14:paraId="7E087125" w14:textId="77777777" w:rsidR="007A5CBD" w:rsidRPr="00BD5779" w:rsidRDefault="007A5CBD" w:rsidP="00FF44BB">
            <w:pPr>
              <w:spacing w:line="360" w:lineRule="auto"/>
              <w:jc w:val="center"/>
              <w:rPr>
                <w:rFonts w:cs="Times New Roman"/>
              </w:rPr>
            </w:pPr>
            <w:r w:rsidRPr="00BD5779">
              <w:rPr>
                <w:rFonts w:cs="Times New Roman"/>
              </w:rPr>
              <w:t>26</w:t>
            </w:r>
          </w:p>
        </w:tc>
        <w:tc>
          <w:tcPr>
            <w:tcW w:w="1197" w:type="dxa"/>
          </w:tcPr>
          <w:p w14:paraId="24E99C78" w14:textId="77777777" w:rsidR="007A5CBD" w:rsidRPr="00BD5779" w:rsidRDefault="007A5CBD" w:rsidP="00FF44BB">
            <w:pPr>
              <w:jc w:val="center"/>
              <w:rPr>
                <w:rFonts w:cs="Times New Roman"/>
              </w:rPr>
            </w:pPr>
            <w:r w:rsidRPr="00BD5779">
              <w:rPr>
                <w:rFonts w:cs="Times New Roman"/>
              </w:rPr>
              <w:t>12</w:t>
            </w:r>
          </w:p>
        </w:tc>
        <w:tc>
          <w:tcPr>
            <w:tcW w:w="1198" w:type="dxa"/>
          </w:tcPr>
          <w:p w14:paraId="31246ACE" w14:textId="77777777" w:rsidR="007A5CBD" w:rsidRPr="00BD5779" w:rsidRDefault="007A5CBD" w:rsidP="00FF44BB">
            <w:pPr>
              <w:jc w:val="center"/>
              <w:rPr>
                <w:rFonts w:cs="Times New Roman"/>
              </w:rPr>
            </w:pPr>
            <w:r w:rsidRPr="00BD5779">
              <w:rPr>
                <w:rFonts w:cs="Times New Roman"/>
              </w:rPr>
              <w:t>66</w:t>
            </w:r>
          </w:p>
        </w:tc>
        <w:tc>
          <w:tcPr>
            <w:tcW w:w="1114" w:type="dxa"/>
          </w:tcPr>
          <w:p w14:paraId="5D22380D" w14:textId="77777777" w:rsidR="007A5CBD" w:rsidRPr="00BD5779" w:rsidRDefault="007A5CBD" w:rsidP="00FF44BB">
            <w:pPr>
              <w:jc w:val="center"/>
              <w:rPr>
                <w:rFonts w:cs="Times New Roman"/>
              </w:rPr>
            </w:pPr>
            <w:r w:rsidRPr="00BD5779">
              <w:rPr>
                <w:rFonts w:cs="Times New Roman"/>
              </w:rPr>
              <w:t>70.0%</w:t>
            </w:r>
          </w:p>
        </w:tc>
        <w:tc>
          <w:tcPr>
            <w:tcW w:w="1114" w:type="dxa"/>
          </w:tcPr>
          <w:p w14:paraId="04CD350D" w14:textId="77777777" w:rsidR="007A5CBD" w:rsidRPr="00BD5779" w:rsidRDefault="007A5CBD" w:rsidP="00FF44BB">
            <w:pPr>
              <w:jc w:val="center"/>
              <w:rPr>
                <w:rFonts w:cs="Times New Roman"/>
              </w:rPr>
            </w:pPr>
            <w:r w:rsidRPr="00BD5779">
              <w:rPr>
                <w:rFonts w:cs="Times New Roman"/>
              </w:rPr>
              <w:t>33.3%</w:t>
            </w:r>
          </w:p>
        </w:tc>
        <w:tc>
          <w:tcPr>
            <w:tcW w:w="1114" w:type="dxa"/>
          </w:tcPr>
          <w:p w14:paraId="4F78DD88" w14:textId="77777777" w:rsidR="007A5CBD" w:rsidRPr="00BD5779" w:rsidRDefault="007A5CBD" w:rsidP="00FF44BB">
            <w:pPr>
              <w:jc w:val="center"/>
              <w:rPr>
                <w:rFonts w:cs="Times New Roman"/>
              </w:rPr>
            </w:pPr>
            <w:r w:rsidRPr="00BD5779">
              <w:rPr>
                <w:rFonts w:cs="Times New Roman"/>
              </w:rPr>
              <w:t>24.0%</w:t>
            </w:r>
          </w:p>
        </w:tc>
      </w:tr>
      <w:tr w:rsidR="007A5CBD" w:rsidRPr="00BD5779" w14:paraId="2C82BA28" w14:textId="77777777" w:rsidTr="00FF44BB">
        <w:trPr>
          <w:trHeight w:val="204"/>
        </w:trPr>
        <w:tc>
          <w:tcPr>
            <w:tcW w:w="1269" w:type="dxa"/>
          </w:tcPr>
          <w:p w14:paraId="6B045F05" w14:textId="77777777" w:rsidR="007A5CBD" w:rsidRPr="00BD5779" w:rsidRDefault="007A5CBD" w:rsidP="00FF44BB">
            <w:pPr>
              <w:spacing w:line="360" w:lineRule="auto"/>
              <w:jc w:val="center"/>
              <w:rPr>
                <w:rFonts w:cs="Times New Roman"/>
                <w:highlight w:val="yellow"/>
              </w:rPr>
            </w:pPr>
            <w:r w:rsidRPr="00BD5779">
              <w:rPr>
                <w:rFonts w:cs="Times New Roman"/>
              </w:rPr>
              <w:t>Pancreatic</w:t>
            </w:r>
          </w:p>
        </w:tc>
        <w:tc>
          <w:tcPr>
            <w:tcW w:w="1258" w:type="dxa"/>
          </w:tcPr>
          <w:p w14:paraId="21BE2D71" w14:textId="77777777" w:rsidR="007A5CBD" w:rsidRPr="00BD5779" w:rsidRDefault="007A5CBD" w:rsidP="00FF44BB">
            <w:pPr>
              <w:spacing w:line="360" w:lineRule="auto"/>
              <w:jc w:val="center"/>
              <w:rPr>
                <w:rFonts w:cs="Times New Roman"/>
              </w:rPr>
            </w:pPr>
            <w:r w:rsidRPr="00BD5779">
              <w:rPr>
                <w:rFonts w:cs="Times New Roman"/>
              </w:rPr>
              <w:t>17</w:t>
            </w:r>
          </w:p>
        </w:tc>
        <w:tc>
          <w:tcPr>
            <w:tcW w:w="1197" w:type="dxa"/>
          </w:tcPr>
          <w:p w14:paraId="17E20DD0" w14:textId="77777777" w:rsidR="007A5CBD" w:rsidRPr="00BD5779" w:rsidRDefault="007A5CBD" w:rsidP="00FF44BB">
            <w:pPr>
              <w:jc w:val="center"/>
              <w:rPr>
                <w:rFonts w:cs="Times New Roman"/>
              </w:rPr>
            </w:pPr>
            <w:r w:rsidRPr="00BD5779">
              <w:rPr>
                <w:rFonts w:cs="Times New Roman"/>
              </w:rPr>
              <w:t>12</w:t>
            </w:r>
          </w:p>
        </w:tc>
        <w:tc>
          <w:tcPr>
            <w:tcW w:w="1198" w:type="dxa"/>
          </w:tcPr>
          <w:p w14:paraId="56389C29" w14:textId="77777777" w:rsidR="007A5CBD" w:rsidRPr="00BD5779" w:rsidRDefault="007A5CBD" w:rsidP="00FF44BB">
            <w:pPr>
              <w:jc w:val="center"/>
              <w:rPr>
                <w:rFonts w:cs="Times New Roman"/>
              </w:rPr>
            </w:pPr>
            <w:r w:rsidRPr="00BD5779">
              <w:rPr>
                <w:rFonts w:cs="Times New Roman"/>
              </w:rPr>
              <w:t>51</w:t>
            </w:r>
          </w:p>
        </w:tc>
        <w:tc>
          <w:tcPr>
            <w:tcW w:w="1114" w:type="dxa"/>
          </w:tcPr>
          <w:p w14:paraId="54CBA231" w14:textId="77777777" w:rsidR="007A5CBD" w:rsidRPr="00BD5779" w:rsidRDefault="007A5CBD" w:rsidP="00FF44BB">
            <w:pPr>
              <w:jc w:val="center"/>
              <w:rPr>
                <w:rFonts w:cs="Times New Roman"/>
              </w:rPr>
            </w:pPr>
            <w:r w:rsidRPr="00BD5779">
              <w:rPr>
                <w:rFonts w:cs="Times New Roman"/>
              </w:rPr>
              <w:t>50.0%</w:t>
            </w:r>
          </w:p>
        </w:tc>
        <w:tc>
          <w:tcPr>
            <w:tcW w:w="1114" w:type="dxa"/>
          </w:tcPr>
          <w:p w14:paraId="231A0EB7" w14:textId="77777777" w:rsidR="007A5CBD" w:rsidRPr="00BD5779" w:rsidRDefault="007A5CBD" w:rsidP="00FF44BB">
            <w:pPr>
              <w:jc w:val="center"/>
              <w:rPr>
                <w:rFonts w:cs="Times New Roman"/>
              </w:rPr>
            </w:pPr>
            <w:r w:rsidRPr="00BD5779">
              <w:rPr>
                <w:rFonts w:cs="Times New Roman"/>
              </w:rPr>
              <w:t>20.0%</w:t>
            </w:r>
          </w:p>
        </w:tc>
        <w:tc>
          <w:tcPr>
            <w:tcW w:w="1114" w:type="dxa"/>
          </w:tcPr>
          <w:p w14:paraId="39B33EF3" w14:textId="77777777" w:rsidR="007A5CBD" w:rsidRPr="00BD5779" w:rsidRDefault="007A5CBD" w:rsidP="00FF44BB">
            <w:pPr>
              <w:jc w:val="center"/>
              <w:rPr>
                <w:rFonts w:cs="Times New Roman"/>
              </w:rPr>
            </w:pPr>
            <w:r w:rsidRPr="00BD5779">
              <w:rPr>
                <w:rFonts w:cs="Times New Roman"/>
              </w:rPr>
              <w:t>18.0%</w:t>
            </w:r>
          </w:p>
        </w:tc>
      </w:tr>
      <w:tr w:rsidR="007A5CBD" w:rsidRPr="00BD5779" w14:paraId="6E98D5B8" w14:textId="77777777" w:rsidTr="00FF44BB">
        <w:trPr>
          <w:trHeight w:val="191"/>
        </w:trPr>
        <w:tc>
          <w:tcPr>
            <w:tcW w:w="1269" w:type="dxa"/>
          </w:tcPr>
          <w:p w14:paraId="2E2C6E1E" w14:textId="77777777" w:rsidR="007A5CBD" w:rsidRPr="00BD5779" w:rsidRDefault="007A5CBD" w:rsidP="00FF44BB">
            <w:pPr>
              <w:spacing w:line="360" w:lineRule="auto"/>
              <w:jc w:val="center"/>
              <w:rPr>
                <w:rFonts w:cs="Times New Roman"/>
                <w:highlight w:val="yellow"/>
              </w:rPr>
            </w:pPr>
            <w:r w:rsidRPr="00BD5779">
              <w:rPr>
                <w:rFonts w:cs="Times New Roman"/>
              </w:rPr>
              <w:t>Breast</w:t>
            </w:r>
          </w:p>
        </w:tc>
        <w:tc>
          <w:tcPr>
            <w:tcW w:w="1258" w:type="dxa"/>
          </w:tcPr>
          <w:p w14:paraId="798949B7" w14:textId="77777777" w:rsidR="007A5CBD" w:rsidRPr="00BD5779" w:rsidRDefault="007A5CBD" w:rsidP="00FF44BB">
            <w:pPr>
              <w:spacing w:line="360" w:lineRule="auto"/>
              <w:jc w:val="center"/>
              <w:rPr>
                <w:rFonts w:cs="Times New Roman"/>
              </w:rPr>
            </w:pPr>
            <w:r w:rsidRPr="00BD5779">
              <w:rPr>
                <w:rFonts w:cs="Times New Roman"/>
              </w:rPr>
              <w:t>32</w:t>
            </w:r>
          </w:p>
        </w:tc>
        <w:tc>
          <w:tcPr>
            <w:tcW w:w="1197" w:type="dxa"/>
          </w:tcPr>
          <w:p w14:paraId="22DDE300" w14:textId="77777777" w:rsidR="007A5CBD" w:rsidRPr="00BD5779" w:rsidRDefault="007A5CBD" w:rsidP="00FF44BB">
            <w:pPr>
              <w:jc w:val="center"/>
              <w:rPr>
                <w:rFonts w:cs="Times New Roman"/>
              </w:rPr>
            </w:pPr>
            <w:r w:rsidRPr="00BD5779">
              <w:rPr>
                <w:rFonts w:cs="Times New Roman"/>
              </w:rPr>
              <w:t>12</w:t>
            </w:r>
          </w:p>
        </w:tc>
        <w:tc>
          <w:tcPr>
            <w:tcW w:w="1198" w:type="dxa"/>
          </w:tcPr>
          <w:p w14:paraId="355A31AB" w14:textId="77777777" w:rsidR="007A5CBD" w:rsidRPr="00BD5779" w:rsidRDefault="007A5CBD" w:rsidP="00FF44BB">
            <w:pPr>
              <w:jc w:val="center"/>
              <w:rPr>
                <w:rFonts w:cs="Times New Roman"/>
              </w:rPr>
            </w:pPr>
            <w:r w:rsidRPr="00BD5779">
              <w:rPr>
                <w:rFonts w:cs="Times New Roman"/>
              </w:rPr>
              <w:t>75</w:t>
            </w:r>
          </w:p>
        </w:tc>
        <w:tc>
          <w:tcPr>
            <w:tcW w:w="1114" w:type="dxa"/>
          </w:tcPr>
          <w:p w14:paraId="60304F93" w14:textId="77777777" w:rsidR="007A5CBD" w:rsidRPr="00BD5779" w:rsidRDefault="007A5CBD" w:rsidP="00FF44BB">
            <w:pPr>
              <w:jc w:val="center"/>
              <w:rPr>
                <w:rFonts w:cs="Times New Roman"/>
              </w:rPr>
            </w:pPr>
            <w:r w:rsidRPr="00BD5779">
              <w:rPr>
                <w:rFonts w:cs="Times New Roman"/>
              </w:rPr>
              <w:t>70.0%</w:t>
            </w:r>
          </w:p>
        </w:tc>
        <w:tc>
          <w:tcPr>
            <w:tcW w:w="1114" w:type="dxa"/>
          </w:tcPr>
          <w:p w14:paraId="3869AE2B" w14:textId="77777777" w:rsidR="007A5CBD" w:rsidRPr="00BD5779" w:rsidRDefault="007A5CBD" w:rsidP="00FF44BB">
            <w:pPr>
              <w:jc w:val="center"/>
              <w:rPr>
                <w:rFonts w:cs="Times New Roman"/>
              </w:rPr>
            </w:pPr>
            <w:r w:rsidRPr="00BD5779">
              <w:rPr>
                <w:rFonts w:cs="Times New Roman"/>
              </w:rPr>
              <w:t>33.3%</w:t>
            </w:r>
          </w:p>
        </w:tc>
        <w:tc>
          <w:tcPr>
            <w:tcW w:w="1114" w:type="dxa"/>
          </w:tcPr>
          <w:p w14:paraId="494B7373" w14:textId="77777777" w:rsidR="007A5CBD" w:rsidRPr="00BD5779" w:rsidRDefault="007A5CBD" w:rsidP="00FF44BB">
            <w:pPr>
              <w:jc w:val="center"/>
              <w:rPr>
                <w:rFonts w:cs="Times New Roman"/>
              </w:rPr>
            </w:pPr>
            <w:r w:rsidRPr="00BD5779">
              <w:rPr>
                <w:rFonts w:cs="Times New Roman"/>
              </w:rPr>
              <w:t>26.0%</w:t>
            </w:r>
          </w:p>
        </w:tc>
      </w:tr>
      <w:tr w:rsidR="007A5CBD" w:rsidRPr="00BD5779" w14:paraId="4F06A203" w14:textId="77777777" w:rsidTr="00FF44BB">
        <w:trPr>
          <w:trHeight w:val="191"/>
        </w:trPr>
        <w:tc>
          <w:tcPr>
            <w:tcW w:w="1269" w:type="dxa"/>
          </w:tcPr>
          <w:p w14:paraId="784BF6F7" w14:textId="77777777" w:rsidR="007A5CBD" w:rsidRPr="00BD5779" w:rsidRDefault="007A5CBD" w:rsidP="00FF44BB">
            <w:pPr>
              <w:spacing w:line="360" w:lineRule="auto"/>
              <w:jc w:val="center"/>
              <w:rPr>
                <w:rFonts w:cs="Times New Roman"/>
                <w:highlight w:val="yellow"/>
              </w:rPr>
            </w:pPr>
            <w:r w:rsidRPr="00BD5779">
              <w:rPr>
                <w:rFonts w:cs="Times New Roman"/>
              </w:rPr>
              <w:t>Melanoma</w:t>
            </w:r>
          </w:p>
        </w:tc>
        <w:tc>
          <w:tcPr>
            <w:tcW w:w="1258" w:type="dxa"/>
          </w:tcPr>
          <w:p w14:paraId="154E5D24" w14:textId="77777777" w:rsidR="007A5CBD" w:rsidRPr="00BD5779" w:rsidRDefault="007A5CBD" w:rsidP="00FF44BB">
            <w:pPr>
              <w:spacing w:line="360" w:lineRule="auto"/>
              <w:jc w:val="center"/>
              <w:rPr>
                <w:rFonts w:cs="Times New Roman"/>
              </w:rPr>
            </w:pPr>
            <w:r w:rsidRPr="00BD5779">
              <w:rPr>
                <w:rFonts w:cs="Times New Roman"/>
              </w:rPr>
              <w:t>35</w:t>
            </w:r>
          </w:p>
        </w:tc>
        <w:tc>
          <w:tcPr>
            <w:tcW w:w="1197" w:type="dxa"/>
          </w:tcPr>
          <w:p w14:paraId="7A57E7D8" w14:textId="77777777" w:rsidR="007A5CBD" w:rsidRPr="00BD5779" w:rsidRDefault="007A5CBD" w:rsidP="00FF44BB">
            <w:pPr>
              <w:jc w:val="center"/>
              <w:rPr>
                <w:rFonts w:cs="Times New Roman"/>
              </w:rPr>
            </w:pPr>
            <w:r w:rsidRPr="00BD5779">
              <w:rPr>
                <w:rFonts w:cs="Times New Roman"/>
              </w:rPr>
              <w:t>13</w:t>
            </w:r>
          </w:p>
        </w:tc>
        <w:tc>
          <w:tcPr>
            <w:tcW w:w="1198" w:type="dxa"/>
          </w:tcPr>
          <w:p w14:paraId="19664B66" w14:textId="77777777" w:rsidR="007A5CBD" w:rsidRPr="00BD5779" w:rsidRDefault="007A5CBD" w:rsidP="00FF44BB">
            <w:pPr>
              <w:jc w:val="center"/>
              <w:rPr>
                <w:rFonts w:cs="Times New Roman"/>
              </w:rPr>
            </w:pPr>
            <w:r w:rsidRPr="00BD5779">
              <w:rPr>
                <w:rFonts w:cs="Times New Roman"/>
              </w:rPr>
              <w:t>80</w:t>
            </w:r>
          </w:p>
        </w:tc>
        <w:tc>
          <w:tcPr>
            <w:tcW w:w="1114" w:type="dxa"/>
          </w:tcPr>
          <w:p w14:paraId="04673A56" w14:textId="77777777" w:rsidR="007A5CBD" w:rsidRPr="00BD5779" w:rsidRDefault="007A5CBD" w:rsidP="00FF44BB">
            <w:pPr>
              <w:jc w:val="center"/>
              <w:rPr>
                <w:rFonts w:cs="Times New Roman"/>
              </w:rPr>
            </w:pPr>
            <w:r w:rsidRPr="00BD5779">
              <w:rPr>
                <w:rFonts w:cs="Times New Roman"/>
              </w:rPr>
              <w:t>60.0%</w:t>
            </w:r>
          </w:p>
        </w:tc>
        <w:tc>
          <w:tcPr>
            <w:tcW w:w="1114" w:type="dxa"/>
          </w:tcPr>
          <w:p w14:paraId="0735A427" w14:textId="77777777" w:rsidR="007A5CBD" w:rsidRPr="00BD5779" w:rsidRDefault="007A5CBD" w:rsidP="00FF44BB">
            <w:pPr>
              <w:jc w:val="center"/>
              <w:rPr>
                <w:rFonts w:cs="Times New Roman"/>
              </w:rPr>
            </w:pPr>
            <w:r w:rsidRPr="00BD5779">
              <w:rPr>
                <w:rFonts w:cs="Times New Roman"/>
              </w:rPr>
              <w:t>30.0%</w:t>
            </w:r>
          </w:p>
        </w:tc>
        <w:tc>
          <w:tcPr>
            <w:tcW w:w="1114" w:type="dxa"/>
          </w:tcPr>
          <w:p w14:paraId="2FE71468" w14:textId="77777777" w:rsidR="007A5CBD" w:rsidRPr="00BD5779" w:rsidRDefault="007A5CBD" w:rsidP="00FF44BB">
            <w:pPr>
              <w:jc w:val="center"/>
              <w:rPr>
                <w:rFonts w:cs="Times New Roman"/>
              </w:rPr>
            </w:pPr>
            <w:r w:rsidRPr="00BD5779">
              <w:rPr>
                <w:rFonts w:cs="Times New Roman"/>
              </w:rPr>
              <w:t>24.0%</w:t>
            </w:r>
          </w:p>
        </w:tc>
      </w:tr>
    </w:tbl>
    <w:p w14:paraId="4C822AD3" w14:textId="77777777" w:rsidR="007A5CBD" w:rsidRPr="00BD5779" w:rsidRDefault="007A5CBD" w:rsidP="007A5CBD">
      <w:pPr>
        <w:rPr>
          <w:rFonts w:cs="Times New Roman"/>
        </w:rPr>
      </w:pPr>
      <w:r w:rsidRPr="00BD5779">
        <w:rPr>
          <w:rFonts w:cs="Times New Roman"/>
          <w:i/>
        </w:rPr>
        <w:t>Table 2. Performance of synthetic data-</w:t>
      </w:r>
      <w:r>
        <w:rPr>
          <w:rFonts w:cs="Times New Roman"/>
          <w:i/>
        </w:rPr>
        <w:t>validated</w:t>
      </w:r>
      <w:r w:rsidRPr="00BD5779">
        <w:rPr>
          <w:rFonts w:cs="Times New Roman"/>
          <w:i/>
        </w:rPr>
        <w:t xml:space="preserve"> random forest classifier on driver gene classification in individual datasets of TCGA cancers.  </w:t>
      </w:r>
    </w:p>
    <w:p w14:paraId="38B1C369" w14:textId="77777777" w:rsidR="007A5CBD" w:rsidRPr="00BD5779" w:rsidRDefault="007A5CBD" w:rsidP="007A5CBD">
      <w:pPr>
        <w:pStyle w:val="NoSpacing"/>
        <w:rPr>
          <w:rFonts w:cs="Times New Roman"/>
        </w:rPr>
      </w:pPr>
      <w:r>
        <w:rPr>
          <w:rFonts w:cs="Times New Roman"/>
          <w:noProof/>
        </w:rPr>
        <w:lastRenderedPageBreak/>
        <w:drawing>
          <wp:inline distT="0" distB="0" distL="0" distR="0" wp14:anchorId="3BD84B5E" wp14:editId="73D02E76">
            <wp:extent cx="4318000" cy="335014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9-20 at 4.50.39 PM.png"/>
                    <pic:cNvPicPr/>
                  </pic:nvPicPr>
                  <pic:blipFill>
                    <a:blip r:embed="rId9">
                      <a:extLst>
                        <a:ext uri="{28A0092B-C50C-407E-A947-70E740481C1C}">
                          <a14:useLocalDpi xmlns:a14="http://schemas.microsoft.com/office/drawing/2010/main" val="0"/>
                        </a:ext>
                      </a:extLst>
                    </a:blip>
                    <a:stretch>
                      <a:fillRect/>
                    </a:stretch>
                  </pic:blipFill>
                  <pic:spPr>
                    <a:xfrm>
                      <a:off x="0" y="0"/>
                      <a:ext cx="4318000" cy="3350140"/>
                    </a:xfrm>
                    <a:prstGeom prst="rect">
                      <a:avLst/>
                    </a:prstGeom>
                  </pic:spPr>
                </pic:pic>
              </a:graphicData>
            </a:graphic>
          </wp:inline>
        </w:drawing>
      </w:r>
    </w:p>
    <w:p w14:paraId="16A2560F" w14:textId="77777777" w:rsidR="007A5CBD" w:rsidRDefault="007A5CBD" w:rsidP="007A5CBD">
      <w:pPr>
        <w:shd w:val="clear" w:color="auto" w:fill="FFFFFF"/>
        <w:spacing w:after="0" w:line="240" w:lineRule="auto"/>
        <w:rPr>
          <w:rFonts w:cs="Times New Roman"/>
          <w:i/>
        </w:rPr>
      </w:pPr>
    </w:p>
    <w:p w14:paraId="6CCC38CA" w14:textId="77777777" w:rsidR="007A5CBD" w:rsidRPr="00BD5779" w:rsidRDefault="007A5CBD" w:rsidP="007A5CBD">
      <w:pPr>
        <w:shd w:val="clear" w:color="auto" w:fill="FFFFFF"/>
        <w:spacing w:after="0" w:line="240" w:lineRule="auto"/>
        <w:rPr>
          <w:rFonts w:cs="Times New Roman"/>
          <w:i/>
        </w:rPr>
      </w:pPr>
      <w:commentRangeStart w:id="13"/>
      <w:r w:rsidRPr="00BD5779">
        <w:rPr>
          <w:rFonts w:cs="Times New Roman"/>
          <w:i/>
        </w:rPr>
        <w:t>Table 3. The names and NCBI publication hits of the top fifteen ranked putative genes</w:t>
      </w:r>
      <w:commentRangeEnd w:id="13"/>
      <w:r>
        <w:rPr>
          <w:rStyle w:val="CommentReference"/>
        </w:rPr>
        <w:commentReference w:id="13"/>
      </w:r>
    </w:p>
    <w:p w14:paraId="71AB9830" w14:textId="77777777" w:rsidR="007A5CBD" w:rsidRDefault="007A5CBD" w:rsidP="007A5CBD">
      <w:pPr>
        <w:spacing w:after="0" w:line="360" w:lineRule="auto"/>
        <w:rPr>
          <w:rFonts w:cs="Times New Roman"/>
        </w:rPr>
      </w:pPr>
    </w:p>
    <w:p w14:paraId="5EFA5E8D" w14:textId="77777777" w:rsidR="007A5CBD" w:rsidRDefault="007A5CBD" w:rsidP="007A5CBD">
      <w:pPr>
        <w:pStyle w:val="Heading3"/>
      </w:pPr>
      <w:bookmarkStart w:id="14" w:name="_Toc20248592"/>
      <w:r>
        <w:t>c. Pathway analysis</w:t>
      </w:r>
      <w:bookmarkEnd w:id="14"/>
    </w:p>
    <w:p w14:paraId="460A1D77" w14:textId="77777777" w:rsidR="007A5CBD" w:rsidRPr="00BD5779" w:rsidRDefault="007A5CBD" w:rsidP="007A5CBD">
      <w:pPr>
        <w:spacing w:after="0" w:line="360" w:lineRule="auto"/>
        <w:rPr>
          <w:rFonts w:cs="Times New Roman"/>
        </w:rPr>
      </w:pPr>
      <w:r w:rsidRPr="00BD5779">
        <w:rPr>
          <w:rFonts w:cs="Times New Roman"/>
        </w:rPr>
        <w:tab/>
      </w:r>
      <w:r>
        <w:rPr>
          <w:rFonts w:cs="Times New Roman"/>
        </w:rPr>
        <w:t xml:space="preserve">We additionally validated that the identified driver genes are active in biological pathways through a pathway analysis with the Kyoto Encyclopedia of Genes and Genomes (KEGG) </w:t>
      </w:r>
      <w:r>
        <w:rPr>
          <w:rFonts w:cs="Times New Roman"/>
        </w:rPr>
        <w:fldChar w:fldCharType="begin" w:fldLock="1"/>
      </w:r>
      <w:r>
        <w:rPr>
          <w:rFonts w:cs="Times New Roman"/>
        </w:rPr>
        <w:instrText>ADDIN CSL_CITATION {"citationItems":[{"id":"ITEM-1","itemData":{"DOI":"10.1093/nar/27.1.29","ISBN":"0305-1048 (Print)\\r0305-1048 (Linking)","ISSN":"03051048","PMID":"9847135","abstract":"Kyoto Encyclopedia of Genes and Genomes (KEGG) is a knowledge base for systematic analysis of gene functions in terms of the networks of genes and molecules. The major component of KEGG is the PATHWAY database that consists of graphical diagrams of biochemical pathways including most of the known metabolic pathways and some of the known regulatory pathways. The pathway information is also represented by the ortholog group tables summarizing orthologous and paralogous gene groups among different organisms. KEGG maintains the GENES database for the gene catalogs of all organisms with complete genomes and selected organisms with partial genomes, which are continuously re-annotated, as well as the LIGAND database for chemical compounds and enzymes. Each gene catalog is associated with the graphical genome map for chromosomal locations that is represented by Java applet. In addition to the data collection efforts, KEGG develops and provides various computational tools, such as for reconstructing biochemical pathways from the complete genome sequence and for predicting gene regulatory networks from the gene expression profiles. The KEGG databases are daily updated and made freely available (http://www.genome.ad.jp/kegg/).","author":[{"dropping-particle":"","family":"Ogata","given":"Hiroyuki","non-dropping-particle":"","parse-names":false,"suffix":""},{"dropping-particle":"","family":"Goto","given":"Susumu","non-dropping-particle":"","parse-names":false,"suffix":""},{"dropping-particle":"","family":"Sato","given":"Kazushige","non-dropping-particle":"","parse-names":false,"suffix":""},{"dropping-particle":"","family":"Fujibuchi","given":"Wataru","non-dropping-particle":"","parse-names":false,"suffix":""},{"dropping-particle":"","family":"Bono","given":"Hidemasa","non-dropping-particle":"","parse-names":false,"suffix":""},{"dropping-particle":"","family":"Kanehisa","given":"Minoru","non-dropping-particle":"","parse-names":false,"suffix":""}],"container-title":"Nucleic Acids Research","id":"ITEM-1","issue":"1","issued":{"date-parts":[["1999"]]},"page":"29-34","title":"KEGG: Kyoto encyclopedia of genes and genomes","type":"article-journal","volume":"27"},"uris":["http://www.mendeley.com/documents/?uuid=8ae10995-ae90-498d-a442-dfd679988e93"]}],"mendeley":{"formattedCitation":"(Ogata et al.)","plainTextFormattedCitation":"(Ogata et al.)","previouslyFormattedCitation":"(Ogata et al., 1999)"},"properties":{"noteIndex":0},"schema":"https://github.com/citation-style-language/schema/raw/master/csl-citation.json"}</w:instrText>
      </w:r>
      <w:r>
        <w:rPr>
          <w:rFonts w:cs="Times New Roman"/>
        </w:rPr>
        <w:fldChar w:fldCharType="separate"/>
      </w:r>
      <w:r>
        <w:rPr>
          <w:rFonts w:cs="Times New Roman"/>
          <w:noProof/>
        </w:rPr>
        <w:t>(Ogata et al.)</w:t>
      </w:r>
      <w:r>
        <w:rPr>
          <w:rFonts w:cs="Times New Roman"/>
        </w:rPr>
        <w:fldChar w:fldCharType="end"/>
      </w:r>
      <w:r>
        <w:rPr>
          <w:rFonts w:cs="Times New Roman"/>
        </w:rPr>
        <w:t>; the identified putative driver genes across the four cancer types were shown to be active in pathways involved in cell development and apoptosis, including PI3K-AKT and Wnt/β-Catenin. (The full pathway is included in the Appendix.)</w:t>
      </w:r>
      <w:r w:rsidRPr="00BD5779">
        <w:rPr>
          <w:rFonts w:cs="Times New Roman"/>
        </w:rPr>
        <w:tab/>
      </w:r>
    </w:p>
    <w:p w14:paraId="0D193AB2" w14:textId="77777777" w:rsidR="007A5CBD" w:rsidRPr="00BD5779" w:rsidRDefault="007A5CBD" w:rsidP="007A5CBD">
      <w:pPr>
        <w:spacing w:after="0" w:line="360" w:lineRule="auto"/>
        <w:rPr>
          <w:rFonts w:cs="Times New Roman"/>
          <w:i/>
        </w:rPr>
      </w:pPr>
      <w:r w:rsidRPr="00BD5779">
        <w:rPr>
          <w:rFonts w:cs="Times New Roman"/>
          <w:noProof/>
        </w:rPr>
        <mc:AlternateContent>
          <mc:Choice Requires="wps">
            <w:drawing>
              <wp:anchor distT="0" distB="0" distL="114300" distR="114300" simplePos="0" relativeHeight="251659264" behindDoc="0" locked="0" layoutInCell="1" allowOverlap="1" wp14:anchorId="1493527E" wp14:editId="72D0555B">
                <wp:simplePos x="0" y="0"/>
                <wp:positionH relativeFrom="margin">
                  <wp:align>left</wp:align>
                </wp:positionH>
                <wp:positionV relativeFrom="paragraph">
                  <wp:posOffset>6320</wp:posOffset>
                </wp:positionV>
                <wp:extent cx="6009613" cy="2987749"/>
                <wp:effectExtent l="0" t="0" r="0" b="3175"/>
                <wp:wrapNone/>
                <wp:docPr id="13" name="Text Box 13"/>
                <wp:cNvGraphicFramePr/>
                <a:graphic xmlns:a="http://schemas.openxmlformats.org/drawingml/2006/main">
                  <a:graphicData uri="http://schemas.microsoft.com/office/word/2010/wordprocessingShape">
                    <wps:wsp>
                      <wps:cNvSpPr txBox="1"/>
                      <wps:spPr>
                        <a:xfrm>
                          <a:off x="0" y="0"/>
                          <a:ext cx="6009613" cy="2987749"/>
                        </a:xfrm>
                        <a:prstGeom prst="rect">
                          <a:avLst/>
                        </a:prstGeom>
                        <a:solidFill>
                          <a:schemeClr val="lt1"/>
                        </a:solidFill>
                        <a:ln w="6350">
                          <a:noFill/>
                        </a:ln>
                      </wps:spPr>
                      <wps:txbx>
                        <w:txbxContent>
                          <w:p w14:paraId="49901588" w14:textId="77777777" w:rsidR="007A5CBD" w:rsidRDefault="007A5CBD" w:rsidP="007A5CBD">
                            <w:pPr>
                              <w:rPr>
                                <w:rFonts w:cs="Times New Roman"/>
                                <w:i/>
                              </w:rPr>
                            </w:pPr>
                            <w:r w:rsidRPr="000D1A15">
                              <w:rPr>
                                <w:rFonts w:cs="Times New Roman"/>
                                <w:noProof/>
                              </w:rPr>
                              <w:drawing>
                                <wp:inline distT="0" distB="0" distL="0" distR="0" wp14:anchorId="79F3E998" wp14:editId="1D556EF9">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10">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3796CFBC" w14:textId="77777777" w:rsidR="007A5CBD" w:rsidRDefault="007A5CBD" w:rsidP="007A5CBD">
                            <w:pPr>
                              <w:rPr>
                                <w:rFonts w:cs="Times New Roman"/>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3527E" id="_x0000_t202" coordsize="21600,21600" o:spt="202" path="m,l,21600r21600,l21600,xe">
                <v:stroke joinstyle="miter"/>
                <v:path gradientshapeok="t" o:connecttype="rect"/>
              </v:shapetype>
              <v:shape id="Text Box 13" o:spid="_x0000_s1026" type="#_x0000_t202" style="position:absolute;margin-left:0;margin-top:.5pt;width:473.2pt;height:235.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" fillcolor="white [3201]" stroked="f" strokeweight=".5pt">
                <v:textbox>
                  <w:txbxContent>
                    <w:p w14:paraId="49901588" w14:textId="77777777" w:rsidR="007A5CBD" w:rsidRDefault="007A5CBD" w:rsidP="007A5CBD">
                      <w:pPr>
                        <w:rPr>
                          <w:rFonts w:cs="Times New Roman"/>
                          <w:i/>
                        </w:rPr>
                      </w:pPr>
                      <w:r w:rsidRPr="000D1A15">
                        <w:rPr>
                          <w:rFonts w:cs="Times New Roman"/>
                          <w:noProof/>
                        </w:rPr>
                        <w:drawing>
                          <wp:inline distT="0" distB="0" distL="0" distR="0" wp14:anchorId="79F3E998" wp14:editId="1D556EF9">
                            <wp:extent cx="5777865" cy="2483800"/>
                            <wp:effectExtent l="19050" t="19050" r="13335"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10">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3. Interaction pathway of select colorectal cancer driver genes identified by our classifier. The proteins typed in red are affiliated with genes identified by our classifier as a driver.</w:t>
                      </w:r>
                    </w:p>
                    <w:p w14:paraId="3796CFBC" w14:textId="77777777" w:rsidR="007A5CBD" w:rsidRDefault="007A5CBD" w:rsidP="007A5CBD">
                      <w:pPr>
                        <w:rPr>
                          <w:rFonts w:cs="Times New Roman"/>
                          <w:i/>
                        </w:rPr>
                      </w:pPr>
                    </w:p>
                  </w:txbxContent>
                </v:textbox>
                <w10:wrap anchorx="margin"/>
              </v:shape>
            </w:pict>
          </mc:Fallback>
        </mc:AlternateContent>
      </w:r>
    </w:p>
    <w:p w14:paraId="1BED77B0" w14:textId="77777777" w:rsidR="007A5CBD" w:rsidRPr="00BD5779" w:rsidRDefault="007A5CBD" w:rsidP="007A5CBD">
      <w:pPr>
        <w:spacing w:after="0" w:line="360" w:lineRule="auto"/>
        <w:rPr>
          <w:rFonts w:cs="Times New Roman"/>
        </w:rPr>
      </w:pPr>
    </w:p>
    <w:p w14:paraId="0015572F" w14:textId="77777777" w:rsidR="007A5CBD" w:rsidRPr="00BD5779" w:rsidRDefault="007A5CBD" w:rsidP="007A5CBD">
      <w:pPr>
        <w:spacing w:after="0" w:line="360" w:lineRule="auto"/>
        <w:rPr>
          <w:rFonts w:cs="Times New Roman"/>
        </w:rPr>
      </w:pPr>
    </w:p>
    <w:p w14:paraId="4DBE5B0C" w14:textId="77777777" w:rsidR="007A5CBD" w:rsidRPr="00BD5779" w:rsidRDefault="007A5CBD" w:rsidP="007A5CBD">
      <w:pPr>
        <w:spacing w:after="0" w:line="360" w:lineRule="auto"/>
        <w:rPr>
          <w:rFonts w:cs="Times New Roman"/>
        </w:rPr>
      </w:pPr>
    </w:p>
    <w:p w14:paraId="1AB7C550" w14:textId="77777777" w:rsidR="007A5CBD" w:rsidRPr="00BD5779" w:rsidRDefault="007A5CBD" w:rsidP="007A5CBD">
      <w:pPr>
        <w:spacing w:after="0" w:line="360" w:lineRule="auto"/>
        <w:rPr>
          <w:rFonts w:cs="Times New Roman"/>
        </w:rPr>
      </w:pPr>
    </w:p>
    <w:p w14:paraId="17194909" w14:textId="77777777" w:rsidR="007A5CBD" w:rsidRPr="00BD5779" w:rsidRDefault="007A5CBD" w:rsidP="007A5CBD">
      <w:pPr>
        <w:spacing w:after="0" w:line="360" w:lineRule="auto"/>
        <w:rPr>
          <w:rFonts w:cs="Times New Roman"/>
        </w:rPr>
      </w:pPr>
    </w:p>
    <w:p w14:paraId="40138FDF" w14:textId="77777777" w:rsidR="007A5CBD" w:rsidRPr="00BD5779" w:rsidRDefault="007A5CBD" w:rsidP="007A5CBD">
      <w:pPr>
        <w:spacing w:after="0" w:line="360" w:lineRule="auto"/>
        <w:rPr>
          <w:rFonts w:cs="Times New Roman"/>
        </w:rPr>
      </w:pPr>
    </w:p>
    <w:p w14:paraId="4983414B" w14:textId="77777777" w:rsidR="007A5CBD" w:rsidRPr="00BD5779" w:rsidRDefault="007A5CBD" w:rsidP="007A5CBD">
      <w:pPr>
        <w:spacing w:after="0" w:line="360" w:lineRule="auto"/>
        <w:rPr>
          <w:rFonts w:cs="Times New Roman"/>
        </w:rPr>
      </w:pPr>
    </w:p>
    <w:p w14:paraId="4B6CA792" w14:textId="77777777" w:rsidR="007A5CBD" w:rsidRPr="00BD5779" w:rsidRDefault="007A5CBD" w:rsidP="007A5CBD">
      <w:pPr>
        <w:spacing w:after="0" w:line="360" w:lineRule="auto"/>
        <w:rPr>
          <w:rFonts w:cs="Times New Roman"/>
        </w:rPr>
      </w:pPr>
    </w:p>
    <w:p w14:paraId="22657743" w14:textId="77777777" w:rsidR="007A5CBD" w:rsidRPr="00BD5779" w:rsidRDefault="007A5CBD" w:rsidP="007A5CBD">
      <w:pPr>
        <w:spacing w:after="0" w:line="360" w:lineRule="auto"/>
        <w:rPr>
          <w:rFonts w:cs="Times New Roman"/>
        </w:rPr>
      </w:pPr>
    </w:p>
    <w:p w14:paraId="299D1C69" w14:textId="77777777" w:rsidR="007A5CBD" w:rsidRPr="00BD5779" w:rsidRDefault="007A5CBD" w:rsidP="007A5CBD">
      <w:pPr>
        <w:spacing w:after="0" w:line="360" w:lineRule="auto"/>
        <w:rPr>
          <w:rFonts w:cs="Times New Roman"/>
        </w:rPr>
      </w:pPr>
    </w:p>
    <w:p w14:paraId="0B579E2C" w14:textId="77777777" w:rsidR="007A5CBD" w:rsidRPr="00BD5779" w:rsidRDefault="007A5CBD" w:rsidP="007A5CBD">
      <w:pPr>
        <w:spacing w:after="0" w:line="360" w:lineRule="auto"/>
        <w:rPr>
          <w:rFonts w:cs="Times New Roman"/>
        </w:rPr>
      </w:pPr>
    </w:p>
    <w:p w14:paraId="3B5BB009" w14:textId="77777777" w:rsidR="007A5CBD" w:rsidRPr="00BD5779" w:rsidRDefault="007A5CBD" w:rsidP="007A5CBD">
      <w:pPr>
        <w:spacing w:after="0" w:line="360" w:lineRule="auto"/>
        <w:rPr>
          <w:rFonts w:cs="Times New Roman"/>
        </w:rPr>
      </w:pPr>
    </w:p>
    <w:p w14:paraId="477D2FFF" w14:textId="77777777" w:rsidR="007A5CBD" w:rsidRDefault="007A5CBD" w:rsidP="007A5CBD">
      <w:pPr>
        <w:spacing w:after="0" w:line="360" w:lineRule="auto"/>
        <w:rPr>
          <w:rFonts w:cs="Times New Roman"/>
        </w:rPr>
      </w:pPr>
      <w:r w:rsidRPr="00BD5779">
        <w:rPr>
          <w:rFonts w:cs="Times New Roman"/>
        </w:rPr>
        <w:tab/>
      </w:r>
      <w:r>
        <w:rPr>
          <w:rFonts w:cs="Times New Roman"/>
        </w:rPr>
        <w:t>Phosphatidyl-inositol 3-kinase (PI3K) activity is associated with the transformation of viral oncoproteins; PI3K (encoded by PIK3CA, etc.) is central in several cellular processes, such as proliferation, growth, apoptosis, and cytoskeletal rearrangement. The primary consequence of PI3K activation is the generation of the second messenger PIP</w:t>
      </w:r>
      <w:r>
        <w:rPr>
          <w:rFonts w:cs="Times New Roman"/>
        </w:rPr>
        <w:softHyphen/>
      </w:r>
      <w:r>
        <w:rPr>
          <w:rFonts w:cs="Times New Roman"/>
          <w:vertAlign w:val="subscript"/>
        </w:rPr>
        <w:t>3</w:t>
      </w:r>
      <w:r>
        <w:rPr>
          <w:rFonts w:cs="Times New Roman"/>
        </w:rPr>
        <w:t>, which activates downstream pathways that involve proteins involving AKT and others. The phosphatase PTEN terminates the PI3K-AKT signaling pathway by dephosphorylating PIP</w:t>
      </w:r>
      <w:r>
        <w:rPr>
          <w:rFonts w:cs="Times New Roman"/>
          <w:vertAlign w:val="subscript"/>
        </w:rPr>
        <w:t>3</w:t>
      </w:r>
      <w:r>
        <w:rPr>
          <w:rFonts w:cs="Times New Roman"/>
        </w:rPr>
        <w:t xml:space="preserve"> to PIP</w:t>
      </w:r>
      <w:r>
        <w:rPr>
          <w:rFonts w:cs="Times New Roman"/>
          <w:vertAlign w:val="subscript"/>
        </w:rPr>
        <w:t>2</w:t>
      </w:r>
      <w:r>
        <w:rPr>
          <w:rFonts w:cs="Times New Roman"/>
        </w:rPr>
        <w:t>. Mutations on genes in the pathway --- PIK3CA, AKT1, and PTEN --- lead to aberrant pathway activation, and often, carcinogenesis. Our method is able to prioritize this signaling motif: lists of top ten driver genes for each of the four cancer types include at least two of these three PI3K pathway genes.</w:t>
      </w:r>
    </w:p>
    <w:p w14:paraId="28A7249A" w14:textId="77777777" w:rsidR="007A5CBD" w:rsidRDefault="007A5CBD" w:rsidP="007A5CBD">
      <w:pPr>
        <w:spacing w:after="0" w:line="360" w:lineRule="auto"/>
        <w:rPr>
          <w:rFonts w:cs="Times New Roman"/>
        </w:rPr>
      </w:pPr>
      <w:r w:rsidRPr="00BD5779">
        <w:rPr>
          <w:rFonts w:cs="Times New Roman"/>
        </w:rPr>
        <w:tab/>
      </w:r>
      <w:r>
        <w:rPr>
          <w:rFonts w:cs="Times New Roman"/>
        </w:rPr>
        <w:t xml:space="preserve">Another signaling pathway implicated in the driver genes returned by our method is the Wnt pathway. Signaling by the Wnt proteins via the transcription co-activator β-catenin controls embryonic development and adult homeostasis. β-catenin (encoded by CTNNB1) is regulated and destroyed by the beta-catenin destruction complex, and in particular by the adenomatous polyposis coli (APC) protein, encoded by the tumor-suppressing APC gene. The loss of negative Wnt signaling regulation by APC is responsible for around 15% of colorectal cancer cases. </w:t>
      </w:r>
    </w:p>
    <w:p w14:paraId="2F33EF0E" w14:textId="77777777" w:rsidR="007A5CBD" w:rsidRDefault="007A5CBD" w:rsidP="007A5CBD">
      <w:pPr>
        <w:spacing w:after="0" w:line="360" w:lineRule="auto"/>
        <w:rPr>
          <w:rFonts w:cs="Times New Roman"/>
        </w:rPr>
      </w:pPr>
      <w:r>
        <w:rPr>
          <w:rFonts w:cs="Times New Roman"/>
        </w:rPr>
        <w:tab/>
      </w:r>
      <w:r w:rsidRPr="00BD5779">
        <w:rPr>
          <w:rFonts w:cs="Times New Roman"/>
        </w:rPr>
        <w:t>We were able to construct a signaling pathway of colorectal cancer carcinogenesis based upon the list of predicted genes active in either the Wnt or PI3K pathway. Figure 3 is retrieved from KEGG as is a partial summary of the pathway. Products of the KRAS (driver score rank #3), PIK3CA (rank #5), AKT1 (rank #10), APC (rank #25), and CTNNB1 (rank #43) genes are depicted (Appendix).</w:t>
      </w:r>
    </w:p>
    <w:p w14:paraId="7A0DA17D" w14:textId="77777777" w:rsidR="003E6795" w:rsidRDefault="00EE30C7"/>
    <w:sectPr w:rsidR="003E67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Seo-Yeon Chung" w:date="2019-09-20T17:02:00Z" w:initials="SC">
    <w:p w14:paraId="3D677CFE" w14:textId="77777777" w:rsidR="007A5CBD" w:rsidRDefault="007A5CBD" w:rsidP="007A5CBD">
      <w:pPr>
        <w:pStyle w:val="CommentText"/>
        <w:rPr>
          <w:b/>
          <w:bCs/>
          <w:i/>
          <w:iCs/>
          <w:u w:val="single"/>
        </w:rPr>
      </w:pPr>
      <w:bookmarkStart w:id="3" w:name="_Hlk20256992"/>
      <w:r>
        <w:rPr>
          <w:rStyle w:val="CommentReference"/>
        </w:rPr>
        <w:annotationRef/>
      </w:r>
      <w:r>
        <w:rPr>
          <w:b/>
          <w:bCs/>
          <w:i/>
          <w:iCs/>
          <w:u w:val="single"/>
        </w:rPr>
        <w:t>********************************</w:t>
      </w:r>
    </w:p>
    <w:p w14:paraId="2C8B4B45" w14:textId="77777777" w:rsidR="007A5CBD" w:rsidRDefault="007A5CBD" w:rsidP="007A5CBD">
      <w:pPr>
        <w:pStyle w:val="CommentText"/>
        <w:rPr>
          <w:b/>
          <w:bCs/>
          <w:u w:val="single"/>
        </w:rPr>
      </w:pPr>
      <w:r>
        <w:rPr>
          <w:b/>
          <w:bCs/>
          <w:u w:val="single"/>
        </w:rPr>
        <w:t>MUST ADD NEW STUFF (~ 1.5PGS WORTH AT LEAST)</w:t>
      </w:r>
    </w:p>
    <w:p w14:paraId="6F9503A5" w14:textId="77777777" w:rsidR="00F06C0C" w:rsidRDefault="00F06C0C" w:rsidP="007A5CBD">
      <w:pPr>
        <w:pStyle w:val="CommentText"/>
        <w:rPr>
          <w:b/>
          <w:bCs/>
          <w:u w:val="single"/>
        </w:rPr>
      </w:pPr>
    </w:p>
    <w:p w14:paraId="4ACA9CD2" w14:textId="77777777" w:rsidR="00F06C0C" w:rsidRDefault="00F06C0C" w:rsidP="007A5CBD">
      <w:pPr>
        <w:pStyle w:val="CommentText"/>
      </w:pPr>
      <w:r>
        <w:t>Description of methods goes in materials section</w:t>
      </w:r>
    </w:p>
    <w:p w14:paraId="4632FCB5" w14:textId="7D58C659" w:rsidR="00F06C0C" w:rsidRPr="00F06C0C" w:rsidRDefault="00F06C0C" w:rsidP="007A5CBD">
      <w:pPr>
        <w:pStyle w:val="CommentText"/>
      </w:pPr>
      <w:r>
        <w:t xml:space="preserve">Results of each method comes here </w:t>
      </w:r>
      <w:bookmarkEnd w:id="3"/>
    </w:p>
  </w:comment>
  <w:comment w:id="5" w:author="Seo-Yeon Chung" w:date="2019-09-25T23:06:00Z" w:initials="SC">
    <w:p w14:paraId="2D43E9E0" w14:textId="77777777" w:rsidR="00C6062B" w:rsidRDefault="00C6062B">
      <w:pPr>
        <w:pStyle w:val="CommentText"/>
      </w:pPr>
      <w:r>
        <w:rPr>
          <w:rStyle w:val="CommentReference"/>
        </w:rPr>
        <w:annotationRef/>
      </w:r>
      <w:r>
        <w:t>Maybe not do this since won’t be used for TCGA testing measure</w:t>
      </w:r>
    </w:p>
    <w:p w14:paraId="6CE20F0F" w14:textId="150649A5" w:rsidR="00C6062B" w:rsidRDefault="00C6062B">
      <w:pPr>
        <w:pStyle w:val="CommentText"/>
      </w:pPr>
    </w:p>
  </w:comment>
  <w:comment w:id="8" w:author="Seo-Yeon Chung" w:date="2019-09-25T23:09:00Z" w:initials="SC">
    <w:p w14:paraId="45ECE66F" w14:textId="6C8E5934" w:rsidR="00091176" w:rsidRDefault="00091176">
      <w:pPr>
        <w:pStyle w:val="CommentText"/>
      </w:pPr>
      <w:r>
        <w:rPr>
          <w:rStyle w:val="CommentReference"/>
        </w:rPr>
        <w:annotationRef/>
      </w:r>
      <w:r>
        <w:rPr>
          <w:noProof/>
        </w:rPr>
        <w:drawing>
          <wp:inline distT="0" distB="0" distL="0" distR="0" wp14:anchorId="2C0110BC" wp14:editId="3FEBC50D">
            <wp:extent cx="4048125" cy="2686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048125" cy="2686050"/>
                    </a:xfrm>
                    <a:prstGeom prst="rect">
                      <a:avLst/>
                    </a:prstGeom>
                  </pic:spPr>
                </pic:pic>
              </a:graphicData>
            </a:graphic>
          </wp:inline>
        </w:drawing>
      </w:r>
    </w:p>
  </w:comment>
  <w:comment w:id="9" w:author="Seo-Yeon Chung" w:date="2019-09-20T16:33:00Z" w:initials="SC">
    <w:p w14:paraId="5D954402" w14:textId="77777777" w:rsidR="007A5CBD" w:rsidRDefault="007A5CBD" w:rsidP="007A5CBD">
      <w:pPr>
        <w:pStyle w:val="CommentText"/>
        <w:rPr>
          <w:rStyle w:val="CommentReference"/>
        </w:rPr>
      </w:pPr>
      <w:r>
        <w:rPr>
          <w:rStyle w:val="CommentReference"/>
        </w:rPr>
        <w:annotationRef/>
      </w:r>
      <w:r>
        <w:rPr>
          <w:rStyle w:val="CommentReference"/>
        </w:rPr>
        <w:t>MCC and hypergeometric…</w:t>
      </w:r>
    </w:p>
    <w:p w14:paraId="425EEFD8" w14:textId="77777777" w:rsidR="007A5CBD" w:rsidRDefault="007A5CBD" w:rsidP="007A5CBD">
      <w:pPr>
        <w:pStyle w:val="CommentText"/>
        <w:rPr>
          <w:rStyle w:val="CommentReference"/>
        </w:rPr>
      </w:pPr>
      <w:r>
        <w:rPr>
          <w:rStyle w:val="CommentReference"/>
        </w:rPr>
        <w:t>From prodige:</w:t>
      </w:r>
    </w:p>
    <w:p w14:paraId="4F24199E" w14:textId="77777777" w:rsidR="007A5CBD" w:rsidRDefault="007A5CBD" w:rsidP="007A5CBD">
      <w:pPr>
        <w:pStyle w:val="CommentText"/>
      </w:pPr>
      <w:r w:rsidRPr="005A4F5C">
        <w:rPr>
          <w:rStyle w:val="CommentReference"/>
          <w:rFonts w:ascii="Calibri" w:hAnsi="Calibri" w:cs="Calibri"/>
        </w:rPr>
        <w:t>﻿</w:t>
      </w:r>
      <w:r w:rsidRPr="005A4F5C">
        <w:rPr>
          <w:rStyle w:val="CommentReference"/>
        </w:rPr>
        <w:t>Of course, the true precision value is unknown and the value we report underestimates the true value. The hypergeometric test allows to test for the</w:t>
      </w:r>
      <w:r>
        <w:rPr>
          <w:rStyle w:val="CommentReference"/>
        </w:rPr>
        <w:t xml:space="preserve"> </w:t>
      </w:r>
      <w:r w:rsidRPr="005A4F5C">
        <w:rPr>
          <w:rStyle w:val="CommentReference"/>
        </w:rPr>
        <w:t>enrichment</w:t>
      </w:r>
      <w:r>
        <w:rPr>
          <w:rStyle w:val="CommentReference"/>
        </w:rPr>
        <w:t xml:space="preserve"> </w:t>
      </w:r>
      <w:r w:rsidRPr="005A4F5C">
        <w:rPr>
          <w:rStyle w:val="CommentReference"/>
        </w:rPr>
        <w:t>of</w:t>
      </w:r>
      <w:r>
        <w:rPr>
          <w:rStyle w:val="CommentReference"/>
        </w:rPr>
        <w:t xml:space="preserve"> </w:t>
      </w:r>
      <w:r w:rsidRPr="005A4F5C">
        <w:rPr>
          <w:rStyle w:val="CommentReference"/>
        </w:rPr>
        <w:t>the top100 genes</w:t>
      </w:r>
      <w:r>
        <w:rPr>
          <w:rStyle w:val="CommentReference"/>
        </w:rPr>
        <w:t xml:space="preserve"> </w:t>
      </w:r>
      <w:r w:rsidRPr="005A4F5C">
        <w:rPr>
          <w:rStyle w:val="CommentReference"/>
        </w:rPr>
        <w:t>of</w:t>
      </w:r>
      <w:r>
        <w:rPr>
          <w:rStyle w:val="CommentReference"/>
        </w:rPr>
        <w:t xml:space="preserve"> </w:t>
      </w:r>
      <w:r w:rsidRPr="005A4F5C">
        <w:rPr>
          <w:rStyle w:val="CommentReference"/>
        </w:rPr>
        <w:t>our prioritized list in genes known to be associated to the disease, which were not in the training set (namely genes previously</w:t>
      </w:r>
      <w:r>
        <w:rPr>
          <w:rStyle w:val="CommentReference"/>
        </w:rPr>
        <w:t xml:space="preserve"> </w:t>
      </w:r>
      <w:r w:rsidRPr="005A4F5C">
        <w:rPr>
          <w:rStyle w:val="CommentReference"/>
        </w:rPr>
        <w:t>extracted from IPA).We</w:t>
      </w:r>
      <w:r>
        <w:rPr>
          <w:rStyle w:val="CommentReference"/>
        </w:rPr>
        <w:t xml:space="preserve"> </w:t>
      </w:r>
      <w:r w:rsidRPr="005A4F5C">
        <w:rPr>
          <w:rStyle w:val="CommentReference"/>
        </w:rPr>
        <w:t>can see</w:t>
      </w:r>
      <w:r>
        <w:rPr>
          <w:rStyle w:val="CommentReference"/>
        </w:rPr>
        <w:t xml:space="preserve"> t</w:t>
      </w:r>
      <w:r w:rsidRPr="005A4F5C">
        <w:rPr>
          <w:rStyle w:val="CommentReference"/>
        </w:rPr>
        <w:t>hat</w:t>
      </w:r>
      <w:r>
        <w:rPr>
          <w:rStyle w:val="CommentReference"/>
        </w:rPr>
        <w:t xml:space="preserve"> </w:t>
      </w:r>
      <w:r w:rsidRPr="005A4F5C">
        <w:rPr>
          <w:rStyle w:val="CommentReference"/>
        </w:rPr>
        <w:t>precision is good, except for schizophrenia, gastric cancer and leukemia. Recall on the other hand is not very high but the values are limited by the large size of IPA lists. All tests are significant at 5% level</w:t>
      </w:r>
      <w:r>
        <w:rPr>
          <w:rStyle w:val="CommentReference"/>
        </w:rPr>
        <w:t xml:space="preserve">. </w:t>
      </w:r>
    </w:p>
  </w:comment>
  <w:comment w:id="11" w:author="Seo-Yeon Chung" w:date="2019-09-20T17:05:00Z" w:initials="SC">
    <w:p w14:paraId="36F7AEAC" w14:textId="77777777" w:rsidR="007A5CBD" w:rsidRDefault="007A5CBD" w:rsidP="007A5CBD">
      <w:pPr>
        <w:pStyle w:val="CommentText"/>
      </w:pPr>
      <w:r>
        <w:rPr>
          <w:rStyle w:val="CommentReference"/>
        </w:rPr>
        <w:annotationRef/>
      </w:r>
      <w:r>
        <w:t>Use the set notation (the symbol for overlap)</w:t>
      </w:r>
    </w:p>
  </w:comment>
  <w:comment w:id="12" w:author="Seo-Yeon Chung" w:date="2019-09-20T17:18:00Z" w:initials="SC">
    <w:p w14:paraId="56F4C204" w14:textId="77777777" w:rsidR="007A5CBD" w:rsidRDefault="007A5CBD" w:rsidP="007A5CBD">
      <w:pPr>
        <w:pStyle w:val="CommentText"/>
      </w:pPr>
      <w:r>
        <w:rPr>
          <w:rStyle w:val="CommentReference"/>
        </w:rPr>
        <w:annotationRef/>
      </w:r>
      <w:r>
        <w:t>Make sure to distinguish between why hypergeometric was done (for general, unranked analysis of enrichment in CGC) and why this top 10-50 is done (to analyze top genes)</w:t>
      </w:r>
    </w:p>
  </w:comment>
  <w:comment w:id="13" w:author="Seo-Yeon Chung" w:date="2019-09-20T16:57:00Z" w:initials="SC">
    <w:p w14:paraId="06C402E0" w14:textId="77777777" w:rsidR="007A5CBD" w:rsidRDefault="007A5CBD" w:rsidP="007A5CBD">
      <w:pPr>
        <w:pStyle w:val="CommentText"/>
      </w:pPr>
      <w:r>
        <w:rPr>
          <w:rStyle w:val="CommentReference"/>
        </w:rPr>
        <w:annotationRef/>
      </w:r>
      <w:r>
        <w:t>???? figure quality??</w:t>
      </w:r>
    </w:p>
    <w:p w14:paraId="28AF02AD" w14:textId="77777777" w:rsidR="007A5CBD" w:rsidRDefault="007A5CBD" w:rsidP="007A5CB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632FCB5" w15:done="0"/>
  <w15:commentEx w15:paraId="6CE20F0F" w15:done="0"/>
  <w15:commentEx w15:paraId="45ECE66F" w15:done="0"/>
  <w15:commentEx w15:paraId="4F24199E" w15:done="0"/>
  <w15:commentEx w15:paraId="36F7AEAC" w15:done="0"/>
  <w15:commentEx w15:paraId="56F4C204" w15:done="0"/>
  <w15:commentEx w15:paraId="28AF02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32FCB5" w16cid:durableId="212F84A4"/>
  <w16cid:commentId w16cid:paraId="6CE20F0F" w16cid:durableId="2136718E"/>
  <w16cid:commentId w16cid:paraId="45ECE66F" w16cid:durableId="2136723C"/>
  <w16cid:commentId w16cid:paraId="4F24199E" w16cid:durableId="212F87F2"/>
  <w16cid:commentId w16cid:paraId="36F7AEAC" w16cid:durableId="212F853D"/>
  <w16cid:commentId w16cid:paraId="56F4C204" w16cid:durableId="212F886C"/>
  <w16cid:commentId w16cid:paraId="28AF02AD" w16cid:durableId="212F83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o-Yeon Chung">
    <w15:presenceInfo w15:providerId="Windows Live" w15:userId="646585b5d4bd78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C4"/>
    <w:rsid w:val="00091176"/>
    <w:rsid w:val="003432F5"/>
    <w:rsid w:val="00365D19"/>
    <w:rsid w:val="007A5CBD"/>
    <w:rsid w:val="008F4D71"/>
    <w:rsid w:val="009812BE"/>
    <w:rsid w:val="00AB656A"/>
    <w:rsid w:val="00C26D16"/>
    <w:rsid w:val="00C6062B"/>
    <w:rsid w:val="00C9724B"/>
    <w:rsid w:val="00EE30C7"/>
    <w:rsid w:val="00F06C0C"/>
    <w:rsid w:val="00F82D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41D6E"/>
  <w15:chartTrackingRefBased/>
  <w15:docId w15:val="{3688F9E1-A7E3-4A8E-890A-E4FE2E411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A5CBD"/>
    <w:rPr>
      <w:rFonts w:ascii="Times New Roman" w:hAnsi="Times New Roman"/>
    </w:rPr>
  </w:style>
  <w:style w:type="paragraph" w:styleId="Heading1">
    <w:name w:val="heading 1"/>
    <w:basedOn w:val="Normal"/>
    <w:next w:val="Normal"/>
    <w:link w:val="Heading1Char"/>
    <w:uiPriority w:val="9"/>
    <w:qFormat/>
    <w:rsid w:val="00AB656A"/>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AB656A"/>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autoRedefine/>
    <w:uiPriority w:val="9"/>
    <w:unhideWhenUsed/>
    <w:qFormat/>
    <w:rsid w:val="007A5CBD"/>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56A"/>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AB656A"/>
    <w:rPr>
      <w:rFonts w:ascii="Times New Roman" w:eastAsiaTheme="majorEastAsia" w:hAnsi="Times New Roman" w:cstheme="majorBidi"/>
      <w:sz w:val="28"/>
      <w:szCs w:val="26"/>
    </w:rPr>
  </w:style>
  <w:style w:type="paragraph" w:styleId="BalloonText">
    <w:name w:val="Balloon Text"/>
    <w:basedOn w:val="Normal"/>
    <w:link w:val="BalloonTextChar"/>
    <w:uiPriority w:val="99"/>
    <w:semiHidden/>
    <w:unhideWhenUsed/>
    <w:rsid w:val="007A5CB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5CBD"/>
    <w:rPr>
      <w:rFonts w:ascii="Segoe UI" w:hAnsi="Segoe UI" w:cs="Segoe UI"/>
      <w:sz w:val="18"/>
      <w:szCs w:val="18"/>
    </w:rPr>
  </w:style>
  <w:style w:type="character" w:customStyle="1" w:styleId="Heading3Char">
    <w:name w:val="Heading 3 Char"/>
    <w:basedOn w:val="DefaultParagraphFont"/>
    <w:link w:val="Heading3"/>
    <w:uiPriority w:val="9"/>
    <w:rsid w:val="007A5CBD"/>
    <w:rPr>
      <w:rFonts w:ascii="Times New Roman" w:eastAsiaTheme="majorEastAsia" w:hAnsi="Times New Roman" w:cstheme="majorBidi"/>
      <w:sz w:val="24"/>
      <w:szCs w:val="24"/>
    </w:rPr>
  </w:style>
  <w:style w:type="character" w:customStyle="1" w:styleId="CommentTextChar">
    <w:name w:val="Comment Text Char"/>
    <w:basedOn w:val="DefaultParagraphFont"/>
    <w:link w:val="CommentText"/>
    <w:uiPriority w:val="99"/>
    <w:semiHidden/>
    <w:rsid w:val="007A5CBD"/>
    <w:rPr>
      <w:sz w:val="20"/>
      <w:szCs w:val="20"/>
    </w:rPr>
  </w:style>
  <w:style w:type="paragraph" w:styleId="CommentText">
    <w:name w:val="annotation text"/>
    <w:basedOn w:val="Normal"/>
    <w:link w:val="CommentTextChar"/>
    <w:uiPriority w:val="99"/>
    <w:semiHidden/>
    <w:unhideWhenUsed/>
    <w:rsid w:val="007A5CBD"/>
    <w:pPr>
      <w:spacing w:line="240" w:lineRule="auto"/>
    </w:pPr>
    <w:rPr>
      <w:rFonts w:asciiTheme="minorHAnsi" w:hAnsiTheme="minorHAnsi"/>
      <w:sz w:val="20"/>
      <w:szCs w:val="20"/>
    </w:rPr>
  </w:style>
  <w:style w:type="character" w:customStyle="1" w:styleId="CommentTextChar1">
    <w:name w:val="Comment Text Char1"/>
    <w:basedOn w:val="DefaultParagraphFont"/>
    <w:uiPriority w:val="99"/>
    <w:semiHidden/>
    <w:rsid w:val="007A5CBD"/>
    <w:rPr>
      <w:rFonts w:ascii="Times New Roman" w:hAnsi="Times New Roman"/>
      <w:sz w:val="20"/>
      <w:szCs w:val="20"/>
    </w:rPr>
  </w:style>
  <w:style w:type="table" w:styleId="TableGrid">
    <w:name w:val="Table Grid"/>
    <w:basedOn w:val="TableNormal"/>
    <w:uiPriority w:val="39"/>
    <w:rsid w:val="007A5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A5CBD"/>
    <w:rPr>
      <w:sz w:val="16"/>
      <w:szCs w:val="16"/>
    </w:rPr>
  </w:style>
  <w:style w:type="paragraph" w:styleId="NoSpacing">
    <w:name w:val="No Spacing"/>
    <w:link w:val="NoSpacingChar"/>
    <w:uiPriority w:val="1"/>
    <w:qFormat/>
    <w:rsid w:val="007A5CBD"/>
    <w:pPr>
      <w:spacing w:after="0" w:line="240" w:lineRule="auto"/>
    </w:pPr>
    <w:rPr>
      <w:rFonts w:ascii="Times New Roman" w:hAnsi="Times New Roman"/>
    </w:rPr>
  </w:style>
  <w:style w:type="character" w:customStyle="1" w:styleId="NoSpacingChar">
    <w:name w:val="No Spacing Char"/>
    <w:basedOn w:val="DefaultParagraphFont"/>
    <w:link w:val="NoSpacing"/>
    <w:uiPriority w:val="1"/>
    <w:rsid w:val="007A5CBD"/>
    <w:rPr>
      <w:rFonts w:ascii="Times New Roman" w:hAnsi="Times New Roman"/>
    </w:rPr>
  </w:style>
  <w:style w:type="paragraph" w:styleId="CommentSubject">
    <w:name w:val="annotation subject"/>
    <w:basedOn w:val="CommentText"/>
    <w:next w:val="CommentText"/>
    <w:link w:val="CommentSubjectChar"/>
    <w:uiPriority w:val="99"/>
    <w:semiHidden/>
    <w:unhideWhenUsed/>
    <w:rsid w:val="00C6062B"/>
    <w:rPr>
      <w:rFonts w:ascii="Times New Roman" w:hAnsi="Times New Roman"/>
      <w:b/>
      <w:bCs/>
    </w:rPr>
  </w:style>
  <w:style w:type="character" w:customStyle="1" w:styleId="CommentSubjectChar">
    <w:name w:val="Comment Subject Char"/>
    <w:basedOn w:val="CommentTextChar"/>
    <w:link w:val="CommentSubject"/>
    <w:uiPriority w:val="99"/>
    <w:semiHidden/>
    <w:rsid w:val="00C6062B"/>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BF6D4-EC27-4B9E-8A4A-C23AB4469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Seo-Yeon Chung</dc:creator>
  <cp:keywords/>
  <dc:description/>
  <cp:lastModifiedBy>Seo-Yeon Chung</cp:lastModifiedBy>
  <cp:revision>10</cp:revision>
  <dcterms:created xsi:type="dcterms:W3CDTF">2019-09-25T03:25:00Z</dcterms:created>
  <dcterms:modified xsi:type="dcterms:W3CDTF">2019-09-26T06:11:00Z</dcterms:modified>
</cp:coreProperties>
</file>