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8D7B1" w14:textId="77777777" w:rsidR="009959A6" w:rsidRDefault="009959A6" w:rsidP="009959A6">
      <w:pPr>
        <w:pStyle w:val="Heading3"/>
      </w:pPr>
      <w:bookmarkStart w:id="0" w:name="_Toc20248592"/>
      <w:bookmarkStart w:id="1" w:name="_GoBack"/>
      <w:bookmarkEnd w:id="1"/>
      <w:r>
        <w:t>c. Pathway analysis</w:t>
      </w:r>
      <w:bookmarkEnd w:id="0"/>
    </w:p>
    <w:p w14:paraId="61178CF9" w14:textId="77777777" w:rsidR="009959A6" w:rsidRPr="00BD5779" w:rsidRDefault="009959A6" w:rsidP="009959A6">
      <w:pPr>
        <w:spacing w:after="0" w:line="360" w:lineRule="auto"/>
        <w:rPr>
          <w:rFonts w:cs="Times New Roman"/>
        </w:rPr>
      </w:pPr>
      <w:r w:rsidRPr="00BD5779">
        <w:rPr>
          <w:rFonts w:cs="Times New Roman"/>
        </w:rPr>
        <w:tab/>
      </w:r>
      <w:r>
        <w:rPr>
          <w:rFonts w:cs="Times New Roman"/>
        </w:rPr>
        <w:t xml:space="preserve">We additionally validated that the identified driver genes are active in biological pathways through a pathway analysis with the Kyoto Encyclopedia of Genes and Genomes (KEGG) </w:t>
      </w:r>
      <w:r>
        <w:rPr>
          <w:rFonts w:cs="Times New Roman"/>
        </w:rPr>
        <w:fldChar w:fldCharType="begin" w:fldLock="1"/>
      </w:r>
      <w:r>
        <w:rPr>
          <w:rFonts w:cs="Times New Roman"/>
        </w:rPr>
        <w:instrText>ADDIN CSL_CITATION {"citationItems":[{"id":"ITEM-1","itemData":{"DOI":"10.1093/nar/27.1.29","ISBN":"0305-1048 (Print)\\r0305-1048 (Linking)","ISSN":"03051048","PMID":"9847135","abstract":"Kyoto Encyclopedia of Genes and Genomes (KEGG) is a knowledge base for systematic analysis of gene functions in terms of the networks of genes and molecules. The major component of KEGG is the PATHWAY database that consists of graphical diagrams of biochemical pathways including most of the known metabolic pathways and some of the known regulatory pathways. The pathway information is also represented by the ortholog group tables summarizing orthologous and paralogous gene groups among different organisms. KEGG maintains the GENES database for the gene catalogs of all organisms with complete genomes and selected organisms with partial genomes, which are continuously re-annotated, as well as the LIGAND database for chemical compounds and enzymes. Each gene catalog is associated with the graphical genome map for chromosomal locations that is represented by Java applet. In addition to the data collection efforts, KEGG develops and provides various computational tools, such as for reconstructing biochemical pathways from the complete genome sequence and for predicting gene regulatory networks from the gene expression profiles. The KEGG databases are daily updated and made freely available (http://www.genome.ad.jp/kegg/).","author":[{"dropping-particle":"","family":"Ogata","given":"Hiroyuki","non-dropping-particle":"","parse-names":false,"suffix":""},{"dropping-particle":"","family":"Goto","given":"Susumu","non-dropping-particle":"","parse-names":false,"suffix":""},{"dropping-particle":"","family":"Sato","given":"Kazushige","non-dropping-particle":"","parse-names":false,"suffix":""},{"dropping-particle":"","family":"Fujibuchi","given":"Wataru","non-dropping-particle":"","parse-names":false,"suffix":""},{"dropping-particle":"","family":"Bono","given":"Hidemasa","non-dropping-particle":"","parse-names":false,"suffix":""},{"dropping-particle":"","family":"Kanehisa","given":"Minoru","non-dropping-particle":"","parse-names":false,"suffix":""}],"container-title":"Nucleic Acids Research","id":"ITEM-1","issue":"1","issued":{"date-parts":[["1999"]]},"page":"29-34","title":"KEGG: Kyoto encyclopedia of genes and genomes","type":"article-journal","volume":"27"},"uris":["http://www.mendeley.com/documents/?uuid=8ae10995-ae90-498d-a442-dfd679988e93"]}],"mendeley":{"formattedCitation":"(Ogata et al.)","plainTextFormattedCitation":"(Ogata et al.)","previouslyFormattedCitation":"(Ogata et al., 1999)"},"properties":{"noteIndex":0},"schema":"https://github.com/citation-style-language/schema/raw/master/csl-citation.json"}</w:instrText>
      </w:r>
      <w:r>
        <w:rPr>
          <w:rFonts w:cs="Times New Roman"/>
        </w:rPr>
        <w:fldChar w:fldCharType="separate"/>
      </w:r>
      <w:r>
        <w:rPr>
          <w:rFonts w:cs="Times New Roman"/>
          <w:noProof/>
        </w:rPr>
        <w:t>(Ogata et al.)</w:t>
      </w:r>
      <w:r>
        <w:rPr>
          <w:rFonts w:cs="Times New Roman"/>
        </w:rPr>
        <w:fldChar w:fldCharType="end"/>
      </w:r>
      <w:r>
        <w:rPr>
          <w:rFonts w:cs="Times New Roman"/>
        </w:rPr>
        <w:t>; the identified putative driver genes across the four cancer types were shown to be active in pathways involved in cell development and apoptosis, including PI3K-AKT and Wnt/β-Catenin. (The full pathway is included in the Appendix.)</w:t>
      </w:r>
      <w:r w:rsidRPr="00BD5779">
        <w:rPr>
          <w:rFonts w:cs="Times New Roman"/>
        </w:rPr>
        <w:tab/>
      </w:r>
    </w:p>
    <w:p w14:paraId="5F88070B" w14:textId="77777777" w:rsidR="009959A6" w:rsidRPr="00BD5779" w:rsidRDefault="009959A6" w:rsidP="009959A6">
      <w:pPr>
        <w:spacing w:after="0" w:line="360" w:lineRule="auto"/>
        <w:rPr>
          <w:rFonts w:cs="Times New Roman"/>
          <w:i/>
        </w:rPr>
      </w:pPr>
      <w:r w:rsidRPr="00BD5779">
        <w:rPr>
          <w:rFonts w:cs="Times New Roman"/>
          <w:noProof/>
        </w:rPr>
        <mc:AlternateContent>
          <mc:Choice Requires="wps">
            <w:drawing>
              <wp:anchor distT="0" distB="0" distL="114300" distR="114300" simplePos="0" relativeHeight="251659264" behindDoc="0" locked="0" layoutInCell="1" allowOverlap="1" wp14:anchorId="48587634" wp14:editId="04BB9517">
                <wp:simplePos x="0" y="0"/>
                <wp:positionH relativeFrom="margin">
                  <wp:align>left</wp:align>
                </wp:positionH>
                <wp:positionV relativeFrom="paragraph">
                  <wp:posOffset>6320</wp:posOffset>
                </wp:positionV>
                <wp:extent cx="6009613" cy="2987749"/>
                <wp:effectExtent l="0" t="0" r="0" b="3175"/>
                <wp:wrapNone/>
                <wp:docPr id="13" name="Text Box 13"/>
                <wp:cNvGraphicFramePr/>
                <a:graphic xmlns:a="http://schemas.openxmlformats.org/drawingml/2006/main">
                  <a:graphicData uri="http://schemas.microsoft.com/office/word/2010/wordprocessingShape">
                    <wps:wsp>
                      <wps:cNvSpPr txBox="1"/>
                      <wps:spPr>
                        <a:xfrm>
                          <a:off x="0" y="0"/>
                          <a:ext cx="6009613" cy="2987749"/>
                        </a:xfrm>
                        <a:prstGeom prst="rect">
                          <a:avLst/>
                        </a:prstGeom>
                        <a:solidFill>
                          <a:schemeClr val="lt1"/>
                        </a:solidFill>
                        <a:ln w="6350">
                          <a:noFill/>
                        </a:ln>
                      </wps:spPr>
                      <wps:txbx>
                        <w:txbxContent>
                          <w:p w14:paraId="03181B0F" w14:textId="77777777" w:rsidR="009959A6" w:rsidRDefault="009959A6" w:rsidP="009959A6">
                            <w:pPr>
                              <w:rPr>
                                <w:rFonts w:cs="Times New Roman"/>
                                <w:i/>
                              </w:rPr>
                            </w:pPr>
                            <w:r w:rsidRPr="000D1A15">
                              <w:rPr>
                                <w:rFonts w:cs="Times New Roman"/>
                                <w:noProof/>
                              </w:rPr>
                              <w:drawing>
                                <wp:inline distT="0" distB="0" distL="0" distR="0" wp14:anchorId="66475329" wp14:editId="594E334B">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4">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4ED2C11A" w14:textId="77777777" w:rsidR="009959A6" w:rsidRDefault="009959A6" w:rsidP="009959A6">
                            <w:pPr>
                              <w:rPr>
                                <w:rFonts w:cs="Times New Roman"/>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87634" id="_x0000_t202" coordsize="21600,21600" o:spt="202" path="m,l,21600r21600,l21600,xe">
                <v:stroke joinstyle="miter"/>
                <v:path gradientshapeok="t" o:connecttype="rect"/>
              </v:shapetype>
              <v:shape id="Text Box 13" o:spid="_x0000_s1026" type="#_x0000_t202" style="position:absolute;margin-left:0;margin-top:.5pt;width:473.2pt;height:235.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" fillcolor="white [3201]" stroked="f" strokeweight=".5pt">
                <v:textbox>
                  <w:txbxContent>
                    <w:p w14:paraId="03181B0F" w14:textId="77777777" w:rsidR="009959A6" w:rsidRDefault="009959A6" w:rsidP="009959A6">
                      <w:pPr>
                        <w:rPr>
                          <w:rFonts w:cs="Times New Roman"/>
                          <w:i/>
                        </w:rPr>
                      </w:pPr>
                      <w:r w:rsidRPr="000D1A15">
                        <w:rPr>
                          <w:rFonts w:cs="Times New Roman"/>
                          <w:noProof/>
                        </w:rPr>
                        <w:drawing>
                          <wp:inline distT="0" distB="0" distL="0" distR="0" wp14:anchorId="66475329" wp14:editId="594E334B">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4">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4ED2C11A" w14:textId="77777777" w:rsidR="009959A6" w:rsidRDefault="009959A6" w:rsidP="009959A6">
                      <w:pPr>
                        <w:rPr>
                          <w:rFonts w:cs="Times New Roman"/>
                          <w:i/>
                        </w:rPr>
                      </w:pPr>
                    </w:p>
                  </w:txbxContent>
                </v:textbox>
                <w10:wrap anchorx="margin"/>
              </v:shape>
            </w:pict>
          </mc:Fallback>
        </mc:AlternateContent>
      </w:r>
    </w:p>
    <w:p w14:paraId="008321FE" w14:textId="77777777" w:rsidR="009959A6" w:rsidRPr="00BD5779" w:rsidRDefault="009959A6" w:rsidP="009959A6">
      <w:pPr>
        <w:spacing w:after="0" w:line="360" w:lineRule="auto"/>
        <w:rPr>
          <w:rFonts w:cs="Times New Roman"/>
        </w:rPr>
      </w:pPr>
    </w:p>
    <w:p w14:paraId="41BBBD74" w14:textId="77777777" w:rsidR="009959A6" w:rsidRPr="00BD5779" w:rsidRDefault="009959A6" w:rsidP="009959A6">
      <w:pPr>
        <w:spacing w:after="0" w:line="360" w:lineRule="auto"/>
        <w:rPr>
          <w:rFonts w:cs="Times New Roman"/>
        </w:rPr>
      </w:pPr>
    </w:p>
    <w:p w14:paraId="5A5FDD1D" w14:textId="77777777" w:rsidR="009959A6" w:rsidRPr="00BD5779" w:rsidRDefault="009959A6" w:rsidP="009959A6">
      <w:pPr>
        <w:spacing w:after="0" w:line="360" w:lineRule="auto"/>
        <w:rPr>
          <w:rFonts w:cs="Times New Roman"/>
        </w:rPr>
      </w:pPr>
    </w:p>
    <w:p w14:paraId="2AB27BE6" w14:textId="77777777" w:rsidR="009959A6" w:rsidRPr="00BD5779" w:rsidRDefault="009959A6" w:rsidP="009959A6">
      <w:pPr>
        <w:spacing w:after="0" w:line="360" w:lineRule="auto"/>
        <w:rPr>
          <w:rFonts w:cs="Times New Roman"/>
        </w:rPr>
      </w:pPr>
    </w:p>
    <w:p w14:paraId="1C4802A5" w14:textId="77777777" w:rsidR="009959A6" w:rsidRPr="00BD5779" w:rsidRDefault="009959A6" w:rsidP="009959A6">
      <w:pPr>
        <w:spacing w:after="0" w:line="360" w:lineRule="auto"/>
        <w:rPr>
          <w:rFonts w:cs="Times New Roman"/>
        </w:rPr>
      </w:pPr>
    </w:p>
    <w:p w14:paraId="119A307D" w14:textId="77777777" w:rsidR="009959A6" w:rsidRPr="00BD5779" w:rsidRDefault="009959A6" w:rsidP="009959A6">
      <w:pPr>
        <w:spacing w:after="0" w:line="360" w:lineRule="auto"/>
        <w:rPr>
          <w:rFonts w:cs="Times New Roman"/>
        </w:rPr>
      </w:pPr>
    </w:p>
    <w:p w14:paraId="6342D5E5" w14:textId="77777777" w:rsidR="009959A6" w:rsidRPr="00BD5779" w:rsidRDefault="009959A6" w:rsidP="009959A6">
      <w:pPr>
        <w:spacing w:after="0" w:line="360" w:lineRule="auto"/>
        <w:rPr>
          <w:rFonts w:cs="Times New Roman"/>
        </w:rPr>
      </w:pPr>
    </w:p>
    <w:p w14:paraId="16148BA9" w14:textId="77777777" w:rsidR="009959A6" w:rsidRPr="00BD5779" w:rsidRDefault="009959A6" w:rsidP="009959A6">
      <w:pPr>
        <w:spacing w:after="0" w:line="360" w:lineRule="auto"/>
        <w:rPr>
          <w:rFonts w:cs="Times New Roman"/>
        </w:rPr>
      </w:pPr>
    </w:p>
    <w:p w14:paraId="2D3E813A" w14:textId="77777777" w:rsidR="009959A6" w:rsidRPr="00BD5779" w:rsidRDefault="009959A6" w:rsidP="009959A6">
      <w:pPr>
        <w:spacing w:after="0" w:line="360" w:lineRule="auto"/>
        <w:rPr>
          <w:rFonts w:cs="Times New Roman"/>
        </w:rPr>
      </w:pPr>
    </w:p>
    <w:p w14:paraId="51F055B3" w14:textId="77777777" w:rsidR="009959A6" w:rsidRPr="00BD5779" w:rsidRDefault="009959A6" w:rsidP="009959A6">
      <w:pPr>
        <w:spacing w:after="0" w:line="360" w:lineRule="auto"/>
        <w:rPr>
          <w:rFonts w:cs="Times New Roman"/>
        </w:rPr>
      </w:pPr>
    </w:p>
    <w:p w14:paraId="0C14A6BF" w14:textId="77777777" w:rsidR="009959A6" w:rsidRPr="00BD5779" w:rsidRDefault="009959A6" w:rsidP="009959A6">
      <w:pPr>
        <w:spacing w:after="0" w:line="360" w:lineRule="auto"/>
        <w:rPr>
          <w:rFonts w:cs="Times New Roman"/>
        </w:rPr>
      </w:pPr>
    </w:p>
    <w:p w14:paraId="0F4DA463" w14:textId="77777777" w:rsidR="009959A6" w:rsidRPr="00BD5779" w:rsidRDefault="009959A6" w:rsidP="009959A6">
      <w:pPr>
        <w:spacing w:after="0" w:line="360" w:lineRule="auto"/>
        <w:rPr>
          <w:rFonts w:cs="Times New Roman"/>
        </w:rPr>
      </w:pPr>
    </w:p>
    <w:p w14:paraId="30A829E1" w14:textId="77777777" w:rsidR="009959A6" w:rsidRDefault="009959A6" w:rsidP="009959A6">
      <w:pPr>
        <w:spacing w:after="0" w:line="360" w:lineRule="auto"/>
        <w:rPr>
          <w:rFonts w:cs="Times New Roman"/>
        </w:rPr>
      </w:pPr>
      <w:r w:rsidRPr="00BD5779">
        <w:rPr>
          <w:rFonts w:cs="Times New Roman"/>
        </w:rPr>
        <w:tab/>
      </w:r>
      <w:r>
        <w:rPr>
          <w:rFonts w:cs="Times New Roman"/>
        </w:rPr>
        <w:t>Phosphatidyl-inositol 3-kinase (PI3K) activity is associated with the transformation of viral oncoproteins; PI3K (encoded by PIK3CA, etc.) is central in several cellular processes, such as proliferation, growth, apoptosis, and cytoskeletal rearrangement. The primary consequence of PI3K activation is the generation of the second messenger PIP</w:t>
      </w:r>
      <w:r>
        <w:rPr>
          <w:rFonts w:cs="Times New Roman"/>
        </w:rPr>
        <w:softHyphen/>
      </w:r>
      <w:r>
        <w:rPr>
          <w:rFonts w:cs="Times New Roman"/>
          <w:vertAlign w:val="subscript"/>
        </w:rPr>
        <w:t>3</w:t>
      </w:r>
      <w:r>
        <w:rPr>
          <w:rFonts w:cs="Times New Roman"/>
        </w:rPr>
        <w:t>, which activates downstream pathways that involve proteins involving AKT and others. The phosphatase PTEN terminates the PI3K-AKT signaling pathway by dephosphorylating PIP</w:t>
      </w:r>
      <w:r>
        <w:rPr>
          <w:rFonts w:cs="Times New Roman"/>
          <w:vertAlign w:val="subscript"/>
        </w:rPr>
        <w:t>3</w:t>
      </w:r>
      <w:r>
        <w:rPr>
          <w:rFonts w:cs="Times New Roman"/>
        </w:rPr>
        <w:t xml:space="preserve"> to PIP</w:t>
      </w:r>
      <w:r>
        <w:rPr>
          <w:rFonts w:cs="Times New Roman"/>
          <w:vertAlign w:val="subscript"/>
        </w:rPr>
        <w:t>2</w:t>
      </w:r>
      <w:r>
        <w:rPr>
          <w:rFonts w:cs="Times New Roman"/>
        </w:rPr>
        <w:t>. Mutations on genes in the pathway --- PIK3CA, AKT1, and PTEN --- lead to aberrant pathway activation, and often, carcinogenesis. Our method is able to prioritize this signaling motif: lists of top ten driver genes for each of the four cancer types include at least two of these three PI3K pathway genes.</w:t>
      </w:r>
    </w:p>
    <w:p w14:paraId="3E5B7441" w14:textId="77777777" w:rsidR="009959A6" w:rsidRDefault="009959A6" w:rsidP="009959A6">
      <w:pPr>
        <w:spacing w:after="0" w:line="360" w:lineRule="auto"/>
        <w:rPr>
          <w:rFonts w:cs="Times New Roman"/>
        </w:rPr>
      </w:pPr>
      <w:r w:rsidRPr="00BD5779">
        <w:rPr>
          <w:rFonts w:cs="Times New Roman"/>
        </w:rPr>
        <w:tab/>
      </w:r>
      <w:r>
        <w:rPr>
          <w:rFonts w:cs="Times New Roman"/>
        </w:rPr>
        <w:t xml:space="preserve">Another signaling pathway implicated in the driver genes returned by our method is the Wnt pathway. Signaling by the Wnt proteins via the transcription co-activator β-catenin controls embryonic development and adult homeostasis. β-catenin (encoded by CTNNB1) is regulated and destroyed by the beta-catenin destruction complex, and in particular by the adenomatous polyposis coli (APC) protein, encoded by the tumor-suppressing APC gene. The loss of negative Wnt signaling regulation by APC is responsible for around 15% of colorectal cancer cases. </w:t>
      </w:r>
    </w:p>
    <w:p w14:paraId="5587C172" w14:textId="77777777" w:rsidR="009959A6" w:rsidRDefault="009959A6" w:rsidP="009959A6">
      <w:pPr>
        <w:spacing w:after="0" w:line="360" w:lineRule="auto"/>
        <w:rPr>
          <w:rFonts w:cs="Times New Roman"/>
        </w:rPr>
      </w:pPr>
      <w:r>
        <w:rPr>
          <w:rFonts w:cs="Times New Roman"/>
        </w:rPr>
        <w:lastRenderedPageBreak/>
        <w:tab/>
      </w:r>
      <w:r w:rsidRPr="00BD5779">
        <w:rPr>
          <w:rFonts w:cs="Times New Roman"/>
        </w:rPr>
        <w:t>We were able to construct a signaling pathway of colorectal cancer carcinogenesis based upon the list of predicted genes active in either the Wnt or PI3K pathway. Figure 3 is retrieved from KEGG as is a partial summary of the pathway. Products of the KRAS (driver score rank #3), PIK3CA (rank #5), AKT1 (rank #10), APC (rank #25), and CTNNB1 (rank #43) genes are depicted (Appendix).</w:t>
      </w:r>
    </w:p>
    <w:p w14:paraId="54151877" w14:textId="77777777" w:rsidR="009959A6" w:rsidRDefault="009959A6" w:rsidP="009959A6"/>
    <w:p w14:paraId="1E018BF5" w14:textId="77777777" w:rsidR="003E6795" w:rsidRDefault="009959A6"/>
    <w:sectPr w:rsidR="003E6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D6E"/>
    <w:rsid w:val="00623D6E"/>
    <w:rsid w:val="009959A6"/>
    <w:rsid w:val="00AB656A"/>
    <w:rsid w:val="00C26D16"/>
    <w:rsid w:val="00C972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1CAB7-1B17-4631-9355-4D24F121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959A6"/>
    <w:rPr>
      <w:rFonts w:ascii="Times New Roman" w:hAnsi="Times New Roman"/>
    </w:rPr>
  </w:style>
  <w:style w:type="paragraph" w:styleId="Heading1">
    <w:name w:val="heading 1"/>
    <w:basedOn w:val="Normal"/>
    <w:next w:val="Normal"/>
    <w:link w:val="Heading1Char"/>
    <w:uiPriority w:val="9"/>
    <w:qFormat/>
    <w:rsid w:val="00AB656A"/>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AB656A"/>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autoRedefine/>
    <w:uiPriority w:val="9"/>
    <w:unhideWhenUsed/>
    <w:qFormat/>
    <w:rsid w:val="009959A6"/>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6A"/>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AB656A"/>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9959A6"/>
    <w:rPr>
      <w:rFonts w:ascii="Times New Roman" w:eastAsiaTheme="majorEastAsia" w:hAnsi="Times New Roman"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Seo-Yeon Chung</dc:creator>
  <cp:keywords/>
  <dc:description/>
  <cp:lastModifiedBy>Seo-Yeon Chung</cp:lastModifiedBy>
  <cp:revision>3</cp:revision>
  <dcterms:created xsi:type="dcterms:W3CDTF">2019-10-11T22:13:00Z</dcterms:created>
  <dcterms:modified xsi:type="dcterms:W3CDTF">2019-10-11T22:14:00Z</dcterms:modified>
</cp:coreProperties>
</file>