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FA617">
      <w:pPr>
        <w:rPr>
          <w:rFonts w:hint="eastAsia"/>
        </w:rPr>
      </w:pPr>
      <w:r>
        <w:rPr>
          <w:rFonts w:hint="eastAsia"/>
        </w:rPr>
        <w:t>PHI Joint R&amp;D and Professional Training System</w:t>
      </w:r>
    </w:p>
    <w:p w14:paraId="31A917FF">
      <w:r>
        <w:rPr>
          <w:rFonts w:hint="eastAsia"/>
        </w:rPr>
        <w:t>We have established a deep strategic partnership with PHI, an internationally recognized authority in the Pilates industry, to jointly develop and design exclusive courses and equipment application solutions. This system deeply integrates PHI's sports rehabilitation science with ergonomic principles, aiming to break through the limitations of traditional teaching. Leveraging these joint R&amp;D achievements, we provide studios with a full-chain instructor training program that spans from foundational theory to practical application. This empowers instructors to master precise postural assessment and movement programming, ultimately helping you build a highly competitive and professional teaching team.</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9C9ACA"/>
    <w:rsid w:val="779C9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2026-06-05T00:26:00Z</dcterms:created>
  <dc:creator>Karen-Dong</dc:creator>
  <cp:lastModifiedBy>Karen-Dong</cp:lastModifiedBy>
  <dcterms:modified xsi:type="dcterms:W3CDTF">2026-06-05T00:27:48Z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048C69B02F4BEFE41EA7216A0E463A48_41</vt:lpwstr>
  </property>
</Properties>
</file>