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14A1" w14:textId="77777777" w:rsidR="00E912E3" w:rsidRDefault="00E912E3" w:rsidP="00E912E3">
      <w:r>
        <w:t>Mathematics was taught from 6</w:t>
      </w:r>
      <w:r>
        <w:rPr>
          <w:vertAlign w:val="superscript"/>
        </w:rPr>
        <w:t>th</w:t>
      </w:r>
      <w:r>
        <w:t xml:space="preserve"> century BC from the Greeks, however, the topic of communicating mathematics has only been discussed from the sixteenth century. Mathematical communication is understanding how to engage with a range of audiences to learn and understand mathematics. This could be through engagement activities such as an interactive session, exploration of concepts through physical objects, and the standard teaching and answering questions from a textbook. </w:t>
      </w:r>
    </w:p>
    <w:p w14:paraId="55EE3E8D" w14:textId="77777777" w:rsidR="00E912E3" w:rsidRDefault="00E912E3" w:rsidP="00E912E3"/>
    <w:p w14:paraId="2FE28DCD" w14:textId="77777777" w:rsidR="00E912E3" w:rsidRDefault="00E912E3" w:rsidP="00E912E3">
      <w:r>
        <w:t>However, in modern society, many mathematical concepts may not have been interesting or easy to understand, such as algebra,</w:t>
      </w:r>
      <w:commentRangeStart w:id="0"/>
      <w:r>
        <w:t xml:space="preserve"> </w:t>
      </w:r>
      <w:commentRangeEnd w:id="0"/>
      <w:r>
        <w:rPr>
          <w:rStyle w:val="CommentReference"/>
        </w:rPr>
        <w:commentReference w:id="0"/>
      </w:r>
      <w:r>
        <w:t>trigonometry in comparison to geometry. The current curriculum within the UK is standardised to help ensure that students can understand the topics with ease through the meticulous planning of what needs to be included within each year group. In contrast, prior to the sixteenth century</w:t>
      </w:r>
      <w:commentRangeStart w:id="1"/>
      <w:r>
        <w:t xml:space="preserve">, </w:t>
      </w:r>
      <w:commentRangeEnd w:id="1"/>
      <w:r>
        <w:rPr>
          <w:rStyle w:val="CommentReference"/>
        </w:rPr>
        <w:commentReference w:id="1"/>
      </w:r>
      <w:r>
        <w:t>mathematical communication was not thought of as scholars were persuaded to explore, understand,</w:t>
      </w:r>
      <w:commentRangeStart w:id="2"/>
      <w:r>
        <w:t xml:space="preserve"> </w:t>
      </w:r>
      <w:commentRangeEnd w:id="2"/>
      <w:r>
        <w:rPr>
          <w:rStyle w:val="CommentReference"/>
        </w:rPr>
        <w:commentReference w:id="2"/>
      </w:r>
      <w:r>
        <w:t>and create to compete against other scholars. It would be a battle of who has new ideas and the first to communicate to the society leading to</w:t>
      </w:r>
      <w:commentRangeStart w:id="3"/>
      <w:r>
        <w:t xml:space="preserve"> the foundation of mathematics in today’s age. </w:t>
      </w:r>
      <w:commentRangeEnd w:id="3"/>
      <w:r>
        <w:rPr>
          <w:rStyle w:val="CommentReference"/>
        </w:rPr>
        <w:commentReference w:id="3"/>
      </w:r>
    </w:p>
    <w:p w14:paraId="2166BE80" w14:textId="77777777" w:rsidR="00E912E3" w:rsidRDefault="00E912E3" w:rsidP="00E912E3"/>
    <w:p w14:paraId="7DA703D8" w14:textId="77777777" w:rsidR="00E912E3" w:rsidRDefault="00E912E3" w:rsidP="00E912E3">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Many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w:t>
      </w:r>
      <w:commentRangeStart w:id="4"/>
      <w:r>
        <w:t>enable</w:t>
      </w:r>
      <w:commentRangeEnd w:id="4"/>
      <w:r>
        <w:rPr>
          <w:rStyle w:val="CommentReference"/>
        </w:rPr>
        <w:commentReference w:id="4"/>
      </w:r>
      <w:r>
        <w:t xml:space="preserve">d individuals to publish their own scientific research to permanently record it for others to see. </w:t>
      </w:r>
    </w:p>
    <w:p w14:paraId="0B4B8363" w14:textId="77777777" w:rsidR="00E912E3" w:rsidRDefault="00E912E3" w:rsidP="00E912E3"/>
    <w:p w14:paraId="6AFC21A3" w14:textId="77777777" w:rsidR="00E912E3" w:rsidRDefault="00E912E3" w:rsidP="00E912E3">
      <w:pPr>
        <w:rPr>
          <w:rFonts w:ascii="Arial" w:hAnsi="Arial" w:cs="Arial"/>
          <w:color w:val="575757"/>
          <w:sz w:val="30"/>
          <w:szCs w:val="30"/>
          <w:shd w:val="clear" w:color="auto" w:fill="FAFAFA"/>
        </w:rPr>
      </w:pPr>
      <w:r>
        <w:rPr>
          <w:rFonts w:ascii="Arial" w:hAnsi="Arial" w:cs="Arial"/>
          <w:color w:val="575757"/>
          <w:sz w:val="30"/>
          <w:szCs w:val="30"/>
          <w:shd w:val="clear" w:color="auto" w:fill="FAFAFA"/>
        </w:rPr>
        <w:t>[1] "</w:t>
      </w:r>
      <w:hyperlink r:id="rId10" w:history="1">
        <w:r>
          <w:rPr>
            <w:rStyle w:val="Hyperlink"/>
            <w:rFonts w:ascii="Arial" w:eastAsiaTheme="majorEastAsia" w:hAnsi="Arial" w:cs="Arial"/>
            <w:color w:val="00529B"/>
            <w:sz w:val="30"/>
            <w:szCs w:val="30"/>
            <w:shd w:val="clear" w:color="auto" w:fill="FAFAFA"/>
          </w:rPr>
          <w:t>Mathematics, Communication, and Community .</w:t>
        </w:r>
      </w:hyperlink>
      <w:r>
        <w:rPr>
          <w:rFonts w:ascii="Arial" w:hAnsi="Arial" w:cs="Arial"/>
          <w:color w:val="575757"/>
          <w:sz w:val="30"/>
          <w:szCs w:val="30"/>
          <w:shd w:val="clear" w:color="auto" w:fill="FAFAFA"/>
        </w:rPr>
        <w:t>" </w:t>
      </w:r>
      <w:r>
        <w:rPr>
          <w:rFonts w:ascii="Arial" w:hAnsi="Arial" w:cs="Arial"/>
          <w:color w:val="575757"/>
          <w:sz w:val="30"/>
          <w:szCs w:val="30"/>
          <w:u w:val="single"/>
          <w:shd w:val="clear" w:color="auto" w:fill="FAFAFA"/>
        </w:rPr>
        <w:t>Science and Its Times: Understanding the Social Significance of Scientific Discovery</w:t>
      </w:r>
      <w:r>
        <w:rPr>
          <w:rFonts w:ascii="Arial" w:hAnsi="Arial" w:cs="Arial"/>
          <w:color w:val="575757"/>
          <w:sz w:val="30"/>
          <w:szCs w:val="30"/>
          <w:shd w:val="clear" w:color="auto" w:fill="FAFAFA"/>
        </w:rPr>
        <w:t>. . </w:t>
      </w:r>
      <w:r>
        <w:rPr>
          <w:rFonts w:ascii="Arial" w:hAnsi="Arial" w:cs="Arial"/>
          <w:i/>
          <w:iCs/>
          <w:color w:val="575757"/>
          <w:sz w:val="30"/>
          <w:szCs w:val="30"/>
          <w:shd w:val="clear" w:color="auto" w:fill="FAFAFA"/>
        </w:rPr>
        <w:t>Encyclopedia.com.</w:t>
      </w:r>
      <w:r>
        <w:rPr>
          <w:rFonts w:ascii="Arial" w:hAnsi="Arial" w:cs="Arial"/>
          <w:color w:val="575757"/>
          <w:sz w:val="30"/>
          <w:szCs w:val="30"/>
          <w:shd w:val="clear" w:color="auto" w:fill="FAFAFA"/>
        </w:rPr>
        <w:t> 28 Dec. 2021 &lt;</w:t>
      </w:r>
      <w:hyperlink r:id="rId11" w:history="1">
        <w:r>
          <w:rPr>
            <w:rStyle w:val="Hyperlink"/>
            <w:rFonts w:ascii="Arial" w:eastAsiaTheme="majorEastAsia" w:hAnsi="Arial" w:cs="Arial"/>
            <w:color w:val="00529B"/>
            <w:sz w:val="30"/>
            <w:szCs w:val="30"/>
            <w:shd w:val="clear" w:color="auto" w:fill="FAFAFA"/>
          </w:rPr>
          <w:t>https://www.encyclopedia.com</w:t>
        </w:r>
      </w:hyperlink>
      <w:r>
        <w:rPr>
          <w:rFonts w:ascii="Arial" w:hAnsi="Arial" w:cs="Arial"/>
          <w:color w:val="575757"/>
          <w:sz w:val="30"/>
          <w:szCs w:val="30"/>
          <w:shd w:val="clear" w:color="auto" w:fill="FAFAFA"/>
        </w:rPr>
        <w:t>&gt;.</w:t>
      </w:r>
    </w:p>
    <w:p w14:paraId="65A35EA7" w14:textId="77777777" w:rsidR="00E912E3" w:rsidRDefault="00E912E3" w:rsidP="00E912E3">
      <w:pPr>
        <w:rPr>
          <w:rFonts w:ascii="Arial" w:hAnsi="Arial" w:cs="Arial"/>
          <w:color w:val="575757"/>
          <w:sz w:val="30"/>
          <w:szCs w:val="30"/>
          <w:shd w:val="clear" w:color="auto" w:fill="FAFAFA"/>
        </w:rPr>
      </w:pPr>
    </w:p>
    <w:p w14:paraId="477310FF" w14:textId="77777777" w:rsidR="00E912E3" w:rsidRDefault="00E912E3" w:rsidP="00E912E3">
      <w:r>
        <w:t>Another study was made to show the relationship of communication for students and their understanding of mathematics. As shown by (</w:t>
      </w:r>
      <w:proofErr w:type="spellStart"/>
      <w:r>
        <w:t>Kosko</w:t>
      </w:r>
      <w:proofErr w:type="spellEnd"/>
      <w:r>
        <w:t xml:space="preserve"> et al. [2]), the author has referenced several resources which 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245FE8CB" w14:textId="77777777" w:rsidR="00E912E3" w:rsidRDefault="00E912E3" w:rsidP="00E912E3"/>
    <w:p w14:paraId="0E728BA4" w14:textId="77777777" w:rsidR="00E912E3" w:rsidRDefault="00E912E3" w:rsidP="00E912E3">
      <w:r>
        <w:t>A series of methods are detailed within the paper, such as the use of manipulatives (</w:t>
      </w:r>
      <w:commentRangeStart w:id="5"/>
      <w:commentRangeEnd w:id="5"/>
      <w:r>
        <w:rPr>
          <w:rStyle w:val="CommentReference"/>
        </w:rPr>
        <w:commentReference w:id="5"/>
      </w:r>
      <w:r>
        <w:t xml:space="preserve">using physical materials), verbal communication and/or social interaction (where students engage with other students to deepen the understanding of mathematical concepts), written communication (enabling them to connect and create a formal understanding of the concept). Consequently, combining both manipulatives and different forms of communication, this builds the solid foundation of the theory. As suggested, without the combination of the two sides, it can decrease the confidence of one understanding the concept fully. Hence, the study primarily shows the importance of manipulatives use and it’s benefits of utilising this to build the platform for students to continuously write and discuss mathematics. </w:t>
      </w:r>
    </w:p>
    <w:p w14:paraId="5B63C886" w14:textId="77777777" w:rsidR="00E912E3" w:rsidRDefault="00E912E3" w:rsidP="00E912E3"/>
    <w:p w14:paraId="1E10B47E" w14:textId="77777777" w:rsidR="00E912E3" w:rsidRDefault="00E912E3" w:rsidP="00E912E3">
      <w:r>
        <w:lastRenderedPageBreak/>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their understanding. The main purpose of manipulatives was used to understand abstract concepts. Within the statistics, there was a positive correlation between manipulative use and writing providing a “statistically significant” result of ρ=.32, p&lt;.01. Discussion was also positive, ρ=.32, p&lt;.01.  Finally, the best correlation was between writing and discussion ρ=.32, p&lt;.01. This was shown on page 86, detailed in Table 3. As observed, this can create a feedback loop between the different communication methods. </w:t>
      </w:r>
    </w:p>
    <w:p w14:paraId="01E90A43" w14:textId="77777777" w:rsidR="00E912E3" w:rsidRDefault="00E912E3" w:rsidP="00E912E3"/>
    <w:p w14:paraId="643B6090" w14:textId="77777777" w:rsidR="00E912E3" w:rsidRDefault="00E912E3" w:rsidP="00E912E3">
      <w:r>
        <w:t xml:space="preserve">From the conclusion of the article, it was shown that the use of manipulatives had encouraged students to continue writing about mathematics which further improved several skills other than mathematics, these included social skills, being more </w:t>
      </w:r>
      <w:commentRangeStart w:id="6"/>
      <w:r>
        <w:t>logical</w:t>
      </w:r>
      <w:commentRangeEnd w:id="6"/>
      <w:r>
        <w:rPr>
          <w:rStyle w:val="CommentReference"/>
        </w:rPr>
        <w:commentReference w:id="6"/>
      </w:r>
      <w:r>
        <w:t xml:space="preserve"> and creative. However, this study only showed how effective the method given would be, provided to the teachers. The study also showed a range of different methods of teaching, which showed that in a </w:t>
      </w:r>
      <w:commentRangeStart w:id="7"/>
      <w:r>
        <w:t>face-to-face setting</w:t>
      </w:r>
      <w:commentRangeEnd w:id="7"/>
      <w:r>
        <w:rPr>
          <w:rStyle w:val="CommentReference"/>
        </w:rPr>
        <w:commentReference w:id="7"/>
      </w:r>
      <w:r>
        <w:t>, students are more engaging and likely to ask more questions. In relation to my project, this would mean that to produce the best results of engagement, and to evaluate the effectiveness, it would be best to create an engagement activity in a face-to-face setting and one online to compare the differences. However, since</w:t>
      </w:r>
      <w:commentRangeStart w:id="8"/>
      <w:r>
        <w:t xml:space="preserve"> </w:t>
      </w:r>
      <w:commentRangeEnd w:id="8"/>
      <w:r>
        <w:rPr>
          <w:rStyle w:val="CommentReference"/>
        </w:rPr>
        <w:commentReference w:id="8"/>
      </w:r>
      <w:r>
        <w:t xml:space="preserve">COVID-19, it may be difficult to conduct the former. On the other hand, this could be conducted within the same bubbles, which can still provide results for the experiment. </w:t>
      </w:r>
    </w:p>
    <w:p w14:paraId="54F4654E" w14:textId="77777777" w:rsidR="00E912E3" w:rsidRDefault="00E912E3" w:rsidP="00E912E3"/>
    <w:p w14:paraId="3EDF4EE2" w14:textId="77777777" w:rsidR="00E912E3" w:rsidRDefault="00E912E3" w:rsidP="00E912E3">
      <w:pPr>
        <w:rPr>
          <w:rFonts w:ascii="Arial" w:hAnsi="Arial" w:cs="Arial"/>
        </w:rPr>
      </w:pPr>
      <w:r>
        <w:rPr>
          <w:rFonts w:ascii="Arial" w:hAnsi="Arial" w:cs="Arial"/>
        </w:rPr>
        <w:t xml:space="preserve">[2] </w:t>
      </w:r>
      <w:proofErr w:type="spellStart"/>
      <w:r>
        <w:rPr>
          <w:rFonts w:ascii="Arial" w:hAnsi="Arial" w:cs="Arial"/>
        </w:rPr>
        <w:t>Kosko</w:t>
      </w:r>
      <w:proofErr w:type="spellEnd"/>
      <w:r>
        <w:rPr>
          <w:rFonts w:ascii="Arial" w:hAnsi="Arial" w:cs="Arial"/>
        </w:rPr>
        <w:t>, Karl &amp; Wilkins, Jesse. (2010). Mathematical Communication and Its Relation to the Frequency of Manipulative Use. International Electronic Journal of Mathematics Education. 5. 79-90. 10.29333/</w:t>
      </w:r>
      <w:proofErr w:type="spellStart"/>
      <w:r>
        <w:rPr>
          <w:rFonts w:ascii="Arial" w:hAnsi="Arial" w:cs="Arial"/>
        </w:rPr>
        <w:t>iejme</w:t>
      </w:r>
      <w:proofErr w:type="spellEnd"/>
      <w:r>
        <w:rPr>
          <w:rFonts w:ascii="Arial" w:hAnsi="Arial" w:cs="Arial"/>
        </w:rPr>
        <w:t>/251.</w:t>
      </w:r>
    </w:p>
    <w:p w14:paraId="17E1FD02" w14:textId="77777777" w:rsidR="00E912E3" w:rsidRDefault="00E912E3" w:rsidP="00E912E3"/>
    <w:p w14:paraId="53B40573" w14:textId="77777777" w:rsidR="00E912E3" w:rsidRDefault="00E912E3" w:rsidP="00E912E3">
      <w:r>
        <w:t xml:space="preserve">From the previous journal [2] the author had referenced </w:t>
      </w:r>
      <w:proofErr w:type="spellStart"/>
      <w:r>
        <w:t>Borasi</w:t>
      </w:r>
      <w:proofErr w:type="spellEnd"/>
      <w:r>
        <w:t xml:space="preserve"> et al [3]</w:t>
      </w:r>
      <w:commentRangeStart w:id="9"/>
      <w:r>
        <w:t xml:space="preserve">, </w:t>
      </w:r>
      <w:commentRangeEnd w:id="9"/>
      <w:r>
        <w:rPr>
          <w:rStyle w:val="CommentReference"/>
        </w:rPr>
        <w:commentReference w:id="9"/>
      </w:r>
      <w:r>
        <w:t xml:space="preserve">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Similarly, the utilisation of a journal builds a relationship between the teacher and student that is tailored to support </w:t>
      </w:r>
      <w:proofErr w:type="gramStart"/>
      <w:r>
        <w:t>each individuals’</w:t>
      </w:r>
      <w:proofErr w:type="gramEnd"/>
      <w:r>
        <w:t xml:space="preserve"> learning path.</w:t>
      </w:r>
    </w:p>
    <w:p w14:paraId="3C41F0CF" w14:textId="77777777" w:rsidR="00E912E3" w:rsidRDefault="00E912E3" w:rsidP="00E912E3"/>
    <w:p w14:paraId="48BFFB7B" w14:textId="77777777" w:rsidR="00E912E3" w:rsidRDefault="00E912E3" w:rsidP="00E912E3">
      <w:r>
        <w:t>A general journal has provided many uses of the user confiding in themselves, detailing their feelings and</w:t>
      </w:r>
      <w:commentRangeStart w:id="10"/>
      <w:commentRangeEnd w:id="10"/>
      <w:r>
        <w:rPr>
          <w:rStyle w:val="CommentReference"/>
        </w:rPr>
        <w:commentReference w:id="10"/>
      </w:r>
      <w:r>
        <w:t xml:space="preserve"> thoughts,</w:t>
      </w:r>
      <w:commentRangeStart w:id="11"/>
      <w:r>
        <w:t xml:space="preserve"> </w:t>
      </w:r>
      <w:commentRangeEnd w:id="11"/>
      <w:r>
        <w:rPr>
          <w:rStyle w:val="CommentReference"/>
        </w:rPr>
        <w:commentReference w:id="11"/>
      </w:r>
      <w:r>
        <w:t xml:space="preserve">as well as acting like a progress log. In this case, if students were open enough to trust their teachers reading this journal, it could provide an insightful view to how each of their students feel about each topic, content, lesson and overall, their progress in relation to the materials covered. However, this is a significant step for students to be able to </w:t>
      </w:r>
      <w:proofErr w:type="gramStart"/>
      <w:r>
        <w:t>open up</w:t>
      </w:r>
      <w:proofErr w:type="gramEnd"/>
      <w:r>
        <w:t xml:space="preserve"> for their teachers to have a look at this journal. 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81F8610" w14:textId="77777777" w:rsidR="00E912E3" w:rsidRDefault="00E912E3" w:rsidP="00E912E3"/>
    <w:p w14:paraId="3C66C843" w14:textId="77777777" w:rsidR="00E912E3" w:rsidRDefault="00E912E3" w:rsidP="00E912E3">
      <w:r>
        <w:t xml:space="preserve">As explained, the education of mathematics was primarily seen to be memorising formulas and equations in order to answer them in exams. However, as students study mathematics to a higher level, </w:t>
      </w:r>
      <w:proofErr w:type="gramStart"/>
      <w:r>
        <w:t>it can be seen that this</w:t>
      </w:r>
      <w:proofErr w:type="gramEnd"/>
      <w:r>
        <w:t xml:space="preserve"> is an inappropriate way of learning as it does not provide understanding but only the application. Furthermore, to fully absorb and engage with mathematics, it is crucial to interact with the content in order to fully understand the meaning </w:t>
      </w:r>
      <w:r>
        <w:lastRenderedPageBreak/>
        <w:t xml:space="preserve">of why specific formulas and steps are used. 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t>arcsin</w:t>
      </w:r>
      <w:proofErr w:type="spellEnd"/>
      <w:r>
        <w:t xml:space="preserve">, arctan, etc). Proper understanding allows students to know the why and utilise the methods given to solve the statement efficiently. </w:t>
      </w:r>
    </w:p>
    <w:p w14:paraId="4E1D91DF" w14:textId="77777777" w:rsidR="00E912E3" w:rsidRDefault="00E912E3" w:rsidP="00E912E3"/>
    <w:p w14:paraId="5F72088D" w14:textId="77777777" w:rsidR="00E912E3" w:rsidRDefault="00E912E3" w:rsidP="00E912E3">
      <w:r>
        <w:t xml:space="preserve">If we were taught that Mathematics is a science where there is more solving and logic in contrast to English which uses creativity and writing, it would be seen as </w:t>
      </w:r>
      <w:commentRangeStart w:id="12"/>
      <w:r>
        <w:t>surprising</w:t>
      </w:r>
      <w:commentRangeEnd w:id="12"/>
      <w:r>
        <w:rPr>
          <w:rStyle w:val="CommentReference"/>
        </w:rPr>
        <w:commentReference w:id="12"/>
      </w:r>
      <w:r>
        <w:t xml:space="preserve"> to be told to write in maths. However, [3] defends that by “writing mathematics intensively, this can create powerful connections between writing and learning”. The concept of writing to learn is a form of active learning </w:t>
      </w:r>
      <w:proofErr w:type="gramStart"/>
      <w:r>
        <w:t>as long as</w:t>
      </w:r>
      <w:proofErr w:type="gramEnd"/>
      <w:r>
        <w:t xml:space="preserve"> the learner is trying to make meaning of the steps involved for each of their topics. As suggested </w:t>
      </w:r>
      <w:commentRangeStart w:id="13"/>
      <w:r>
        <w:t xml:space="preserve">by </w:t>
      </w:r>
      <w:proofErr w:type="spellStart"/>
      <w:r>
        <w:t>Mayher</w:t>
      </w:r>
      <w:proofErr w:type="spellEnd"/>
      <w:r>
        <w:t xml:space="preserve"> et al [5], </w:t>
      </w:r>
      <w:commentRangeEnd w:id="13"/>
      <w:r>
        <w:rPr>
          <w:rStyle w:val="CommentReference"/>
        </w:rPr>
        <w:commentReference w:id="13"/>
      </w:r>
      <w:r>
        <w:t xml:space="preserve">the concept of active learning is also evidenced by </w:t>
      </w:r>
      <w:r>
        <w:rPr>
          <w:rFonts w:ascii="Open Sans" w:hAnsi="Open Sans" w:cs="Open Sans"/>
          <w:color w:val="000000"/>
          <w:sz w:val="20"/>
          <w:szCs w:val="20"/>
          <w:shd w:val="clear" w:color="auto" w:fill="FFFFFF"/>
        </w:rPr>
        <w:t xml:space="preserve">(Oakley 2014, </w:t>
      </w:r>
      <w:proofErr w:type="spellStart"/>
      <w:r>
        <w:rPr>
          <w:rFonts w:ascii="Open Sans" w:hAnsi="Open Sans" w:cs="Open Sans"/>
          <w:color w:val="000000"/>
          <w:sz w:val="20"/>
          <w:szCs w:val="20"/>
          <w:shd w:val="clear" w:color="auto" w:fill="FFFFFF"/>
        </w:rPr>
        <w:t>pg</w:t>
      </w:r>
      <w:proofErr w:type="spellEnd"/>
      <w:proofErr w:type="gramStart"/>
      <w:r>
        <w:rPr>
          <w:rFonts w:ascii="Open Sans" w:hAnsi="Open Sans" w:cs="Open Sans"/>
          <w:color w:val="000000"/>
          <w:sz w:val="20"/>
          <w:szCs w:val="20"/>
          <w:shd w:val="clear" w:color="auto" w:fill="FFFFFF"/>
        </w:rPr>
        <w:t>, )</w:t>
      </w:r>
      <w:proofErr w:type="gramEnd"/>
      <w:r>
        <w:rPr>
          <w:rFonts w:ascii="Open Sans" w:hAnsi="Open Sans" w:cs="Open Sans"/>
          <w:color w:val="000000"/>
          <w:sz w:val="20"/>
          <w:szCs w:val="20"/>
          <w:shd w:val="clear" w:color="auto" w:fill="FFFFFF"/>
        </w:rPr>
        <w:t xml:space="preserve"> [7]. </w:t>
      </w:r>
    </w:p>
    <w:p w14:paraId="34BF02AF" w14:textId="77777777" w:rsidR="00E912E3" w:rsidRDefault="00E912E3" w:rsidP="00E912E3">
      <w:pPr>
        <w:pStyle w:val="NormalWeb"/>
        <w:ind w:left="567" w:hanging="567"/>
        <w:rPr>
          <w:rFonts w:ascii="Arial" w:hAnsi="Arial" w:cs="Arial"/>
        </w:rPr>
      </w:pPr>
      <w:r>
        <w:rPr>
          <w:rFonts w:ascii="Arial" w:hAnsi="Arial" w:cs="Arial"/>
        </w:rPr>
        <w:t xml:space="preserve">[3] </w:t>
      </w:r>
      <w:proofErr w:type="spellStart"/>
      <w:r>
        <w:rPr>
          <w:rFonts w:ascii="Arial" w:hAnsi="Arial" w:cs="Arial"/>
        </w:rPr>
        <w:t>Borasi</w:t>
      </w:r>
      <w:proofErr w:type="spellEnd"/>
      <w:r>
        <w:rPr>
          <w:rFonts w:ascii="Arial" w:hAnsi="Arial" w:cs="Arial"/>
        </w:rPr>
        <w:t xml:space="preserve">, Raffaella, and Barbara J. Rose. “Journal Writing and Mathematics Instruction.” </w:t>
      </w:r>
      <w:r>
        <w:rPr>
          <w:rFonts w:ascii="Arial" w:hAnsi="Arial" w:cs="Arial"/>
          <w:i/>
          <w:iCs/>
        </w:rPr>
        <w:t>Educational Studies in Mathematics</w:t>
      </w:r>
      <w:r>
        <w:rPr>
          <w:rFonts w:ascii="Arial" w:hAnsi="Arial" w:cs="Arial"/>
        </w:rPr>
        <w:t xml:space="preserve">, vol. 20, no. 4, 1989, pp. 347–365., </w:t>
      </w:r>
      <w:hyperlink r:id="rId12" w:history="1">
        <w:r>
          <w:rPr>
            <w:rStyle w:val="Hyperlink"/>
            <w:rFonts w:ascii="Arial" w:eastAsiaTheme="majorEastAsia" w:hAnsi="Arial" w:cs="Arial"/>
          </w:rPr>
          <w:t>https://doi.org/10.1007/bf00315606</w:t>
        </w:r>
      </w:hyperlink>
    </w:p>
    <w:p w14:paraId="1ED6B7E9" w14:textId="77777777" w:rsidR="00E912E3" w:rsidRDefault="00E912E3" w:rsidP="00E912E3">
      <w:pPr>
        <w:pStyle w:val="NormalWeb"/>
        <w:ind w:left="567" w:hanging="567"/>
        <w:rPr>
          <w:rFonts w:ascii="Arial" w:hAnsi="Arial" w:cs="Arial"/>
        </w:rPr>
      </w:pPr>
    </w:p>
    <w:p w14:paraId="2E5A324C" w14:textId="77777777" w:rsidR="00E912E3" w:rsidRDefault="00E912E3" w:rsidP="00E912E3">
      <w:r>
        <w:rPr>
          <w:rFonts w:ascii="Arial" w:hAnsi="Arial" w:cs="Arial"/>
        </w:rPr>
        <w:t xml:space="preserve">[5] </w:t>
      </w:r>
      <w:proofErr w:type="spellStart"/>
      <w:r>
        <w:t>Mayher</w:t>
      </w:r>
      <w:proofErr w:type="spellEnd"/>
      <w:r>
        <w:t xml:space="preserve">, J. S., Lester, N. B. and </w:t>
      </w:r>
      <w:proofErr w:type="spellStart"/>
      <w:r>
        <w:t>Pradl</w:t>
      </w:r>
      <w:proofErr w:type="spellEnd"/>
      <w:r>
        <w:t xml:space="preserve">, G. M.: 1983, Learning to Write/Writing to Learn, Boynton/Cook Publishers, Inc., Upper Montclair, NJ. </w:t>
      </w:r>
    </w:p>
    <w:p w14:paraId="5548607B" w14:textId="77777777" w:rsidR="00E912E3" w:rsidRDefault="00E912E3" w:rsidP="00E912E3">
      <w:pPr>
        <w:pStyle w:val="NormalWeb"/>
        <w:ind w:left="567" w:hanging="567"/>
        <w:rPr>
          <w:rFonts w:ascii="Arial" w:hAnsi="Arial" w:cs="Arial"/>
        </w:rPr>
      </w:pPr>
      <w:r>
        <w:rPr>
          <w:rFonts w:ascii="Arial" w:hAnsi="Arial" w:cs="Arial"/>
        </w:rPr>
        <w:t xml:space="preserve">[6] Zhou, </w:t>
      </w:r>
      <w:proofErr w:type="spellStart"/>
      <w:r>
        <w:rPr>
          <w:rFonts w:ascii="Arial" w:hAnsi="Arial" w:cs="Arial"/>
        </w:rPr>
        <w:t>Jiayu</w:t>
      </w:r>
      <w:proofErr w:type="spellEnd"/>
      <w:r>
        <w:rPr>
          <w:rFonts w:ascii="Arial" w:hAnsi="Arial" w:cs="Arial"/>
        </w:rPr>
        <w:t>. (2020). A Critical Discussion of Vygotsky and Bruner’s Theory and Their Contribution to Understanding of the Way Students Learn. Review of Educational Theory. 3. 82. 10.30564/</w:t>
      </w:r>
      <w:proofErr w:type="gramStart"/>
      <w:r>
        <w:rPr>
          <w:rFonts w:ascii="Arial" w:hAnsi="Arial" w:cs="Arial"/>
        </w:rPr>
        <w:t>ret.v</w:t>
      </w:r>
      <w:proofErr w:type="gramEnd"/>
      <w:r>
        <w:rPr>
          <w:rFonts w:ascii="Arial" w:hAnsi="Arial" w:cs="Arial"/>
        </w:rPr>
        <w:t>3i4.2444.</w:t>
      </w:r>
    </w:p>
    <w:p w14:paraId="54AA247A" w14:textId="77777777" w:rsidR="00E912E3" w:rsidRDefault="00E912E3" w:rsidP="00E912E3">
      <w:r>
        <w:rPr>
          <w:rFonts w:ascii="Arial" w:hAnsi="Arial" w:cs="Arial"/>
        </w:rPr>
        <w:t xml:space="preserve">[7] </w:t>
      </w:r>
      <w:r>
        <w:rPr>
          <w:rFonts w:ascii="Open Sans" w:hAnsi="Open Sans" w:cs="Open Sans"/>
          <w:color w:val="000000"/>
          <w:sz w:val="20"/>
          <w:szCs w:val="20"/>
          <w:shd w:val="clear" w:color="auto" w:fill="FFFFFF"/>
        </w:rPr>
        <w:t>Oakley, B., 2014: </w:t>
      </w:r>
      <w:r>
        <w:rPr>
          <w:rFonts w:ascii="Open Sans" w:hAnsi="Open Sans" w:cs="Open Sans"/>
          <w:i/>
          <w:iCs/>
          <w:color w:val="000000"/>
          <w:sz w:val="20"/>
          <w:szCs w:val="20"/>
          <w:shd w:val="clear" w:color="auto" w:fill="FFFFFF"/>
        </w:rPr>
        <w:t>A mind for numbers</w:t>
      </w:r>
      <w:r>
        <w:rPr>
          <w:rFonts w:ascii="Open Sans" w:hAnsi="Open Sans" w:cs="Open Sans"/>
          <w:color w:val="000000"/>
          <w:sz w:val="20"/>
          <w:szCs w:val="20"/>
          <w:shd w:val="clear" w:color="auto" w:fill="FFFFFF"/>
        </w:rPr>
        <w:t xml:space="preserve">. J.P. </w:t>
      </w:r>
      <w:proofErr w:type="spellStart"/>
      <w:r>
        <w:rPr>
          <w:rFonts w:ascii="Open Sans" w:hAnsi="Open Sans" w:cs="Open Sans"/>
          <w:color w:val="000000"/>
          <w:sz w:val="20"/>
          <w:szCs w:val="20"/>
          <w:shd w:val="clear" w:color="auto" w:fill="FFFFFF"/>
        </w:rPr>
        <w:t>Tarcher</w:t>
      </w:r>
      <w:proofErr w:type="spellEnd"/>
      <w:r>
        <w:rPr>
          <w:rFonts w:ascii="Open Sans" w:hAnsi="Open Sans" w:cs="Open Sans"/>
          <w:color w:val="000000"/>
          <w:sz w:val="20"/>
          <w:szCs w:val="20"/>
          <w:shd w:val="clear" w:color="auto" w:fill="FFFFFF"/>
        </w:rPr>
        <w:t xml:space="preserve">, New </w:t>
      </w:r>
      <w:proofErr w:type="gramStart"/>
      <w:r>
        <w:rPr>
          <w:rFonts w:ascii="Open Sans" w:hAnsi="Open Sans" w:cs="Open Sans"/>
          <w:color w:val="000000"/>
          <w:sz w:val="20"/>
          <w:szCs w:val="20"/>
          <w:shd w:val="clear" w:color="auto" w:fill="FFFFFF"/>
        </w:rPr>
        <w:t>York,.</w:t>
      </w:r>
      <w:proofErr w:type="gramEnd"/>
    </w:p>
    <w:p w14:paraId="1E463556" w14:textId="77777777" w:rsidR="00E912E3" w:rsidRDefault="00E912E3" w:rsidP="00E912E3">
      <w:pPr>
        <w:pStyle w:val="NormalWeb"/>
        <w:ind w:left="567" w:hanging="567"/>
        <w:rPr>
          <w:rFonts w:ascii="Arial" w:hAnsi="Arial" w:cs="Arial"/>
        </w:rPr>
      </w:pPr>
    </w:p>
    <w:p w14:paraId="0678F5FE" w14:textId="77777777" w:rsidR="00E912E3" w:rsidRDefault="00E912E3" w:rsidP="00E912E3"/>
    <w:p w14:paraId="6981CB44" w14:textId="77777777" w:rsidR="00E912E3" w:rsidRDefault="00E912E3" w:rsidP="00E912E3"/>
    <w:p w14:paraId="335FE02C" w14:textId="77777777" w:rsidR="00E912E3" w:rsidRDefault="00E912E3" w:rsidP="00E912E3"/>
    <w:p w14:paraId="0027C41E" w14:textId="77777777" w:rsidR="00E912E3" w:rsidRDefault="00E912E3" w:rsidP="00E912E3">
      <w:r>
        <w:t xml:space="preserve">[4] </w:t>
      </w:r>
      <w:proofErr w:type="spellStart"/>
      <w:r>
        <w:rPr>
          <w:rFonts w:ascii="Open Sans" w:hAnsi="Open Sans" w:cs="Open Sans"/>
          <w:color w:val="000000"/>
          <w:sz w:val="20"/>
          <w:szCs w:val="20"/>
          <w:shd w:val="clear" w:color="auto" w:fill="FFFFFF"/>
        </w:rPr>
        <w:t>Trisnawati</w:t>
      </w:r>
      <w:proofErr w:type="spellEnd"/>
      <w:r>
        <w:rPr>
          <w:rFonts w:ascii="Open Sans" w:hAnsi="Open Sans" w:cs="Open Sans"/>
          <w:color w:val="000000"/>
          <w:sz w:val="20"/>
          <w:szCs w:val="20"/>
          <w:shd w:val="clear" w:color="auto" w:fill="FFFFFF"/>
        </w:rPr>
        <w:t xml:space="preserve">, T., R. </w:t>
      </w:r>
      <w:proofErr w:type="spellStart"/>
      <w:r>
        <w:rPr>
          <w:rFonts w:ascii="Open Sans" w:hAnsi="Open Sans" w:cs="Open Sans"/>
          <w:color w:val="000000"/>
          <w:sz w:val="20"/>
          <w:szCs w:val="20"/>
          <w:shd w:val="clear" w:color="auto" w:fill="FFFFFF"/>
        </w:rPr>
        <w:t>Pratiwi</w:t>
      </w:r>
      <w:proofErr w:type="spellEnd"/>
      <w:r>
        <w:rPr>
          <w:rFonts w:ascii="Open Sans" w:hAnsi="Open Sans" w:cs="Open Sans"/>
          <w:color w:val="000000"/>
          <w:sz w:val="20"/>
          <w:szCs w:val="20"/>
          <w:shd w:val="clear" w:color="auto" w:fill="FFFFFF"/>
        </w:rPr>
        <w:t xml:space="preserve">, and W. </w:t>
      </w:r>
      <w:proofErr w:type="spellStart"/>
      <w:r>
        <w:rPr>
          <w:rFonts w:ascii="Open Sans" w:hAnsi="Open Sans" w:cs="Open Sans"/>
          <w:color w:val="000000"/>
          <w:sz w:val="20"/>
          <w:szCs w:val="20"/>
          <w:shd w:val="clear" w:color="auto" w:fill="FFFFFF"/>
        </w:rPr>
        <w:t>Waziana</w:t>
      </w:r>
      <w:proofErr w:type="spellEnd"/>
      <w:r>
        <w:rPr>
          <w:rFonts w:ascii="Open Sans" w:hAnsi="Open Sans" w:cs="Open Sans"/>
          <w:color w:val="000000"/>
          <w:sz w:val="20"/>
          <w:szCs w:val="20"/>
          <w:shd w:val="clear" w:color="auto" w:fill="FFFFFF"/>
        </w:rPr>
        <w:t>, 2018: The effect of realistic mathematics education on student's mathematical communication ability. </w:t>
      </w:r>
      <w:proofErr w:type="spellStart"/>
      <w:r>
        <w:rPr>
          <w:rFonts w:ascii="Open Sans" w:hAnsi="Open Sans" w:cs="Open Sans"/>
          <w:i/>
          <w:iCs/>
          <w:color w:val="000000"/>
          <w:sz w:val="20"/>
          <w:szCs w:val="20"/>
          <w:shd w:val="clear" w:color="auto" w:fill="FFFFFF"/>
        </w:rPr>
        <w:t>Malikussaleh</w:t>
      </w:r>
      <w:proofErr w:type="spellEnd"/>
      <w:r>
        <w:rPr>
          <w:rFonts w:ascii="Open Sans" w:hAnsi="Open Sans" w:cs="Open Sans"/>
          <w:i/>
          <w:iCs/>
          <w:color w:val="000000"/>
          <w:sz w:val="20"/>
          <w:szCs w:val="20"/>
          <w:shd w:val="clear" w:color="auto" w:fill="FFFFFF"/>
        </w:rPr>
        <w:t xml:space="preserve"> Journal of Mathematics Learning (MJML)</w:t>
      </w:r>
      <w:r>
        <w:rPr>
          <w:rFonts w:ascii="Open Sans" w:hAnsi="Open Sans" w:cs="Open Sans"/>
          <w:color w:val="000000"/>
          <w:sz w:val="20"/>
          <w:szCs w:val="20"/>
          <w:shd w:val="clear" w:color="auto" w:fill="FFFFFF"/>
        </w:rPr>
        <w:t>, 1, 31, doi:10.29103/</w:t>
      </w:r>
      <w:proofErr w:type="gramStart"/>
      <w:r>
        <w:rPr>
          <w:rFonts w:ascii="Open Sans" w:hAnsi="Open Sans" w:cs="Open Sans"/>
          <w:color w:val="000000"/>
          <w:sz w:val="20"/>
          <w:szCs w:val="20"/>
          <w:shd w:val="clear" w:color="auto" w:fill="FFFFFF"/>
        </w:rPr>
        <w:t>mjml.v</w:t>
      </w:r>
      <w:proofErr w:type="gramEnd"/>
      <w:r>
        <w:rPr>
          <w:rFonts w:ascii="Open Sans" w:hAnsi="Open Sans" w:cs="Open Sans"/>
          <w:color w:val="000000"/>
          <w:sz w:val="20"/>
          <w:szCs w:val="20"/>
          <w:shd w:val="clear" w:color="auto" w:fill="FFFFFF"/>
        </w:rPr>
        <w:t xml:space="preserve">1i1.741. https://ojs.unimal.ac.id/index.php/mjml/article/view/741 </w:t>
      </w:r>
    </w:p>
    <w:p w14:paraId="109B54FE" w14:textId="77777777" w:rsidR="00E912E3" w:rsidRDefault="00E912E3" w:rsidP="00E912E3"/>
    <w:p w14:paraId="3218608E" w14:textId="77777777" w:rsidR="00E912E3" w:rsidRDefault="00E912E3" w:rsidP="00E912E3"/>
    <w:p w14:paraId="6C3CE5FB" w14:textId="77777777" w:rsidR="00E912E3" w:rsidRDefault="00E912E3" w:rsidP="00E912E3"/>
    <w:p w14:paraId="774FBBA7" w14:textId="77777777" w:rsidR="00E912E3" w:rsidRDefault="00E912E3" w:rsidP="00E912E3"/>
    <w:p w14:paraId="48DEDE0B" w14:textId="77777777" w:rsidR="00E912E3" w:rsidRDefault="00E912E3" w:rsidP="00E912E3"/>
    <w:p w14:paraId="28F926E3" w14:textId="77777777" w:rsidR="00E912E3" w:rsidRDefault="00E912E3" w:rsidP="00E912E3"/>
    <w:p w14:paraId="7955929A" w14:textId="77777777" w:rsidR="00E912E3" w:rsidRDefault="00E912E3" w:rsidP="00E912E3"/>
    <w:p w14:paraId="62E60A5D" w14:textId="77777777" w:rsidR="00E912E3" w:rsidRDefault="00E912E3" w:rsidP="00E912E3"/>
    <w:p w14:paraId="2E288BB2" w14:textId="77777777" w:rsidR="00E912E3" w:rsidRDefault="00E912E3" w:rsidP="00E912E3"/>
    <w:p w14:paraId="6483F372" w14:textId="77777777" w:rsidR="00E912E3" w:rsidRDefault="00E912E3" w:rsidP="00E912E3"/>
    <w:p w14:paraId="351F36B4" w14:textId="77777777" w:rsidR="00E912E3" w:rsidRDefault="00E912E3" w:rsidP="00E912E3"/>
    <w:p w14:paraId="09826C83" w14:textId="77777777" w:rsidR="00E912E3" w:rsidRDefault="00E912E3" w:rsidP="00E912E3">
      <w:r>
        <w:t>Cite in AMS</w:t>
      </w:r>
    </w:p>
    <w:p w14:paraId="6B899E40" w14:textId="77777777" w:rsidR="00E912E3" w:rsidRDefault="00E912E3" w:rsidP="00E912E3"/>
    <w:p w14:paraId="1988F417" w14:textId="77777777" w:rsidR="00E912E3" w:rsidRDefault="00E912E3" w:rsidP="00E912E3"/>
    <w:p w14:paraId="3608CD21" w14:textId="77777777" w:rsidR="00E912E3" w:rsidRDefault="00E912E3" w:rsidP="00E912E3"/>
    <w:p w14:paraId="0AB23C5D" w14:textId="77777777" w:rsidR="00E912E3" w:rsidRDefault="00E912E3" w:rsidP="00E912E3">
      <w:r>
        <w:t>Thoughts on teaching mathematics:</w:t>
      </w:r>
    </w:p>
    <w:p w14:paraId="72C2794C" w14:textId="77777777" w:rsidR="00E912E3" w:rsidRDefault="00E912E3" w:rsidP="00E912E3">
      <w:pPr>
        <w:pStyle w:val="ListParagraph"/>
        <w:numPr>
          <w:ilvl w:val="0"/>
          <w:numId w:val="2"/>
        </w:numPr>
      </w:pPr>
      <w:r>
        <w:t>Using a journal to communicate with students, individual and unique</w:t>
      </w:r>
    </w:p>
    <w:p w14:paraId="29B45DAF" w14:textId="77777777" w:rsidR="00E912E3" w:rsidRDefault="00E912E3" w:rsidP="00E912E3">
      <w:pPr>
        <w:pStyle w:val="ListParagraph"/>
        <w:numPr>
          <w:ilvl w:val="0"/>
          <w:numId w:val="2"/>
        </w:numPr>
      </w:pPr>
      <w:r>
        <w:t>Being able to do a colour code so that for each topic, they can say use a colour to say whether they need more help, and if majority of class needs help, to recap over specific topics</w:t>
      </w:r>
    </w:p>
    <w:p w14:paraId="077ACCD5" w14:textId="77777777" w:rsidR="00E912E3" w:rsidRDefault="00E912E3" w:rsidP="00E912E3"/>
    <w:p w14:paraId="0D10BB15" w14:textId="77777777" w:rsidR="00E912E3" w:rsidRDefault="00E912E3" w:rsidP="00E912E3"/>
    <w:p w14:paraId="55E5D4D7" w14:textId="77777777" w:rsidR="00E912E3" w:rsidRDefault="00E912E3" w:rsidP="00E912E3">
      <w:r>
        <w:t>Aim to have 8 – 12 references for every 1000 words</w:t>
      </w:r>
    </w:p>
    <w:p w14:paraId="6D232F7E" w14:textId="77777777" w:rsidR="00E912E3" w:rsidRDefault="00E912E3" w:rsidP="00E912E3"/>
    <w:p w14:paraId="79E1EA7C" w14:textId="77777777" w:rsidR="00E912E3" w:rsidRDefault="00E912E3" w:rsidP="00E912E3">
      <w:r>
        <w:t>5 – 20 depending on level. Honours dissertation: 20+ titles</w:t>
      </w:r>
    </w:p>
    <w:p w14:paraId="6AED7EAC" w14:textId="77777777" w:rsidR="00E912E3" w:rsidRDefault="00E912E3" w:rsidP="00E912E3"/>
    <w:p w14:paraId="34216E6B" w14:textId="77777777" w:rsidR="00E912E3" w:rsidRDefault="00E912E3" w:rsidP="00E912E3">
      <w:r>
        <w:t>Think about books for your dissertation since you seem to only have journals right now</w:t>
      </w:r>
    </w:p>
    <w:p w14:paraId="0195C1F0" w14:textId="77777777" w:rsidR="00E912E3" w:rsidRDefault="00E912E3" w:rsidP="00E912E3"/>
    <w:p w14:paraId="693DB71A" w14:textId="77777777" w:rsidR="00E912E3" w:rsidRDefault="00E912E3" w:rsidP="00E912E3"/>
    <w:p w14:paraId="7FA65302" w14:textId="77777777" w:rsidR="00E912E3" w:rsidRDefault="00E912E3" w:rsidP="00E912E3">
      <w:r>
        <w:t>36 hours</w:t>
      </w:r>
    </w:p>
    <w:p w14:paraId="68F6E60E" w14:textId="0323C069" w:rsidR="00686C20" w:rsidRPr="00E912E3" w:rsidRDefault="00686C20" w:rsidP="00E912E3"/>
    <w:sectPr w:rsidR="00686C20" w:rsidRPr="00E912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Nowacki (Student)" w:date="2022-04-13T23:06:00Z" w:initials="NN(">
    <w:p w14:paraId="2ACB74FB" w14:textId="77777777" w:rsidR="00E912E3" w:rsidRDefault="00E912E3" w:rsidP="00E912E3">
      <w:pPr>
        <w:pStyle w:val="CommentText"/>
      </w:pPr>
      <w:r>
        <w:rPr>
          <w:rStyle w:val="CommentReference"/>
        </w:rPr>
        <w:annotationRef/>
      </w:r>
      <w:r>
        <w:t>and</w:t>
      </w:r>
    </w:p>
  </w:comment>
  <w:comment w:id="1" w:author="Nathan Nowacki (Student)" w:date="2022-04-13T23:07:00Z" w:initials="NN(">
    <w:p w14:paraId="5A538165" w14:textId="77777777" w:rsidR="00E912E3" w:rsidRDefault="00E912E3" w:rsidP="00E912E3">
      <w:pPr>
        <w:pStyle w:val="CommentText"/>
      </w:pPr>
      <w:r>
        <w:rPr>
          <w:rStyle w:val="CommentReference"/>
        </w:rPr>
        <w:annotationRef/>
      </w:r>
      <w:r>
        <w:t xml:space="preserve">Reference when </w:t>
      </w:r>
      <w:proofErr w:type="gramStart"/>
      <w:r>
        <w:t>specifically</w:t>
      </w:r>
      <w:proofErr w:type="gramEnd"/>
      <w:r>
        <w:t xml:space="preserve"> or use a different term if referring to the past in general</w:t>
      </w:r>
    </w:p>
  </w:comment>
  <w:comment w:id="2" w:author="Nathan Nowacki (Student)" w:date="2022-04-13T23:07:00Z" w:initials="NN(">
    <w:p w14:paraId="5097F315" w14:textId="77777777" w:rsidR="00E912E3" w:rsidRDefault="00E912E3" w:rsidP="00E912E3">
      <w:pPr>
        <w:pStyle w:val="CommentText"/>
      </w:pPr>
      <w:r>
        <w:rPr>
          <w:rStyle w:val="CommentReference"/>
        </w:rPr>
        <w:annotationRef/>
      </w:r>
      <w:r>
        <w:t>comma</w:t>
      </w:r>
    </w:p>
  </w:comment>
  <w:comment w:id="3" w:author="Nathan Nowacki (Student)" w:date="2022-04-13T23:08:00Z" w:initials="NN(">
    <w:p w14:paraId="70553BFA" w14:textId="77777777" w:rsidR="00E912E3" w:rsidRDefault="00E912E3" w:rsidP="00E912E3">
      <w:pPr>
        <w:pStyle w:val="CommentText"/>
      </w:pPr>
      <w:r>
        <w:rPr>
          <w:rStyle w:val="CommentReference"/>
        </w:rPr>
        <w:annotationRef/>
      </w:r>
      <w:r>
        <w:t>Doesn't read well to me</w:t>
      </w:r>
    </w:p>
  </w:comment>
  <w:comment w:id="4" w:author="Nathan Nowacki (Student)" w:date="2022-04-13T23:09:00Z" w:initials="NN(">
    <w:p w14:paraId="10EACD60" w14:textId="77777777" w:rsidR="00E912E3" w:rsidRDefault="00E912E3" w:rsidP="00E912E3">
      <w:pPr>
        <w:pStyle w:val="CommentText"/>
      </w:pPr>
      <w:r>
        <w:rPr>
          <w:rStyle w:val="CommentReference"/>
        </w:rPr>
        <w:annotationRef/>
      </w:r>
      <w:r>
        <w:t>enabled</w:t>
      </w:r>
    </w:p>
  </w:comment>
  <w:comment w:id="5" w:author="Nathan Nowacki (Student)" w:date="2022-04-13T23:11:00Z" w:initials="NN(">
    <w:p w14:paraId="1AD5908D" w14:textId="77777777" w:rsidR="00E912E3" w:rsidRDefault="00E912E3" w:rsidP="00E912E3">
      <w:pPr>
        <w:pStyle w:val="CommentText"/>
      </w:pPr>
      <w:r>
        <w:rPr>
          <w:rStyle w:val="CommentReference"/>
        </w:rPr>
        <w:annotationRef/>
      </w:r>
      <w:r>
        <w:t>What are you using this in place of? A comma, semi-colon?</w:t>
      </w:r>
    </w:p>
  </w:comment>
  <w:comment w:id="6" w:author="Nathan Nowacki (Student)" w:date="2022-04-13T23:15:00Z" w:initials="NN(">
    <w:p w14:paraId="0E173F4D" w14:textId="77777777" w:rsidR="00E912E3" w:rsidRDefault="00E912E3" w:rsidP="00E912E3">
      <w:pPr>
        <w:pStyle w:val="CommentText"/>
      </w:pPr>
      <w:r>
        <w:rPr>
          <w:rStyle w:val="CommentReference"/>
        </w:rPr>
        <w:annotationRef/>
      </w:r>
      <w:r>
        <w:t>Logical what?</w:t>
      </w:r>
    </w:p>
  </w:comment>
  <w:comment w:id="7" w:author="Nathan Nowacki (Student)" w:date="2022-04-13T23:16:00Z" w:initials="NN(">
    <w:p w14:paraId="2CE42ACA" w14:textId="77777777" w:rsidR="00E912E3" w:rsidRDefault="00E912E3" w:rsidP="00E912E3">
      <w:pPr>
        <w:pStyle w:val="CommentText"/>
      </w:pPr>
      <w:r>
        <w:rPr>
          <w:rStyle w:val="CommentReference"/>
        </w:rPr>
        <w:annotationRef/>
      </w:r>
      <w:r>
        <w:t>Why is this quoted</w:t>
      </w:r>
    </w:p>
  </w:comment>
  <w:comment w:id="8" w:author="Nathan Nowacki (Student)" w:date="2022-04-13T23:17:00Z" w:initials="NN(">
    <w:p w14:paraId="484A5B9A" w14:textId="77777777" w:rsidR="00E912E3" w:rsidRDefault="00E912E3" w:rsidP="00E912E3">
      <w:pPr>
        <w:pStyle w:val="CommentText"/>
      </w:pPr>
      <w:r>
        <w:rPr>
          <w:rStyle w:val="CommentReference"/>
        </w:rPr>
        <w:annotationRef/>
      </w:r>
      <w:r>
        <w:t>since</w:t>
      </w:r>
    </w:p>
  </w:comment>
  <w:comment w:id="9" w:author="Nathan Nowacki (Student)" w:date="2022-04-13T23:19:00Z" w:initials="NN(">
    <w:p w14:paraId="67A90314" w14:textId="77777777" w:rsidR="00E912E3" w:rsidRDefault="00E912E3" w:rsidP="00E912E3">
      <w:pPr>
        <w:pStyle w:val="CommentText"/>
      </w:pPr>
      <w:r>
        <w:rPr>
          <w:rStyle w:val="CommentReference"/>
        </w:rPr>
        <w:annotationRef/>
      </w:r>
      <w:r>
        <w:t>Still might need to state who this is within the text</w:t>
      </w:r>
    </w:p>
  </w:comment>
  <w:comment w:id="10" w:author="Nathan Nowacki (Student)" w:date="2022-04-13T23:20:00Z" w:initials="NN(">
    <w:p w14:paraId="59E7F1D4" w14:textId="77777777" w:rsidR="00E912E3" w:rsidRDefault="00E912E3" w:rsidP="00E912E3">
      <w:pPr>
        <w:pStyle w:val="CommentText"/>
      </w:pPr>
      <w:r>
        <w:rPr>
          <w:rStyle w:val="CommentReference"/>
        </w:rPr>
        <w:annotationRef/>
      </w:r>
      <w:r>
        <w:t>and</w:t>
      </w:r>
    </w:p>
  </w:comment>
  <w:comment w:id="11" w:author="Nathan Nowacki (Student)" w:date="2022-04-13T23:20:00Z" w:initials="NN(">
    <w:p w14:paraId="32352A82" w14:textId="77777777" w:rsidR="00E912E3" w:rsidRDefault="00E912E3" w:rsidP="00E912E3">
      <w:pPr>
        <w:pStyle w:val="CommentText"/>
      </w:pPr>
      <w:r>
        <w:rPr>
          <w:rStyle w:val="CommentReference"/>
        </w:rPr>
        <w:annotationRef/>
      </w:r>
      <w:r>
        <w:t>comma</w:t>
      </w:r>
    </w:p>
  </w:comment>
  <w:comment w:id="12" w:author="Nathan Nowacki (Student)" w:date="2022-04-13T23:22:00Z" w:initials="NN(">
    <w:p w14:paraId="3CAC848F" w14:textId="77777777" w:rsidR="00E912E3" w:rsidRDefault="00E912E3" w:rsidP="00E912E3">
      <w:pPr>
        <w:pStyle w:val="CommentText"/>
      </w:pPr>
      <w:r>
        <w:rPr>
          <w:rStyle w:val="CommentReference"/>
        </w:rPr>
        <w:annotationRef/>
      </w:r>
      <w:r>
        <w:t>Need to be in quotations?</w:t>
      </w:r>
    </w:p>
  </w:comment>
  <w:comment w:id="13" w:author="Nathan Nowacki (Student)" w:date="2022-04-13T23:23:00Z" w:initials="NN(">
    <w:p w14:paraId="416638CB" w14:textId="77777777" w:rsidR="00E912E3" w:rsidRDefault="00E912E3" w:rsidP="00E912E3">
      <w:pPr>
        <w:pStyle w:val="CommentText"/>
      </w:pPr>
      <w:r>
        <w:rPr>
          <w:rStyle w:val="CommentReference"/>
        </w:rPr>
        <w:annotationRef/>
      </w:r>
      <w:r>
        <w:t xml:space="preserve">Do the other references like this, me </w:t>
      </w:r>
      <w:proofErr w:type="spellStart"/>
      <w:proofErr w:type="gramStart"/>
      <w:r>
        <w:t>likey</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CB74FB" w15:done="0"/>
  <w15:commentEx w15:paraId="5A538165" w15:done="0"/>
  <w15:commentEx w15:paraId="5097F315" w15:done="0"/>
  <w15:commentEx w15:paraId="70553BFA" w15:done="0"/>
  <w15:commentEx w15:paraId="10EACD60" w15:done="0"/>
  <w15:commentEx w15:paraId="1AD5908D" w15:done="0"/>
  <w15:commentEx w15:paraId="0E173F4D" w15:done="1"/>
  <w15:commentEx w15:paraId="2CE42ACA" w15:done="1"/>
  <w15:commentEx w15:paraId="484A5B9A" w15:done="1"/>
  <w15:commentEx w15:paraId="67A90314" w15:done="1"/>
  <w15:commentEx w15:paraId="59E7F1D4" w15:done="1"/>
  <w15:commentEx w15:paraId="32352A82" w15:done="1"/>
  <w15:commentEx w15:paraId="3CAC848F" w15:done="0"/>
  <w15:commentEx w15:paraId="416638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08B6" w16cex:dateUtc="2022-04-14T01:43:00Z"/>
  <w16cex:commentExtensible w16cex:durableId="260208B7" w16cex:dateUtc="2022-04-14T01:43:00Z"/>
  <w16cex:commentExtensible w16cex:durableId="260208B8" w16cex:dateUtc="2022-04-14T01:43:00Z"/>
  <w16cex:commentExtensible w16cex:durableId="260208B9" w16cex:dateUtc="2022-04-14T01:43:00Z"/>
  <w16cex:commentExtensible w16cex:durableId="260208BA" w16cex:dateUtc="2022-04-14T01:43:00Z"/>
  <w16cex:commentExtensible w16cex:durableId="260208BB" w16cex:dateUtc="2022-04-14T01:43:00Z"/>
  <w16cex:commentExtensible w16cex:durableId="260208BC" w16cex:dateUtc="2022-04-14T01:43:00Z"/>
  <w16cex:commentExtensible w16cex:durableId="260208BD" w16cex:dateUtc="2022-04-14T01:43:00Z"/>
  <w16cex:commentExtensible w16cex:durableId="260208BE" w16cex:dateUtc="2022-04-14T01:43:00Z"/>
  <w16cex:commentExtensible w16cex:durableId="260208BF" w16cex:dateUtc="2022-04-14T01:43:00Z"/>
  <w16cex:commentExtensible w16cex:durableId="260208C0" w16cex:dateUtc="2022-04-14T01:43:00Z"/>
  <w16cex:commentExtensible w16cex:durableId="260208C1" w16cex:dateUtc="2022-04-14T01:43:00Z"/>
  <w16cex:commentExtensible w16cex:durableId="260208C2" w16cex:dateUtc="2022-04-14T01:43:00Z"/>
  <w16cex:commentExtensible w16cex:durableId="260208C3" w16cex:dateUtc="2022-04-14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CB74FB" w16cid:durableId="260208B6"/>
  <w16cid:commentId w16cid:paraId="5A538165" w16cid:durableId="260208B7"/>
  <w16cid:commentId w16cid:paraId="5097F315" w16cid:durableId="260208B8"/>
  <w16cid:commentId w16cid:paraId="70553BFA" w16cid:durableId="260208B9"/>
  <w16cid:commentId w16cid:paraId="10EACD60" w16cid:durableId="260208BA"/>
  <w16cid:commentId w16cid:paraId="1AD5908D" w16cid:durableId="260208BB"/>
  <w16cid:commentId w16cid:paraId="0E173F4D" w16cid:durableId="260208BC"/>
  <w16cid:commentId w16cid:paraId="2CE42ACA" w16cid:durableId="260208BD"/>
  <w16cid:commentId w16cid:paraId="484A5B9A" w16cid:durableId="260208BE"/>
  <w16cid:commentId w16cid:paraId="67A90314" w16cid:durableId="260208BF"/>
  <w16cid:commentId w16cid:paraId="59E7F1D4" w16cid:durableId="260208C0"/>
  <w16cid:commentId w16cid:paraId="32352A82" w16cid:durableId="260208C1"/>
  <w16cid:commentId w16cid:paraId="3CAC848F" w16cid:durableId="260208C2"/>
  <w16cid:commentId w16cid:paraId="416638CB" w16cid:durableId="26020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B7B"/>
    <w:multiLevelType w:val="hybridMultilevel"/>
    <w:tmpl w:val="B054FD84"/>
    <w:lvl w:ilvl="0" w:tplc="335821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Nowacki (Student)">
    <w15:presenceInfo w15:providerId="AD" w15:userId="S::Nathan2.Nowacki@live.uwe.ac.uk::be38dc4e-65c7-497c-ba5e-10d076552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002A4"/>
    <w:rsid w:val="00061792"/>
    <w:rsid w:val="000C506F"/>
    <w:rsid w:val="000E0EA7"/>
    <w:rsid w:val="001011C3"/>
    <w:rsid w:val="001263B1"/>
    <w:rsid w:val="00171E86"/>
    <w:rsid w:val="0018395B"/>
    <w:rsid w:val="00213C27"/>
    <w:rsid w:val="0022418A"/>
    <w:rsid w:val="00294B81"/>
    <w:rsid w:val="003112C1"/>
    <w:rsid w:val="0031684B"/>
    <w:rsid w:val="003E1BA2"/>
    <w:rsid w:val="00470CAB"/>
    <w:rsid w:val="0056218A"/>
    <w:rsid w:val="00607457"/>
    <w:rsid w:val="00677C25"/>
    <w:rsid w:val="00686C20"/>
    <w:rsid w:val="006C1FF0"/>
    <w:rsid w:val="0072340F"/>
    <w:rsid w:val="00754DA8"/>
    <w:rsid w:val="00824622"/>
    <w:rsid w:val="00824AC2"/>
    <w:rsid w:val="0084415B"/>
    <w:rsid w:val="00853E26"/>
    <w:rsid w:val="008E685E"/>
    <w:rsid w:val="00962731"/>
    <w:rsid w:val="00990BF3"/>
    <w:rsid w:val="00A06B7D"/>
    <w:rsid w:val="00AC4471"/>
    <w:rsid w:val="00AF7BC5"/>
    <w:rsid w:val="00B405C8"/>
    <w:rsid w:val="00CF6F74"/>
    <w:rsid w:val="00D364E9"/>
    <w:rsid w:val="00D41FA5"/>
    <w:rsid w:val="00D45F04"/>
    <w:rsid w:val="00D71CD9"/>
    <w:rsid w:val="00DA2081"/>
    <w:rsid w:val="00DB74F2"/>
    <w:rsid w:val="00E1662C"/>
    <w:rsid w:val="00E763D7"/>
    <w:rsid w:val="00E912E3"/>
    <w:rsid w:val="00EC0F35"/>
    <w:rsid w:val="00EC11E6"/>
    <w:rsid w:val="00F23A12"/>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2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style>
  <w:style w:type="paragraph" w:styleId="ListParagraph">
    <w:name w:val="List Paragraph"/>
    <w:basedOn w:val="Normal"/>
    <w:uiPriority w:val="34"/>
    <w:qFormat/>
    <w:rsid w:val="000002A4"/>
    <w:pPr>
      <w:ind w:left="720"/>
      <w:contextualSpacing/>
    </w:pPr>
  </w:style>
  <w:style w:type="character" w:styleId="UnresolvedMention">
    <w:name w:val="Unresolved Mention"/>
    <w:basedOn w:val="DefaultParagraphFont"/>
    <w:uiPriority w:val="99"/>
    <w:semiHidden/>
    <w:unhideWhenUsed/>
    <w:rsid w:val="00962731"/>
    <w:rPr>
      <w:color w:val="605E5C"/>
      <w:shd w:val="clear" w:color="auto" w:fill="E1DFDD"/>
    </w:rPr>
  </w:style>
  <w:style w:type="paragraph" w:styleId="CommentText">
    <w:name w:val="annotation text"/>
    <w:basedOn w:val="Normal"/>
    <w:link w:val="CommentTextChar"/>
    <w:uiPriority w:val="99"/>
    <w:semiHidden/>
    <w:unhideWhenUsed/>
    <w:rsid w:val="00E912E3"/>
    <w:rPr>
      <w:sz w:val="20"/>
      <w:szCs w:val="20"/>
    </w:rPr>
  </w:style>
  <w:style w:type="character" w:customStyle="1" w:styleId="CommentTextChar">
    <w:name w:val="Comment Text Char"/>
    <w:basedOn w:val="DefaultParagraphFont"/>
    <w:link w:val="CommentText"/>
    <w:uiPriority w:val="99"/>
    <w:semiHidden/>
    <w:rsid w:val="00E912E3"/>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unhideWhenUsed/>
    <w:rsid w:val="00E912E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874">
      <w:bodyDiv w:val="1"/>
      <w:marLeft w:val="0"/>
      <w:marRight w:val="0"/>
      <w:marTop w:val="0"/>
      <w:marBottom w:val="0"/>
      <w:divBdr>
        <w:top w:val="none" w:sz="0" w:space="0" w:color="auto"/>
        <w:left w:val="none" w:sz="0" w:space="0" w:color="auto"/>
        <w:bottom w:val="none" w:sz="0" w:space="0" w:color="auto"/>
        <w:right w:val="none" w:sz="0" w:space="0" w:color="auto"/>
      </w:divBdr>
    </w:div>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33360726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285961920">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 w:id="1435975831">
      <w:bodyDiv w:val="1"/>
      <w:marLeft w:val="0"/>
      <w:marRight w:val="0"/>
      <w:marTop w:val="0"/>
      <w:marBottom w:val="0"/>
      <w:divBdr>
        <w:top w:val="none" w:sz="0" w:space="0" w:color="auto"/>
        <w:left w:val="none" w:sz="0" w:space="0" w:color="auto"/>
        <w:bottom w:val="none" w:sz="0" w:space="0" w:color="auto"/>
        <w:right w:val="none" w:sz="0" w:space="0" w:color="auto"/>
      </w:divBdr>
    </w:div>
    <w:div w:id="1555003159">
      <w:bodyDiv w:val="1"/>
      <w:marLeft w:val="0"/>
      <w:marRight w:val="0"/>
      <w:marTop w:val="0"/>
      <w:marBottom w:val="0"/>
      <w:divBdr>
        <w:top w:val="none" w:sz="0" w:space="0" w:color="auto"/>
        <w:left w:val="none" w:sz="0" w:space="0" w:color="auto"/>
        <w:bottom w:val="none" w:sz="0" w:space="0" w:color="auto"/>
        <w:right w:val="none" w:sz="0" w:space="0" w:color="auto"/>
      </w:divBdr>
    </w:div>
    <w:div w:id="1655986835">
      <w:bodyDiv w:val="1"/>
      <w:marLeft w:val="0"/>
      <w:marRight w:val="0"/>
      <w:marTop w:val="0"/>
      <w:marBottom w:val="0"/>
      <w:divBdr>
        <w:top w:val="none" w:sz="0" w:space="0" w:color="auto"/>
        <w:left w:val="none" w:sz="0" w:space="0" w:color="auto"/>
        <w:bottom w:val="none" w:sz="0" w:space="0" w:color="auto"/>
        <w:right w:val="none" w:sz="0" w:space="0" w:color="auto"/>
      </w:divBdr>
    </w:div>
    <w:div w:id="1959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07/bf003156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encyclopedi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ncyclopedia.com/science/encyclopedias-almanacs-transcripts-and-maps/mathematics-communication-and-communit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4</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18</cp:revision>
  <dcterms:created xsi:type="dcterms:W3CDTF">2022-01-24T14:28:00Z</dcterms:created>
  <dcterms:modified xsi:type="dcterms:W3CDTF">2022-04-14T04:59:00Z</dcterms:modified>
</cp:coreProperties>
</file>