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BEB9" w14:textId="77777777" w:rsidR="00281458" w:rsidRPr="00B56155" w:rsidRDefault="00281458" w:rsidP="00281458">
      <w:pPr>
        <w:spacing w:after="0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B56155">
        <w:rPr>
          <w:rFonts w:ascii="Arial" w:hAnsi="Arial" w:cs="Arial"/>
          <w:b/>
          <w:bCs/>
          <w:sz w:val="20"/>
          <w:szCs w:val="20"/>
          <w:lang w:val="en-US"/>
        </w:rPr>
        <w:t>Financial KPI Dashboard Analysis</w:t>
      </w:r>
    </w:p>
    <w:p w14:paraId="3B872F27" w14:textId="12FF6D44" w:rsidR="00281458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B56155">
        <w:rPr>
          <w:rFonts w:ascii="Arial" w:hAnsi="Arial" w:cs="Arial"/>
          <w:b/>
          <w:bCs/>
          <w:sz w:val="20"/>
          <w:szCs w:val="20"/>
          <w:lang w:val="en-US"/>
        </w:rPr>
        <w:t>Overview</w:t>
      </w:r>
    </w:p>
    <w:p w14:paraId="65897DF8" w14:textId="398E4ED8" w:rsidR="00281458" w:rsidRPr="00281458" w:rsidRDefault="00281458" w:rsidP="00281458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281458">
        <w:rPr>
          <w:rFonts w:ascii="Arial" w:hAnsi="Arial" w:cs="Arial"/>
          <w:sz w:val="20"/>
          <w:szCs w:val="20"/>
          <w:lang w:val="en-US"/>
        </w:rPr>
        <w:t>This project analyzes the financial performance of Grupo Bimbo using key financial statements and ratios. The objective is to evaluate profitability, liquidity, leverage, and growth trends over time</w:t>
      </w:r>
      <w:r>
        <w:rPr>
          <w:rFonts w:ascii="Arial" w:hAnsi="Arial" w:cs="Arial"/>
          <w:sz w:val="20"/>
          <w:szCs w:val="20"/>
          <w:lang w:val="en-US"/>
        </w:rPr>
        <w:t xml:space="preserve"> (2022-2024)</w:t>
      </w:r>
      <w:r w:rsidRPr="00281458">
        <w:rPr>
          <w:rFonts w:ascii="Arial" w:hAnsi="Arial" w:cs="Arial"/>
          <w:sz w:val="20"/>
          <w:szCs w:val="20"/>
          <w:lang w:val="en-US"/>
        </w:rPr>
        <w:t xml:space="preserve"> to assess the company’s overall financial health and identify potential risks and opportunities.</w:t>
      </w:r>
    </w:p>
    <w:p w14:paraId="4C28B473" w14:textId="77777777" w:rsidR="00281458" w:rsidRPr="00281458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281458">
        <w:rPr>
          <w:rFonts w:ascii="Arial" w:hAnsi="Arial" w:cs="Arial"/>
          <w:b/>
          <w:bCs/>
          <w:sz w:val="20"/>
          <w:szCs w:val="20"/>
          <w:lang w:val="en-US"/>
        </w:rPr>
        <w:t>Key Insights</w:t>
      </w:r>
    </w:p>
    <w:p w14:paraId="509F6BFB" w14:textId="77777777" w:rsidR="00281458" w:rsidRPr="00281458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281458">
        <w:rPr>
          <w:rFonts w:ascii="Arial" w:hAnsi="Arial" w:cs="Arial"/>
          <w:b/>
          <w:bCs/>
          <w:sz w:val="20"/>
          <w:szCs w:val="20"/>
          <w:lang w:val="en-US"/>
        </w:rPr>
        <w:t>Financial Performance</w:t>
      </w:r>
    </w:p>
    <w:p w14:paraId="23CC098C" w14:textId="77777777" w:rsidR="00281458" w:rsidRDefault="00281458" w:rsidP="00281458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>G</w:t>
      </w:r>
      <w:r w:rsidRPr="00281458">
        <w:rPr>
          <w:rFonts w:ascii="Arial" w:hAnsi="Arial" w:cs="Arial"/>
          <w:sz w:val="18"/>
          <w:szCs w:val="18"/>
          <w:lang w:val="en-US"/>
        </w:rPr>
        <w:t>ross margin remained relatively stable, indicating consistent core operations.</w:t>
      </w:r>
    </w:p>
    <w:p w14:paraId="6E7D1B82" w14:textId="77777777" w:rsidR="00281458" w:rsidRDefault="00281458" w:rsidP="00281458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>Operating and net margins declined over time, reflecting increasing operational and financial pressures.</w:t>
      </w:r>
    </w:p>
    <w:p w14:paraId="4D4706C8" w14:textId="62BC57B1" w:rsidR="00281458" w:rsidRPr="00281458" w:rsidRDefault="00281458" w:rsidP="00281458">
      <w:p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b/>
          <w:bCs/>
          <w:sz w:val="20"/>
          <w:szCs w:val="20"/>
          <w:lang w:val="en-US"/>
        </w:rPr>
        <w:t>Expenses Analysis</w:t>
      </w:r>
    </w:p>
    <w:p w14:paraId="096B5361" w14:textId="77777777" w:rsidR="00281458" w:rsidRDefault="00281458" w:rsidP="00281458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>Increasing pressure on operating and financial costs contributed to the decline in profitability.</w:t>
      </w:r>
    </w:p>
    <w:p w14:paraId="3FC9F2FF" w14:textId="21C8FBB8" w:rsidR="00281458" w:rsidRDefault="00281458" w:rsidP="00281458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 xml:space="preserve">Higher expenses reduced operating income and </w:t>
      </w:r>
      <w:r w:rsidRPr="00281458">
        <w:rPr>
          <w:rFonts w:ascii="Arial" w:hAnsi="Arial" w:cs="Arial"/>
          <w:sz w:val="18"/>
          <w:szCs w:val="18"/>
          <w:lang w:val="en-US"/>
        </w:rPr>
        <w:t>impacted on</w:t>
      </w:r>
      <w:r w:rsidRPr="00281458">
        <w:rPr>
          <w:rFonts w:ascii="Arial" w:hAnsi="Arial" w:cs="Arial"/>
          <w:sz w:val="18"/>
          <w:szCs w:val="18"/>
          <w:lang w:val="en-US"/>
        </w:rPr>
        <w:t xml:space="preserve"> net margins.</w:t>
      </w:r>
    </w:p>
    <w:p w14:paraId="348BAC91" w14:textId="30B69329" w:rsidR="00281458" w:rsidRPr="00281458" w:rsidRDefault="00281458" w:rsidP="00281458">
      <w:p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b/>
          <w:bCs/>
          <w:sz w:val="20"/>
          <w:szCs w:val="20"/>
          <w:lang w:val="en-US"/>
        </w:rPr>
        <w:t>Trends &amp; Variability</w:t>
      </w:r>
    </w:p>
    <w:p w14:paraId="5E2E6020" w14:textId="77777777" w:rsidR="00281458" w:rsidRDefault="00281458" w:rsidP="00281458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>Financial performance shows a downward trend in profitability metrics over time.</w:t>
      </w:r>
    </w:p>
    <w:p w14:paraId="0FE4FCC6" w14:textId="177E2A6D" w:rsidR="00281458" w:rsidRPr="00281458" w:rsidRDefault="00281458" w:rsidP="00281458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>Revenue growth remains stable but without significant acceleration.</w:t>
      </w:r>
    </w:p>
    <w:p w14:paraId="4A7F9257" w14:textId="342AA53C" w:rsidR="00281458" w:rsidRPr="00281458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281458">
        <w:rPr>
          <w:rFonts w:ascii="Arial" w:hAnsi="Arial" w:cs="Arial"/>
          <w:b/>
          <w:bCs/>
          <w:sz w:val="20"/>
          <w:szCs w:val="20"/>
          <w:lang w:val="en-US"/>
        </w:rPr>
        <w:t>Operational Insights</w:t>
      </w:r>
    </w:p>
    <w:p w14:paraId="385FB11E" w14:textId="77777777" w:rsidR="00281458" w:rsidRPr="00281458" w:rsidRDefault="00281458" w:rsidP="00281458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281458">
        <w:rPr>
          <w:rFonts w:ascii="Arial" w:hAnsi="Arial" w:cs="Arial"/>
          <w:sz w:val="18"/>
          <w:szCs w:val="18"/>
          <w:lang w:val="en-US"/>
        </w:rPr>
        <w:t>Increased reliance on debt may be affecting long-term sustainability.</w:t>
      </w:r>
    </w:p>
    <w:p w14:paraId="0A126998" w14:textId="23710254" w:rsidR="00281458" w:rsidRPr="00281458" w:rsidRDefault="00281458" w:rsidP="00281458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281458">
        <w:rPr>
          <w:rFonts w:ascii="Arial" w:hAnsi="Arial" w:cs="Arial"/>
          <w:sz w:val="20"/>
          <w:szCs w:val="20"/>
          <w:lang w:val="en-US"/>
        </w:rPr>
        <w:t>The company maintains stable core operations, as shown by consistent gross margins.</w:t>
      </w:r>
    </w:p>
    <w:p w14:paraId="3C1C506E" w14:textId="21E063C1" w:rsidR="00281458" w:rsidRPr="00281458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281458">
        <w:rPr>
          <w:rFonts w:ascii="Arial" w:hAnsi="Arial" w:cs="Arial"/>
          <w:b/>
          <w:bCs/>
          <w:sz w:val="20"/>
          <w:szCs w:val="20"/>
          <w:lang w:val="en-US"/>
        </w:rPr>
        <w:t>Key Metrics</w:t>
      </w:r>
    </w:p>
    <w:p w14:paraId="5CCE26D5" w14:textId="7B57A567" w:rsidR="00281458" w:rsidRPr="00281458" w:rsidRDefault="00281458" w:rsidP="0028145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</w:pPr>
      <w:r w:rsidRPr="00281458"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  <w:t>Current Ratio</w:t>
      </w:r>
    </w:p>
    <w:p w14:paraId="6BB49B02" w14:textId="157EC3A1" w:rsidR="00281458" w:rsidRPr="00281458" w:rsidRDefault="00281458" w:rsidP="0028145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</w:pPr>
      <w:r w:rsidRPr="00281458"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  <w:t>Debt to Equity</w:t>
      </w:r>
    </w:p>
    <w:p w14:paraId="0AAB8F92" w14:textId="6E19B282" w:rsidR="00281458" w:rsidRPr="00281458" w:rsidRDefault="00281458" w:rsidP="0028145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</w:pPr>
      <w:r w:rsidRPr="00281458"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  <w:t>Gross Margin</w:t>
      </w:r>
    </w:p>
    <w:p w14:paraId="72AF809E" w14:textId="73D6E256" w:rsidR="00281458" w:rsidRPr="00281458" w:rsidRDefault="00281458" w:rsidP="0028145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</w:pPr>
      <w:r w:rsidRPr="00281458"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  <w:t>Operating Margin</w:t>
      </w:r>
    </w:p>
    <w:p w14:paraId="51E63086" w14:textId="43A3E241" w:rsidR="00281458" w:rsidRPr="00281458" w:rsidRDefault="00281458" w:rsidP="0028145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</w:pPr>
      <w:r w:rsidRPr="00281458">
        <w:rPr>
          <w:rFonts w:ascii="Arial" w:eastAsia="Times New Roman" w:hAnsi="Arial" w:cs="Arial"/>
          <w:kern w:val="0"/>
          <w:sz w:val="18"/>
          <w:szCs w:val="18"/>
          <w:lang w:val="en-US" w:eastAsia="es-MX"/>
          <w14:ligatures w14:val="none"/>
        </w:rPr>
        <w:t>Net Margin</w:t>
      </w:r>
    </w:p>
    <w:p w14:paraId="06E059BA" w14:textId="66F88C21" w:rsidR="00281458" w:rsidRPr="00281458" w:rsidRDefault="00281458" w:rsidP="00281458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s-MX"/>
          <w14:ligatures w14:val="none"/>
        </w:rPr>
      </w:pPr>
      <w:r w:rsidRPr="00281458">
        <w:rPr>
          <w:rFonts w:ascii="Arial" w:eastAsia="Times New Roman" w:hAnsi="Arial" w:cs="Arial"/>
          <w:kern w:val="0"/>
          <w:sz w:val="18"/>
          <w:szCs w:val="18"/>
          <w:lang w:eastAsia="es-MX"/>
          <w14:ligatures w14:val="none"/>
        </w:rPr>
        <w:t>ROA</w:t>
      </w:r>
    </w:p>
    <w:p w14:paraId="2546644E" w14:textId="70DB8188" w:rsidR="00281458" w:rsidRPr="00281458" w:rsidRDefault="00281458" w:rsidP="00281458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proofErr w:type="spellStart"/>
      <w:r w:rsidRPr="00281458">
        <w:rPr>
          <w:rFonts w:ascii="Arial" w:eastAsia="Times New Roman" w:hAnsi="Arial" w:cs="Arial"/>
          <w:kern w:val="0"/>
          <w:sz w:val="18"/>
          <w:szCs w:val="18"/>
          <w:lang w:eastAsia="es-MX"/>
          <w14:ligatures w14:val="none"/>
        </w:rPr>
        <w:t>Revenue</w:t>
      </w:r>
      <w:proofErr w:type="spellEnd"/>
      <w:r w:rsidRPr="00281458">
        <w:rPr>
          <w:rFonts w:ascii="Arial" w:eastAsia="Times New Roman" w:hAnsi="Arial" w:cs="Arial"/>
          <w:kern w:val="0"/>
          <w:sz w:val="18"/>
          <w:szCs w:val="18"/>
          <w:lang w:eastAsia="es-MX"/>
          <w14:ligatures w14:val="none"/>
        </w:rPr>
        <w:t xml:space="preserve"> </w:t>
      </w:r>
      <w:proofErr w:type="spellStart"/>
      <w:r w:rsidRPr="00281458">
        <w:rPr>
          <w:rFonts w:ascii="Arial" w:eastAsia="Times New Roman" w:hAnsi="Arial" w:cs="Arial"/>
          <w:kern w:val="0"/>
          <w:sz w:val="18"/>
          <w:szCs w:val="18"/>
          <w:lang w:eastAsia="es-MX"/>
          <w14:ligatures w14:val="none"/>
        </w:rPr>
        <w:t>Growth</w:t>
      </w:r>
      <w:proofErr w:type="spellEnd"/>
    </w:p>
    <w:p w14:paraId="244B862E" w14:textId="77777777" w:rsidR="00281458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006747C4" w14:textId="77777777" w:rsidR="00281458" w:rsidRPr="00B56155" w:rsidRDefault="00281458" w:rsidP="00281458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B56155">
        <w:rPr>
          <w:rFonts w:ascii="Arial" w:hAnsi="Arial" w:cs="Arial"/>
          <w:b/>
          <w:bCs/>
          <w:sz w:val="20"/>
          <w:szCs w:val="20"/>
          <w:lang w:val="en-US"/>
        </w:rPr>
        <w:t>Dashboard Preview</w:t>
      </w:r>
    </w:p>
    <w:p w14:paraId="6168F867" w14:textId="5A72768F" w:rsidR="00281458" w:rsidRDefault="00281458">
      <w:r>
        <w:rPr>
          <w:noProof/>
        </w:rPr>
        <w:drawing>
          <wp:inline distT="0" distB="0" distL="0" distR="0" wp14:anchorId="743B4388" wp14:editId="14C6D5FF">
            <wp:extent cx="5612130" cy="3332480"/>
            <wp:effectExtent l="0" t="0" r="7620" b="1270"/>
            <wp:docPr id="162984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0501" name="Picture 1629840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0E85"/>
    <w:multiLevelType w:val="multilevel"/>
    <w:tmpl w:val="6F0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D4618"/>
    <w:multiLevelType w:val="hybridMultilevel"/>
    <w:tmpl w:val="9996B3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979CB"/>
    <w:multiLevelType w:val="multilevel"/>
    <w:tmpl w:val="777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F368F"/>
    <w:multiLevelType w:val="multilevel"/>
    <w:tmpl w:val="741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A5007"/>
    <w:multiLevelType w:val="multilevel"/>
    <w:tmpl w:val="D9E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9716D"/>
    <w:multiLevelType w:val="hybridMultilevel"/>
    <w:tmpl w:val="6FD0E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23501"/>
    <w:multiLevelType w:val="hybridMultilevel"/>
    <w:tmpl w:val="34E81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703CC"/>
    <w:multiLevelType w:val="hybridMultilevel"/>
    <w:tmpl w:val="946439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C565C"/>
    <w:multiLevelType w:val="multilevel"/>
    <w:tmpl w:val="8FA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539F5"/>
    <w:multiLevelType w:val="hybridMultilevel"/>
    <w:tmpl w:val="7180A6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416067">
    <w:abstractNumId w:val="8"/>
  </w:num>
  <w:num w:numId="2" w16cid:durableId="740719285">
    <w:abstractNumId w:val="2"/>
  </w:num>
  <w:num w:numId="3" w16cid:durableId="1911033781">
    <w:abstractNumId w:val="3"/>
  </w:num>
  <w:num w:numId="4" w16cid:durableId="533230786">
    <w:abstractNumId w:val="4"/>
  </w:num>
  <w:num w:numId="5" w16cid:durableId="1281840465">
    <w:abstractNumId w:val="0"/>
  </w:num>
  <w:num w:numId="6" w16cid:durableId="1281693416">
    <w:abstractNumId w:val="6"/>
  </w:num>
  <w:num w:numId="7" w16cid:durableId="1093471484">
    <w:abstractNumId w:val="5"/>
  </w:num>
  <w:num w:numId="8" w16cid:durableId="1552882118">
    <w:abstractNumId w:val="7"/>
  </w:num>
  <w:num w:numId="9" w16cid:durableId="1794788491">
    <w:abstractNumId w:val="1"/>
  </w:num>
  <w:num w:numId="10" w16cid:durableId="1590001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58"/>
    <w:rsid w:val="00281458"/>
    <w:rsid w:val="00B5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0082"/>
  <w15:chartTrackingRefBased/>
  <w15:docId w15:val="{A0C49754-2FA0-4CBA-9602-A8DAD061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458"/>
  </w:style>
  <w:style w:type="paragraph" w:styleId="Heading1">
    <w:name w:val="heading 1"/>
    <w:basedOn w:val="Normal"/>
    <w:next w:val="Normal"/>
    <w:link w:val="Heading1Char"/>
    <w:uiPriority w:val="9"/>
    <w:qFormat/>
    <w:rsid w:val="0028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188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DANIEL DE LA GARZA PENA</dc:creator>
  <cp:keywords/>
  <dc:description/>
  <cp:lastModifiedBy>CESAR DANIEL DE LA GARZA PENA</cp:lastModifiedBy>
  <cp:revision>1</cp:revision>
  <dcterms:created xsi:type="dcterms:W3CDTF">2026-03-24T20:57:00Z</dcterms:created>
  <dcterms:modified xsi:type="dcterms:W3CDTF">2026-03-24T21:06:00Z</dcterms:modified>
</cp:coreProperties>
</file>