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8BC4D">
      <w:pPr>
        <w:pStyle w:val="31"/>
      </w:pPr>
      <w:r>
        <w:t>HRS Data Summary for Cognitive Prediction Project</w:t>
      </w:r>
    </w:p>
    <w:p w14:paraId="16D2E8DF">
      <w:pPr>
        <w:spacing w:after="160"/>
      </w:pPr>
      <w:r>
        <w:rPr>
          <w:i/>
        </w:rPr>
        <w:t>Survey years 2016 to 2022  |  Preliminary dataset output</w:t>
      </w:r>
    </w:p>
    <w:p w14:paraId="0248C98F">
      <w:r>
        <w:t>This summary describes the sample prepared for our project on whether chronic disease burden improves prediction of cognitive performance in older adults. The current analysis dataset contains 13,053 adults aged 65 or older, with one eligible observation per participant. It also reports the main missing-data patterns and the sample's distribution across selected survey years. These are data preparation results; model performance has not yet been estimated.</w:t>
      </w:r>
    </w:p>
    <w:p w14:paraId="3C7984F8">
      <w:pPr>
        <w:pStyle w:val="3"/>
      </w:pPr>
      <w:r>
        <w:t>Data sources and measures</w:t>
      </w:r>
    </w:p>
    <w:p w14:paraId="43264C37">
      <w:r>
        <w:t>We combined the RAND HRS Longitudinal File 2022 with the HRS CogImp 2022 cognition data for survey years 2016, 2018, 2020, and 2022. The outcome is the derived 0 to 27 cognition score. The four cognition components were also extracted to inspect the availability of the score.</w:t>
      </w:r>
    </w:p>
    <w:p w14:paraId="598806FC">
      <w:r>
        <w:t>The main predictor, Chronic Disease Burden, is the sum of seven conditions coded 0 for absent and 1 for present: hypertension, diabetes, cancer, chronic lung disease, heart disease, stroke, and arthritis. Its possible range is 0 to 7. Other variables selected for modeling are age, sex, race or ethnicity, education, marital status, smoking, and BMI. Proxy respondent and interview mode were collected for data-quality review; they are not planned model predictors.</w:t>
      </w:r>
    </w:p>
    <w:p w14:paraId="282F38C8">
      <w:pPr>
        <w:pStyle w:val="3"/>
      </w:pPr>
      <w:r>
        <w:t>How the analysis sample was formed</w:t>
      </w:r>
    </w:p>
    <w:p w14:paraId="7F383D1F">
      <w:r>
        <w:t>The initial extraction produced a four-year scaffold: each of 45,234 RAND participants had a row for every survey year. A scaffold row does not necessarily mean that an interview was completed in that year. The table follows the saved notebook outputs through age selection, quality checks, BMI review, and the choice of one year per person.</w:t>
      </w:r>
    </w:p>
    <w:tbl>
      <w:tblPr>
        <w:tblStyle w:val="32"/>
        <w:tblW w:w="0" w:type="auto"/>
        <w:tblInd w:w="0" w:type="dxa"/>
        <w:tblLayout w:type="fixed"/>
        <w:tblCellMar>
          <w:top w:w="0" w:type="dxa"/>
          <w:left w:w="108" w:type="dxa"/>
          <w:bottom w:w="0" w:type="dxa"/>
          <w:right w:w="108" w:type="dxa"/>
        </w:tblCellMar>
      </w:tblPr>
      <w:tblGrid>
        <w:gridCol w:w="3427"/>
        <w:gridCol w:w="3427"/>
        <w:gridCol w:w="3427"/>
      </w:tblGrid>
      <w:tr w14:paraId="11A17510">
        <w:trPr>
          <w:cantSplit/>
          <w:tblHeader/>
        </w:trPr>
        <w:tc>
          <w:tcPr>
            <w:tcW w:w="2952" w:type="dxa"/>
            <w:tcBorders>
              <w:top w:val="single" w:color="000000" w:sz="4" w:space="0"/>
              <w:left w:val="single" w:color="000000" w:sz="4" w:space="0"/>
              <w:bottom w:val="single" w:color="000000" w:sz="4" w:space="0"/>
              <w:right w:val="single" w:color="000000" w:sz="4" w:space="0"/>
              <w:tl2br w:val="nil"/>
            </w:tcBorders>
            <w:shd w:val="clear" w:color="auto" w:fill="FFFFFF"/>
            <w:tcMar>
              <w:top w:w="75" w:type="dxa"/>
              <w:left w:w="95" w:type="dxa"/>
              <w:bottom w:w="75" w:type="dxa"/>
              <w:right w:w="95" w:type="dxa"/>
            </w:tcMar>
            <w:vAlign w:val="center"/>
          </w:tcPr>
          <w:p w14:paraId="77B46B01">
            <w:pPr>
              <w:spacing w:after="0" w:line="254" w:lineRule="auto"/>
              <w:rPr>
                <w:b w:val="0"/>
                <w:color w:val="000000"/>
              </w:rPr>
            </w:pPr>
            <w:r>
              <w:rPr>
                <w:rFonts w:ascii="Aptos" w:hAnsi="Aptos"/>
                <w:b w:val="0"/>
                <w:color w:val="000000"/>
                <w:sz w:val="17"/>
              </w:rPr>
              <w:t>Selection stage</w:t>
            </w:r>
          </w:p>
        </w:tc>
        <w:tc>
          <w:tcPr>
            <w:tcW w:w="1368"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7AE47FAA">
            <w:pPr>
              <w:spacing w:after="0" w:line="254" w:lineRule="auto"/>
              <w:jc w:val="right"/>
              <w:rPr>
                <w:b w:val="0"/>
                <w:color w:val="000000"/>
              </w:rPr>
            </w:pPr>
            <w:r>
              <w:rPr>
                <w:rFonts w:ascii="Aptos" w:hAnsi="Aptos"/>
                <w:b w:val="0"/>
                <w:color w:val="000000"/>
                <w:sz w:val="17"/>
              </w:rPr>
              <w:t>Records</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33FA74E1">
            <w:pPr>
              <w:spacing w:after="0" w:line="254" w:lineRule="auto"/>
              <w:rPr>
                <w:b w:val="0"/>
                <w:color w:val="000000"/>
              </w:rPr>
            </w:pPr>
            <w:r>
              <w:rPr>
                <w:rFonts w:ascii="Aptos" w:hAnsi="Aptos"/>
                <w:b w:val="0"/>
                <w:color w:val="000000"/>
                <w:sz w:val="17"/>
              </w:rPr>
              <w:t>Decision</w:t>
            </w:r>
          </w:p>
        </w:tc>
      </w:tr>
      <w:tr w14:paraId="46D16866">
        <w:trPr>
          <w:cantSplit/>
        </w:trPr>
        <w:tc>
          <w:tcPr>
            <w:tcW w:w="2952"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5F03B66C">
            <w:pPr>
              <w:spacing w:after="0" w:line="254" w:lineRule="auto"/>
              <w:rPr>
                <w:b w:val="0"/>
                <w:color w:val="000000"/>
              </w:rPr>
            </w:pPr>
            <w:r>
              <w:rPr>
                <w:rFonts w:ascii="Aptos" w:hAnsi="Aptos"/>
                <w:b w:val="0"/>
                <w:color w:val="000000"/>
                <w:sz w:val="17"/>
              </w:rPr>
              <w:t>Four-year extraction scaffold</w:t>
            </w:r>
          </w:p>
        </w:tc>
        <w:tc>
          <w:tcPr>
            <w:tcW w:w="1368"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51A9A1EC">
            <w:pPr>
              <w:spacing w:after="0" w:line="254" w:lineRule="auto"/>
              <w:jc w:val="right"/>
              <w:rPr>
                <w:b w:val="0"/>
                <w:color w:val="000000"/>
              </w:rPr>
            </w:pPr>
            <w:r>
              <w:rPr>
                <w:rFonts w:ascii="Aptos" w:hAnsi="Aptos"/>
                <w:b w:val="0"/>
                <w:color w:val="000000"/>
                <w:sz w:val="17"/>
              </w:rPr>
              <w:t>180,936</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6A024791">
            <w:pPr>
              <w:spacing w:after="0" w:line="254" w:lineRule="auto"/>
              <w:rPr>
                <w:b w:val="0"/>
                <w:color w:val="000000"/>
              </w:rPr>
            </w:pPr>
            <w:r>
              <w:rPr>
                <w:rFonts w:ascii="Aptos" w:hAnsi="Aptos"/>
                <w:b w:val="0"/>
                <w:color w:val="000000"/>
                <w:sz w:val="17"/>
              </w:rPr>
              <w:t>45,234 participants represented in each of four years</w:t>
            </w:r>
          </w:p>
        </w:tc>
      </w:tr>
      <w:tr w14:paraId="3548276F">
        <w:trPr>
          <w:cantSplit/>
        </w:trPr>
        <w:tc>
          <w:tcPr>
            <w:tcW w:w="2952"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6E0D4BBC">
            <w:pPr>
              <w:spacing w:after="0" w:line="254" w:lineRule="auto"/>
              <w:rPr>
                <w:b w:val="0"/>
                <w:color w:val="000000"/>
              </w:rPr>
            </w:pPr>
            <w:r>
              <w:rPr>
                <w:rFonts w:ascii="Aptos" w:hAnsi="Aptos"/>
                <w:b w:val="0"/>
                <w:color w:val="000000"/>
                <w:sz w:val="17"/>
              </w:rPr>
              <w:t>Age 65 or older</w:t>
            </w:r>
          </w:p>
        </w:tc>
        <w:tc>
          <w:tcPr>
            <w:tcW w:w="1368"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59DD6374">
            <w:pPr>
              <w:spacing w:after="0" w:line="254" w:lineRule="auto"/>
              <w:jc w:val="right"/>
              <w:rPr>
                <w:b w:val="0"/>
                <w:color w:val="000000"/>
              </w:rPr>
            </w:pPr>
            <w:r>
              <w:rPr>
                <w:rFonts w:ascii="Aptos" w:hAnsi="Aptos"/>
                <w:b w:val="0"/>
                <w:color w:val="000000"/>
                <w:sz w:val="17"/>
              </w:rPr>
              <w:t>36,991</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2071FCB3">
            <w:pPr>
              <w:spacing w:after="0" w:line="254" w:lineRule="auto"/>
              <w:rPr>
                <w:b w:val="0"/>
                <w:color w:val="000000"/>
              </w:rPr>
            </w:pPr>
            <w:r>
              <w:rPr>
                <w:rFonts w:ascii="Aptos" w:hAnsi="Aptos"/>
                <w:b w:val="0"/>
                <w:color w:val="000000"/>
                <w:sz w:val="17"/>
              </w:rPr>
              <w:t>32,646 rows below age 65 and 111,299 with missing age removed</w:t>
            </w:r>
          </w:p>
        </w:tc>
      </w:tr>
      <w:tr w14:paraId="00DCDA05">
        <w:trPr>
          <w:cantSplit/>
        </w:trPr>
        <w:tc>
          <w:tcPr>
            <w:tcW w:w="2952"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173E0D34">
            <w:pPr>
              <w:spacing w:after="0" w:line="254" w:lineRule="auto"/>
              <w:rPr>
                <w:b w:val="0"/>
                <w:color w:val="000000"/>
              </w:rPr>
            </w:pPr>
            <w:r>
              <w:rPr>
                <w:rFonts w:ascii="Aptos" w:hAnsi="Aptos"/>
                <w:b w:val="0"/>
                <w:color w:val="000000"/>
                <w:sz w:val="17"/>
              </w:rPr>
              <w:t>Required features and self-response</w:t>
            </w:r>
          </w:p>
        </w:tc>
        <w:tc>
          <w:tcPr>
            <w:tcW w:w="1368"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3EA42367">
            <w:pPr>
              <w:spacing w:after="0" w:line="254" w:lineRule="auto"/>
              <w:jc w:val="right"/>
              <w:rPr>
                <w:b w:val="0"/>
                <w:color w:val="000000"/>
              </w:rPr>
            </w:pPr>
            <w:r>
              <w:rPr>
                <w:rFonts w:ascii="Aptos" w:hAnsi="Aptos"/>
                <w:b w:val="0"/>
                <w:color w:val="000000"/>
                <w:sz w:val="17"/>
              </w:rPr>
              <w:t>32,349</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6CF0EDE4">
            <w:pPr>
              <w:spacing w:after="0" w:line="254" w:lineRule="auto"/>
              <w:rPr>
                <w:b w:val="0"/>
                <w:color w:val="000000"/>
              </w:rPr>
            </w:pPr>
            <w:r>
              <w:rPr>
                <w:rFonts w:ascii="Aptos" w:hAnsi="Aptos"/>
                <w:b w:val="0"/>
                <w:color w:val="000000"/>
                <w:sz w:val="17"/>
              </w:rPr>
              <w:t>4,642 unique rows with a missing or invalid required value, or proxy response, removed</w:t>
            </w:r>
          </w:p>
        </w:tc>
      </w:tr>
      <w:tr w14:paraId="351EF457">
        <w:trPr>
          <w:cantSplit/>
        </w:trPr>
        <w:tc>
          <w:tcPr>
            <w:tcW w:w="2952"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06E5B181">
            <w:pPr>
              <w:spacing w:after="0" w:line="254" w:lineRule="auto"/>
              <w:rPr>
                <w:b w:val="0"/>
                <w:color w:val="000000"/>
              </w:rPr>
            </w:pPr>
            <w:r>
              <w:rPr>
                <w:rFonts w:ascii="Aptos" w:hAnsi="Aptos"/>
                <w:b w:val="0"/>
                <w:color w:val="000000"/>
                <w:sz w:val="17"/>
              </w:rPr>
              <w:t>BMI and height or weight review</w:t>
            </w:r>
          </w:p>
        </w:tc>
        <w:tc>
          <w:tcPr>
            <w:tcW w:w="1368"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5C0F0DD9">
            <w:pPr>
              <w:spacing w:after="0" w:line="254" w:lineRule="auto"/>
              <w:jc w:val="right"/>
              <w:rPr>
                <w:b w:val="0"/>
                <w:color w:val="000000"/>
              </w:rPr>
            </w:pPr>
            <w:r>
              <w:rPr>
                <w:rFonts w:ascii="Aptos" w:hAnsi="Aptos"/>
                <w:b w:val="0"/>
                <w:color w:val="000000"/>
                <w:sz w:val="17"/>
              </w:rPr>
              <w:t>32,329</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6826D79E">
            <w:pPr>
              <w:spacing w:after="0" w:line="254" w:lineRule="auto"/>
              <w:rPr>
                <w:b w:val="0"/>
                <w:color w:val="000000"/>
              </w:rPr>
            </w:pPr>
            <w:r>
              <w:rPr>
                <w:rFonts w:ascii="Aptos" w:hAnsi="Aptos"/>
                <w:b w:val="0"/>
                <w:color w:val="000000"/>
                <w:sz w:val="17"/>
              </w:rPr>
              <w:t>20 additional records excluded under the project review rules</w:t>
            </w:r>
          </w:p>
        </w:tc>
      </w:tr>
      <w:tr w14:paraId="5FEE1B1E">
        <w:trPr>
          <w:cantSplit/>
        </w:trPr>
        <w:tc>
          <w:tcPr>
            <w:tcW w:w="2952"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1D1CD35D">
            <w:pPr>
              <w:spacing w:after="0" w:line="254" w:lineRule="auto"/>
              <w:rPr>
                <w:b w:val="0"/>
                <w:color w:val="000000"/>
              </w:rPr>
            </w:pPr>
            <w:r>
              <w:rPr>
                <w:rFonts w:ascii="Aptos" w:hAnsi="Aptos"/>
                <w:b w:val="0"/>
                <w:color w:val="000000"/>
                <w:sz w:val="17"/>
              </w:rPr>
              <w:t>Latest eligible year per participant</w:t>
            </w:r>
          </w:p>
        </w:tc>
        <w:tc>
          <w:tcPr>
            <w:tcW w:w="1368"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051203B6">
            <w:pPr>
              <w:spacing w:after="0" w:line="254" w:lineRule="auto"/>
              <w:jc w:val="right"/>
              <w:rPr>
                <w:b w:val="0"/>
                <w:color w:val="000000"/>
              </w:rPr>
            </w:pPr>
            <w:r>
              <w:rPr>
                <w:rFonts w:ascii="Aptos" w:hAnsi="Aptos"/>
                <w:b w:val="0"/>
                <w:color w:val="000000"/>
                <w:sz w:val="17"/>
              </w:rPr>
              <w:t>13,053</w:t>
            </w:r>
          </w:p>
        </w:tc>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2959DFAB">
            <w:pPr>
              <w:spacing w:after="0" w:line="254" w:lineRule="auto"/>
              <w:rPr>
                <w:b w:val="0"/>
                <w:color w:val="000000"/>
              </w:rPr>
            </w:pPr>
            <w:r>
              <w:rPr>
                <w:rFonts w:ascii="Aptos" w:hAnsi="Aptos"/>
                <w:b w:val="0"/>
                <w:color w:val="000000"/>
                <w:sz w:val="17"/>
              </w:rPr>
              <w:t>19,276 earlier-year records removed; one row per person</w:t>
            </w:r>
          </w:p>
        </w:tc>
      </w:tr>
    </w:tbl>
    <w:p w14:paraId="41700019">
      <w:pPr>
        <w:spacing w:before="120"/>
      </w:pPr>
      <w:r>
        <w:t>After the age filter, the data represented 14,380 distinct participants. After required-feature and proxy screening, 13,061 distinct participants remained. The final 13,053 records represent 13,053 distinct people. When a person had more than one eligible year, the latest year was kept.</w:t>
      </w:r>
    </w:p>
    <w:p w14:paraId="400159D7">
      <w:pPr>
        <w:pStyle w:val="3"/>
      </w:pPr>
      <w:r>
        <w:t>Missing data and quality checks</w:t>
      </w:r>
    </w:p>
    <w:p w14:paraId="42216C71">
      <w:r>
        <w:t>The missing-data counts below use the 36,991 age-eligible participant-year records as their denominator. They describe the data before the complete-case screen. A person can have more than one missing feature, so the rows in this table cannot be added to obtain the number excluded.</w:t>
      </w:r>
    </w:p>
    <w:tbl>
      <w:tblPr>
        <w:tblStyle w:val="32"/>
        <w:tblW w:w="0" w:type="auto"/>
        <w:tblInd w:w="0" w:type="dxa"/>
        <w:tblLayout w:type="fixed"/>
        <w:tblCellMar>
          <w:top w:w="0" w:type="dxa"/>
          <w:left w:w="108" w:type="dxa"/>
          <w:bottom w:w="0" w:type="dxa"/>
          <w:right w:w="108" w:type="dxa"/>
        </w:tblCellMar>
      </w:tblPr>
      <w:tblGrid>
        <w:gridCol w:w="3427"/>
        <w:gridCol w:w="3427"/>
        <w:gridCol w:w="3427"/>
      </w:tblGrid>
      <w:tr w14:paraId="45C8302D">
        <w:trPr>
          <w:cantSplit/>
          <w:tblHeader/>
        </w:trPr>
        <w:tc>
          <w:tcPr>
            <w:tcW w:w="5760" w:type="dxa"/>
            <w:tcBorders>
              <w:top w:val="single" w:color="000000" w:sz="4" w:space="0"/>
              <w:left w:val="single" w:color="000000" w:sz="4" w:space="0"/>
              <w:bottom w:val="single" w:color="000000" w:sz="4" w:space="0"/>
              <w:right w:val="single" w:color="000000" w:sz="4" w:space="0"/>
              <w:tl2br w:val="nil"/>
            </w:tcBorders>
            <w:shd w:val="clear" w:color="auto" w:fill="FFFFFF"/>
            <w:tcMar>
              <w:top w:w="75" w:type="dxa"/>
              <w:left w:w="95" w:type="dxa"/>
              <w:bottom w:w="75" w:type="dxa"/>
              <w:right w:w="95" w:type="dxa"/>
            </w:tcMar>
            <w:vAlign w:val="center"/>
          </w:tcPr>
          <w:p w14:paraId="4CED3C1E">
            <w:pPr>
              <w:spacing w:after="0" w:line="254" w:lineRule="auto"/>
              <w:rPr>
                <w:b w:val="0"/>
                <w:color w:val="000000"/>
              </w:rPr>
            </w:pPr>
            <w:r>
              <w:rPr>
                <w:rFonts w:ascii="Aptos" w:hAnsi="Aptos"/>
                <w:b w:val="0"/>
                <w:color w:val="000000"/>
                <w:sz w:val="17"/>
              </w:rPr>
              <w:t>Feature</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13475E05">
            <w:pPr>
              <w:spacing w:after="0" w:line="254" w:lineRule="auto"/>
              <w:jc w:val="right"/>
              <w:rPr>
                <w:b w:val="0"/>
                <w:color w:val="000000"/>
              </w:rPr>
            </w:pPr>
            <w:r>
              <w:rPr>
                <w:rFonts w:ascii="Aptos" w:hAnsi="Aptos"/>
                <w:b w:val="0"/>
                <w:color w:val="000000"/>
                <w:sz w:val="17"/>
              </w:rPr>
              <w:t>Missing</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5BF6DF2B">
            <w:pPr>
              <w:spacing w:after="0" w:line="254" w:lineRule="auto"/>
              <w:jc w:val="right"/>
              <w:rPr>
                <w:b w:val="0"/>
                <w:color w:val="000000"/>
              </w:rPr>
            </w:pPr>
            <w:r>
              <w:rPr>
                <w:rFonts w:ascii="Aptos" w:hAnsi="Aptos"/>
                <w:b w:val="0"/>
                <w:color w:val="000000"/>
                <w:sz w:val="17"/>
              </w:rPr>
              <w:t>Share of age-eligible rows</w:t>
            </w:r>
          </w:p>
        </w:tc>
      </w:tr>
      <w:tr w14:paraId="57E8CE74">
        <w:trPr>
          <w:cantSplit/>
        </w:trPr>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6B313AD1">
            <w:pPr>
              <w:spacing w:after="0" w:line="254" w:lineRule="auto"/>
              <w:rPr>
                <w:b w:val="0"/>
                <w:color w:val="000000"/>
              </w:rPr>
            </w:pPr>
            <w:r>
              <w:rPr>
                <w:rFonts w:ascii="Aptos" w:hAnsi="Aptos"/>
                <w:b w:val="0"/>
                <w:color w:val="000000"/>
                <w:sz w:val="17"/>
              </w:rPr>
              <w:t>Cognition score and each of four components</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49C11076">
            <w:pPr>
              <w:spacing w:after="0" w:line="254" w:lineRule="auto"/>
              <w:jc w:val="right"/>
              <w:rPr>
                <w:b w:val="0"/>
                <w:color w:val="000000"/>
              </w:rPr>
            </w:pPr>
            <w:r>
              <w:rPr>
                <w:rFonts w:ascii="Aptos" w:hAnsi="Aptos"/>
                <w:b w:val="0"/>
                <w:color w:val="000000"/>
                <w:sz w:val="17"/>
              </w:rPr>
              <w:t>2,320</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7B2DB2BE">
            <w:pPr>
              <w:spacing w:after="0" w:line="254" w:lineRule="auto"/>
              <w:jc w:val="right"/>
              <w:rPr>
                <w:b w:val="0"/>
                <w:color w:val="000000"/>
              </w:rPr>
            </w:pPr>
            <w:r>
              <w:rPr>
                <w:rFonts w:ascii="Aptos" w:hAnsi="Aptos"/>
                <w:b w:val="0"/>
                <w:color w:val="000000"/>
                <w:sz w:val="17"/>
              </w:rPr>
              <w:t>6.3%</w:t>
            </w:r>
          </w:p>
        </w:tc>
      </w:tr>
      <w:tr w14:paraId="0EC96933">
        <w:trPr>
          <w:cantSplit/>
        </w:trPr>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08970C03">
            <w:pPr>
              <w:spacing w:after="0" w:line="254" w:lineRule="auto"/>
              <w:rPr>
                <w:b w:val="0"/>
                <w:color w:val="000000"/>
              </w:rPr>
            </w:pPr>
            <w:r>
              <w:rPr>
                <w:rFonts w:ascii="Aptos" w:hAnsi="Aptos"/>
                <w:b w:val="0"/>
                <w:color w:val="000000"/>
                <w:sz w:val="17"/>
              </w:rPr>
              <w:t>Smoking</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5F24590D">
            <w:pPr>
              <w:spacing w:after="0" w:line="254" w:lineRule="auto"/>
              <w:jc w:val="right"/>
              <w:rPr>
                <w:b w:val="0"/>
                <w:color w:val="000000"/>
              </w:rPr>
            </w:pPr>
            <w:r>
              <w:rPr>
                <w:rFonts w:ascii="Aptos" w:hAnsi="Aptos"/>
                <w:b w:val="0"/>
                <w:color w:val="000000"/>
                <w:sz w:val="17"/>
              </w:rPr>
              <w:t>1,746</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6ED5A90A">
            <w:pPr>
              <w:spacing w:after="0" w:line="254" w:lineRule="auto"/>
              <w:jc w:val="right"/>
              <w:rPr>
                <w:b w:val="0"/>
                <w:color w:val="000000"/>
              </w:rPr>
            </w:pPr>
            <w:r>
              <w:rPr>
                <w:rFonts w:ascii="Aptos" w:hAnsi="Aptos"/>
                <w:b w:val="0"/>
                <w:color w:val="000000"/>
                <w:sz w:val="17"/>
              </w:rPr>
              <w:t>4.7%</w:t>
            </w:r>
          </w:p>
        </w:tc>
      </w:tr>
      <w:tr w14:paraId="6DD33FA5">
        <w:trPr>
          <w:cantSplit/>
        </w:trPr>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184E454A">
            <w:pPr>
              <w:spacing w:after="0" w:line="254" w:lineRule="auto"/>
              <w:rPr>
                <w:b w:val="0"/>
                <w:color w:val="000000"/>
              </w:rPr>
            </w:pPr>
            <w:r>
              <w:rPr>
                <w:rFonts w:ascii="Aptos" w:hAnsi="Aptos"/>
                <w:b w:val="0"/>
                <w:color w:val="000000"/>
                <w:sz w:val="17"/>
              </w:rPr>
              <w:t>BMI</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51143AFC">
            <w:pPr>
              <w:spacing w:after="0" w:line="254" w:lineRule="auto"/>
              <w:jc w:val="right"/>
              <w:rPr>
                <w:b w:val="0"/>
                <w:color w:val="000000"/>
              </w:rPr>
            </w:pPr>
            <w:r>
              <w:rPr>
                <w:rFonts w:ascii="Aptos" w:hAnsi="Aptos"/>
                <w:b w:val="0"/>
                <w:color w:val="000000"/>
                <w:sz w:val="17"/>
              </w:rPr>
              <w:t>484</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6B7381E2">
            <w:pPr>
              <w:spacing w:after="0" w:line="254" w:lineRule="auto"/>
              <w:jc w:val="right"/>
              <w:rPr>
                <w:b w:val="0"/>
                <w:color w:val="000000"/>
              </w:rPr>
            </w:pPr>
            <w:r>
              <w:rPr>
                <w:rFonts w:ascii="Aptos" w:hAnsi="Aptos"/>
                <w:b w:val="0"/>
                <w:color w:val="000000"/>
                <w:sz w:val="17"/>
              </w:rPr>
              <w:t>1.3%</w:t>
            </w:r>
          </w:p>
        </w:tc>
      </w:tr>
      <w:tr w14:paraId="4FBBC4AC">
        <w:trPr>
          <w:cantSplit/>
        </w:trPr>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3D9E3ACF">
            <w:pPr>
              <w:spacing w:after="0" w:line="254" w:lineRule="auto"/>
              <w:rPr>
                <w:b w:val="0"/>
                <w:color w:val="000000"/>
              </w:rPr>
            </w:pPr>
            <w:r>
              <w:rPr>
                <w:rFonts w:ascii="Aptos" w:hAnsi="Aptos"/>
                <w:b w:val="0"/>
                <w:color w:val="000000"/>
                <w:sz w:val="17"/>
              </w:rPr>
              <w:t>Education</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094542BF">
            <w:pPr>
              <w:spacing w:after="0" w:line="254" w:lineRule="auto"/>
              <w:jc w:val="right"/>
              <w:rPr>
                <w:b w:val="0"/>
                <w:color w:val="000000"/>
              </w:rPr>
            </w:pPr>
            <w:r>
              <w:rPr>
                <w:rFonts w:ascii="Aptos" w:hAnsi="Aptos"/>
                <w:b w:val="0"/>
                <w:color w:val="000000"/>
                <w:sz w:val="17"/>
              </w:rPr>
              <w:t>133</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465DF642">
            <w:pPr>
              <w:spacing w:after="0" w:line="254" w:lineRule="auto"/>
              <w:jc w:val="right"/>
              <w:rPr>
                <w:b w:val="0"/>
                <w:color w:val="000000"/>
              </w:rPr>
            </w:pPr>
            <w:r>
              <w:rPr>
                <w:rFonts w:ascii="Aptos" w:hAnsi="Aptos"/>
                <w:b w:val="0"/>
                <w:color w:val="000000"/>
                <w:sz w:val="17"/>
              </w:rPr>
              <w:t>0.4%</w:t>
            </w:r>
          </w:p>
        </w:tc>
      </w:tr>
      <w:tr w14:paraId="3B3DDFB5">
        <w:trPr>
          <w:cantSplit/>
        </w:trPr>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3592F1CD">
            <w:pPr>
              <w:spacing w:after="0" w:line="254" w:lineRule="auto"/>
              <w:rPr>
                <w:b w:val="0"/>
                <w:color w:val="000000"/>
              </w:rPr>
            </w:pPr>
            <w:r>
              <w:rPr>
                <w:rFonts w:ascii="Aptos" w:hAnsi="Aptos"/>
                <w:b w:val="0"/>
                <w:color w:val="000000"/>
                <w:sz w:val="17"/>
              </w:rPr>
              <w:t>Marital status</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07C01D8E">
            <w:pPr>
              <w:spacing w:after="0" w:line="254" w:lineRule="auto"/>
              <w:jc w:val="right"/>
              <w:rPr>
                <w:b w:val="0"/>
                <w:color w:val="000000"/>
              </w:rPr>
            </w:pPr>
            <w:r>
              <w:rPr>
                <w:rFonts w:ascii="Aptos" w:hAnsi="Aptos"/>
                <w:b w:val="0"/>
                <w:color w:val="000000"/>
                <w:sz w:val="17"/>
              </w:rPr>
              <w:t>65</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3EDA8298">
            <w:pPr>
              <w:spacing w:after="0" w:line="254" w:lineRule="auto"/>
              <w:jc w:val="right"/>
              <w:rPr>
                <w:b w:val="0"/>
                <w:color w:val="000000"/>
              </w:rPr>
            </w:pPr>
            <w:r>
              <w:rPr>
                <w:rFonts w:ascii="Aptos" w:hAnsi="Aptos"/>
                <w:b w:val="0"/>
                <w:color w:val="000000"/>
                <w:sz w:val="17"/>
              </w:rPr>
              <w:t>0.2%</w:t>
            </w:r>
          </w:p>
        </w:tc>
      </w:tr>
      <w:tr w14:paraId="235F6E66">
        <w:trPr>
          <w:cantSplit/>
        </w:trPr>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57883E84">
            <w:pPr>
              <w:spacing w:after="0" w:line="254" w:lineRule="auto"/>
              <w:rPr>
                <w:b w:val="0"/>
                <w:color w:val="000000"/>
              </w:rPr>
            </w:pPr>
            <w:r>
              <w:rPr>
                <w:rFonts w:ascii="Aptos" w:hAnsi="Aptos"/>
                <w:b w:val="0"/>
                <w:color w:val="000000"/>
                <w:sz w:val="17"/>
              </w:rPr>
              <w:t>Race or ethnicity</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22EBD599">
            <w:pPr>
              <w:spacing w:after="0" w:line="254" w:lineRule="auto"/>
              <w:jc w:val="right"/>
              <w:rPr>
                <w:b w:val="0"/>
                <w:color w:val="000000"/>
              </w:rPr>
            </w:pPr>
            <w:r>
              <w:rPr>
                <w:rFonts w:ascii="Aptos" w:hAnsi="Aptos"/>
                <w:b w:val="0"/>
                <w:color w:val="000000"/>
                <w:sz w:val="17"/>
              </w:rPr>
              <w:t>44</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4C31D595">
            <w:pPr>
              <w:spacing w:after="0" w:line="254" w:lineRule="auto"/>
              <w:jc w:val="right"/>
              <w:rPr>
                <w:b w:val="0"/>
                <w:color w:val="000000"/>
              </w:rPr>
            </w:pPr>
            <w:r>
              <w:rPr>
                <w:rFonts w:ascii="Aptos" w:hAnsi="Aptos"/>
                <w:b w:val="0"/>
                <w:color w:val="000000"/>
                <w:sz w:val="17"/>
              </w:rPr>
              <w:t>0.1%</w:t>
            </w:r>
          </w:p>
        </w:tc>
      </w:tr>
      <w:tr w14:paraId="1527173B">
        <w:trPr>
          <w:cantSplit/>
        </w:trPr>
        <w:tc>
          <w:tcPr>
            <w:tcW w:w="576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4214ACCE">
            <w:pPr>
              <w:spacing w:after="0" w:line="254" w:lineRule="auto"/>
              <w:rPr>
                <w:b w:val="0"/>
                <w:color w:val="000000"/>
              </w:rPr>
            </w:pPr>
            <w:r>
              <w:rPr>
                <w:rFonts w:ascii="Aptos" w:hAnsi="Aptos"/>
                <w:b w:val="0"/>
                <w:color w:val="000000"/>
                <w:sz w:val="17"/>
              </w:rPr>
              <w:t>Age, sex, seven disease indicators, disease count, and proxy status</w:t>
            </w:r>
          </w:p>
        </w:tc>
        <w:tc>
          <w:tcPr>
            <w:tcW w:w="144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00CDE8C9">
            <w:pPr>
              <w:spacing w:after="0" w:line="254" w:lineRule="auto"/>
              <w:jc w:val="right"/>
              <w:rPr>
                <w:b w:val="0"/>
                <w:color w:val="000000"/>
              </w:rPr>
            </w:pPr>
            <w:r>
              <w:rPr>
                <w:rFonts w:ascii="Aptos" w:hAnsi="Aptos"/>
                <w:b w:val="0"/>
                <w:color w:val="000000"/>
                <w:sz w:val="17"/>
              </w:rPr>
              <w:t>0</w:t>
            </w:r>
          </w:p>
        </w:tc>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6D4EBB2B">
            <w:pPr>
              <w:spacing w:after="0" w:line="254" w:lineRule="auto"/>
              <w:jc w:val="right"/>
              <w:rPr>
                <w:b w:val="0"/>
                <w:color w:val="000000"/>
              </w:rPr>
            </w:pPr>
            <w:r>
              <w:rPr>
                <w:rFonts w:ascii="Aptos" w:hAnsi="Aptos"/>
                <w:b w:val="0"/>
                <w:color w:val="000000"/>
                <w:sz w:val="17"/>
              </w:rPr>
              <w:t>0.0%</w:t>
            </w:r>
          </w:p>
        </w:tc>
      </w:tr>
    </w:tbl>
    <w:p w14:paraId="600C5AB0">
      <w:pPr>
        <w:spacing w:before="120"/>
      </w:pPr>
      <w:r>
        <w:t>The quality screen also flagged 2,300 proxy-response records. We retained self-respondents and removed proxy responses because the cognitive outcome is intended to reflect the participant's own test performance. Proxy flags overlapped with missing-feature flags; the total number removed at this stage was 4,642 unique records. Interview mode was kept for review rather than used to exclude participants or predict cognition. Its missing values in 2016 were expected in this extraction.</w:t>
      </w:r>
    </w:p>
    <w:p w14:paraId="393708EC">
      <w:r>
        <w:t>BMI was checked against height and weight for records with unusually low or high values. The project review rules treated heights outside 1.00 to 2.70 m, weights outside 20 to 350 kg, BMI outside 11 to 75, nonpositive source measurements, or a recalculation difference above 10% as reasons for exclusion. These are project plausibility thresholds, not official HRS validity codes. The saved output reports 20 exclusions at this step.</w:t>
      </w:r>
    </w:p>
    <w:p w14:paraId="7B87EE0E">
      <w:pPr>
        <w:pStyle w:val="3"/>
      </w:pPr>
      <w:r>
        <w:t>Final sample distribution</w:t>
      </w:r>
    </w:p>
    <w:p w14:paraId="4DB3A435">
      <w:r>
        <w:t>The selected survey year is the latest year in which each participant passed the eligibility and quality checks.</w:t>
      </w:r>
    </w:p>
    <w:tbl>
      <w:tblPr>
        <w:tblStyle w:val="32"/>
        <w:tblW w:w="0" w:type="auto"/>
        <w:tblInd w:w="0" w:type="dxa"/>
        <w:tblLayout w:type="fixed"/>
        <w:tblCellMar>
          <w:top w:w="0" w:type="dxa"/>
          <w:left w:w="108" w:type="dxa"/>
          <w:bottom w:w="0" w:type="dxa"/>
          <w:right w:w="108" w:type="dxa"/>
        </w:tblCellMar>
      </w:tblPr>
      <w:tblGrid>
        <w:gridCol w:w="3427"/>
        <w:gridCol w:w="3427"/>
        <w:gridCol w:w="3427"/>
      </w:tblGrid>
      <w:tr w14:paraId="45605628">
        <w:trPr>
          <w:cantSplit/>
          <w:tblHeader/>
        </w:trPr>
        <w:tc>
          <w:tcPr>
            <w:tcW w:w="3240" w:type="dxa"/>
            <w:tcBorders>
              <w:top w:val="single" w:color="000000" w:sz="4" w:space="0"/>
              <w:left w:val="single" w:color="000000" w:sz="4" w:space="0"/>
              <w:bottom w:val="single" w:color="000000" w:sz="4" w:space="0"/>
              <w:right w:val="single" w:color="000000" w:sz="4" w:space="0"/>
              <w:tl2br w:val="nil"/>
            </w:tcBorders>
            <w:shd w:val="clear" w:color="auto" w:fill="FFFFFF"/>
            <w:tcMar>
              <w:top w:w="75" w:type="dxa"/>
              <w:left w:w="95" w:type="dxa"/>
              <w:bottom w:w="75" w:type="dxa"/>
              <w:right w:w="95" w:type="dxa"/>
            </w:tcMar>
            <w:vAlign w:val="center"/>
          </w:tcPr>
          <w:p w14:paraId="35A35251">
            <w:pPr>
              <w:spacing w:after="0" w:line="254" w:lineRule="auto"/>
              <w:rPr>
                <w:b w:val="0"/>
                <w:color w:val="000000"/>
              </w:rPr>
            </w:pPr>
            <w:r>
              <w:rPr>
                <w:rFonts w:ascii="Aptos" w:hAnsi="Aptos"/>
                <w:b w:val="0"/>
                <w:color w:val="000000"/>
                <w:sz w:val="17"/>
              </w:rPr>
              <w:t>Selected year</w:t>
            </w:r>
          </w:p>
        </w:tc>
        <w:tc>
          <w:tcPr>
            <w:tcW w:w="2232"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00D3C94A">
            <w:pPr>
              <w:spacing w:after="0" w:line="254" w:lineRule="auto"/>
              <w:jc w:val="right"/>
              <w:rPr>
                <w:b w:val="0"/>
                <w:color w:val="000000"/>
              </w:rPr>
            </w:pPr>
            <w:r>
              <w:rPr>
                <w:rFonts w:ascii="Aptos" w:hAnsi="Aptos"/>
                <w:b w:val="0"/>
                <w:color w:val="000000"/>
                <w:sz w:val="17"/>
              </w:rPr>
              <w:t>Participants</w:t>
            </w:r>
          </w:p>
        </w:tc>
        <w:tc>
          <w:tcPr>
            <w:tcW w:w="4608"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3431FC3D">
            <w:pPr>
              <w:spacing w:after="0" w:line="254" w:lineRule="auto"/>
              <w:jc w:val="right"/>
              <w:rPr>
                <w:b w:val="0"/>
                <w:color w:val="000000"/>
              </w:rPr>
            </w:pPr>
            <w:r>
              <w:rPr>
                <w:rFonts w:ascii="Aptos" w:hAnsi="Aptos"/>
                <w:b w:val="0"/>
                <w:color w:val="000000"/>
                <w:sz w:val="17"/>
              </w:rPr>
              <w:t>Share of final sample</w:t>
            </w:r>
          </w:p>
        </w:tc>
      </w:tr>
      <w:tr w14:paraId="591A26C8">
        <w:trPr>
          <w:cantSplit/>
        </w:trPr>
        <w:tc>
          <w:tcPr>
            <w:tcW w:w="324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672B136C">
            <w:pPr>
              <w:spacing w:after="0" w:line="254" w:lineRule="auto"/>
              <w:rPr>
                <w:b w:val="0"/>
                <w:color w:val="000000"/>
              </w:rPr>
            </w:pPr>
            <w:r>
              <w:rPr>
                <w:rFonts w:ascii="Aptos" w:hAnsi="Aptos"/>
                <w:b w:val="0"/>
                <w:color w:val="000000"/>
                <w:sz w:val="17"/>
              </w:rPr>
              <w:t>2016</w:t>
            </w:r>
          </w:p>
        </w:tc>
        <w:tc>
          <w:tcPr>
            <w:tcW w:w="2232"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2BCAE13D">
            <w:pPr>
              <w:spacing w:after="0" w:line="254" w:lineRule="auto"/>
              <w:jc w:val="right"/>
              <w:rPr>
                <w:b w:val="0"/>
                <w:color w:val="000000"/>
              </w:rPr>
            </w:pPr>
            <w:r>
              <w:rPr>
                <w:rFonts w:ascii="Aptos" w:hAnsi="Aptos"/>
                <w:b w:val="0"/>
                <w:color w:val="000000"/>
                <w:sz w:val="17"/>
              </w:rPr>
              <w:t>1,578</w:t>
            </w:r>
          </w:p>
        </w:tc>
        <w:tc>
          <w:tcPr>
            <w:tcW w:w="4608"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76B26FAE">
            <w:pPr>
              <w:spacing w:after="0" w:line="254" w:lineRule="auto"/>
              <w:jc w:val="right"/>
              <w:rPr>
                <w:b w:val="0"/>
                <w:color w:val="000000"/>
              </w:rPr>
            </w:pPr>
            <w:r>
              <w:rPr>
                <w:rFonts w:ascii="Aptos" w:hAnsi="Aptos"/>
                <w:b w:val="0"/>
                <w:color w:val="000000"/>
                <w:sz w:val="17"/>
              </w:rPr>
              <w:t>12.1%</w:t>
            </w:r>
          </w:p>
        </w:tc>
      </w:tr>
      <w:tr w14:paraId="1F1EB4C6">
        <w:trPr>
          <w:cantSplit/>
        </w:trPr>
        <w:tc>
          <w:tcPr>
            <w:tcW w:w="324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262FDCCB">
            <w:pPr>
              <w:spacing w:after="0" w:line="254" w:lineRule="auto"/>
              <w:rPr>
                <w:b w:val="0"/>
                <w:color w:val="000000"/>
              </w:rPr>
            </w:pPr>
            <w:r>
              <w:rPr>
                <w:rFonts w:ascii="Aptos" w:hAnsi="Aptos"/>
                <w:b w:val="0"/>
                <w:color w:val="000000"/>
                <w:sz w:val="17"/>
              </w:rPr>
              <w:t>2018</w:t>
            </w:r>
          </w:p>
        </w:tc>
        <w:tc>
          <w:tcPr>
            <w:tcW w:w="2232"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21D7C091">
            <w:pPr>
              <w:spacing w:after="0" w:line="254" w:lineRule="auto"/>
              <w:jc w:val="right"/>
              <w:rPr>
                <w:b w:val="0"/>
                <w:color w:val="000000"/>
              </w:rPr>
            </w:pPr>
            <w:r>
              <w:rPr>
                <w:rFonts w:ascii="Aptos" w:hAnsi="Aptos"/>
                <w:b w:val="0"/>
                <w:color w:val="000000"/>
                <w:sz w:val="17"/>
              </w:rPr>
              <w:t>1,486</w:t>
            </w:r>
          </w:p>
        </w:tc>
        <w:tc>
          <w:tcPr>
            <w:tcW w:w="4608"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05BC5211">
            <w:pPr>
              <w:spacing w:after="0" w:line="254" w:lineRule="auto"/>
              <w:jc w:val="right"/>
              <w:rPr>
                <w:b w:val="0"/>
                <w:color w:val="000000"/>
              </w:rPr>
            </w:pPr>
            <w:r>
              <w:rPr>
                <w:rFonts w:ascii="Aptos" w:hAnsi="Aptos"/>
                <w:b w:val="0"/>
                <w:color w:val="000000"/>
                <w:sz w:val="17"/>
              </w:rPr>
              <w:t>11.4%</w:t>
            </w:r>
          </w:p>
        </w:tc>
      </w:tr>
      <w:tr w14:paraId="4ECCD82C">
        <w:trPr>
          <w:cantSplit/>
        </w:trPr>
        <w:tc>
          <w:tcPr>
            <w:tcW w:w="324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4941EF6A">
            <w:pPr>
              <w:spacing w:after="0" w:line="254" w:lineRule="auto"/>
              <w:rPr>
                <w:b w:val="0"/>
                <w:color w:val="000000"/>
              </w:rPr>
            </w:pPr>
            <w:r>
              <w:rPr>
                <w:rFonts w:ascii="Aptos" w:hAnsi="Aptos"/>
                <w:b w:val="0"/>
                <w:color w:val="000000"/>
                <w:sz w:val="17"/>
              </w:rPr>
              <w:t>2020</w:t>
            </w:r>
          </w:p>
        </w:tc>
        <w:tc>
          <w:tcPr>
            <w:tcW w:w="2232"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6D27E20A">
            <w:pPr>
              <w:spacing w:after="0" w:line="254" w:lineRule="auto"/>
              <w:jc w:val="right"/>
              <w:rPr>
                <w:b w:val="0"/>
                <w:color w:val="000000"/>
              </w:rPr>
            </w:pPr>
            <w:r>
              <w:rPr>
                <w:rFonts w:ascii="Aptos" w:hAnsi="Aptos"/>
                <w:b w:val="0"/>
                <w:color w:val="000000"/>
                <w:sz w:val="17"/>
              </w:rPr>
              <w:t>3,218</w:t>
            </w:r>
          </w:p>
        </w:tc>
        <w:tc>
          <w:tcPr>
            <w:tcW w:w="4608"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0FADB5F7">
            <w:pPr>
              <w:spacing w:after="0" w:line="254" w:lineRule="auto"/>
              <w:jc w:val="right"/>
              <w:rPr>
                <w:b w:val="0"/>
                <w:color w:val="000000"/>
              </w:rPr>
            </w:pPr>
            <w:r>
              <w:rPr>
                <w:rFonts w:ascii="Aptos" w:hAnsi="Aptos"/>
                <w:b w:val="0"/>
                <w:color w:val="000000"/>
                <w:sz w:val="17"/>
              </w:rPr>
              <w:t>24.7%</w:t>
            </w:r>
          </w:p>
        </w:tc>
      </w:tr>
      <w:tr w14:paraId="4BF71EBD">
        <w:trPr>
          <w:cantSplit/>
        </w:trPr>
        <w:tc>
          <w:tcPr>
            <w:tcW w:w="324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59920711">
            <w:pPr>
              <w:spacing w:after="0" w:line="254" w:lineRule="auto"/>
              <w:rPr>
                <w:b w:val="0"/>
                <w:color w:val="000000"/>
              </w:rPr>
            </w:pPr>
            <w:r>
              <w:rPr>
                <w:rFonts w:ascii="Aptos" w:hAnsi="Aptos"/>
                <w:b w:val="0"/>
                <w:color w:val="000000"/>
                <w:sz w:val="17"/>
              </w:rPr>
              <w:t>2022</w:t>
            </w:r>
          </w:p>
        </w:tc>
        <w:tc>
          <w:tcPr>
            <w:tcW w:w="2232"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1AA2DB4F">
            <w:pPr>
              <w:spacing w:after="0" w:line="254" w:lineRule="auto"/>
              <w:jc w:val="right"/>
              <w:rPr>
                <w:b w:val="0"/>
                <w:color w:val="000000"/>
              </w:rPr>
            </w:pPr>
            <w:r>
              <w:rPr>
                <w:rFonts w:ascii="Aptos" w:hAnsi="Aptos"/>
                <w:b w:val="0"/>
                <w:color w:val="000000"/>
                <w:sz w:val="17"/>
              </w:rPr>
              <w:t>6,771</w:t>
            </w:r>
          </w:p>
        </w:tc>
        <w:tc>
          <w:tcPr>
            <w:tcW w:w="4608"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3F33D272">
            <w:pPr>
              <w:spacing w:after="0" w:line="254" w:lineRule="auto"/>
              <w:jc w:val="right"/>
              <w:rPr>
                <w:b w:val="0"/>
                <w:color w:val="000000"/>
              </w:rPr>
            </w:pPr>
            <w:r>
              <w:rPr>
                <w:rFonts w:ascii="Aptos" w:hAnsi="Aptos"/>
                <w:b w:val="0"/>
                <w:color w:val="000000"/>
                <w:sz w:val="17"/>
              </w:rPr>
              <w:t>51.9%</w:t>
            </w:r>
          </w:p>
        </w:tc>
      </w:tr>
      <w:tr w14:paraId="5E151E9E">
        <w:trPr>
          <w:cantSplit/>
        </w:trPr>
        <w:tc>
          <w:tcPr>
            <w:tcW w:w="3240"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690560AD">
            <w:pPr>
              <w:spacing w:after="0" w:line="254" w:lineRule="auto"/>
              <w:rPr>
                <w:b w:val="0"/>
                <w:color w:val="000000"/>
              </w:rPr>
            </w:pPr>
            <w:r>
              <w:rPr>
                <w:rFonts w:ascii="Aptos" w:hAnsi="Aptos"/>
                <w:b w:val="0"/>
                <w:color w:val="000000"/>
                <w:sz w:val="17"/>
              </w:rPr>
              <w:t>Total</w:t>
            </w:r>
          </w:p>
        </w:tc>
        <w:tc>
          <w:tcPr>
            <w:tcW w:w="2232"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442AECA4">
            <w:pPr>
              <w:spacing w:after="0" w:line="254" w:lineRule="auto"/>
              <w:jc w:val="right"/>
              <w:rPr>
                <w:b w:val="0"/>
                <w:color w:val="000000"/>
              </w:rPr>
            </w:pPr>
            <w:r>
              <w:rPr>
                <w:rFonts w:ascii="Aptos" w:hAnsi="Aptos"/>
                <w:b w:val="0"/>
                <w:color w:val="000000"/>
                <w:sz w:val="17"/>
              </w:rPr>
              <w:t>13,053</w:t>
            </w:r>
          </w:p>
        </w:tc>
        <w:tc>
          <w:tcPr>
            <w:tcW w:w="4608"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17ADF5A1">
            <w:pPr>
              <w:spacing w:after="0" w:line="254" w:lineRule="auto"/>
              <w:jc w:val="right"/>
              <w:rPr>
                <w:b w:val="0"/>
                <w:color w:val="000000"/>
              </w:rPr>
            </w:pPr>
            <w:r>
              <w:rPr>
                <w:rFonts w:ascii="Aptos" w:hAnsi="Aptos"/>
                <w:b w:val="0"/>
                <w:color w:val="000000"/>
                <w:sz w:val="17"/>
              </w:rPr>
              <w:t>100.0%</w:t>
            </w:r>
          </w:p>
        </w:tc>
      </w:tr>
    </w:tbl>
    <w:p w14:paraId="24364738">
      <w:pPr>
        <w:spacing w:before="120"/>
      </w:pPr>
      <w:r>
        <w:t>The 2022 group is the largest because the selection rule favors later eligible observations. This distribution should not be read as a change in the HRS population over time. The displayed percentages are rounded and may sum to 100.1%.</w:t>
      </w:r>
    </w:p>
    <w:p w14:paraId="5F76309F">
      <w:pPr>
        <w:pStyle w:val="3"/>
      </w:pPr>
      <w:r>
        <w:t>Exploratory analysis of demographic composition</w:t>
      </w:r>
    </w:p>
    <w:p w14:paraId="30D3E282">
      <w:r>
        <w:t>We examined the age, sex, race or ethnicity, and education distributions after cleaning and selecting one observation per participant. The denominator for each percentage is the final sample of 13,053 people.</w:t>
      </w:r>
    </w:p>
    <w:p w14:paraId="2BA29F66">
      <w:r>
        <w:t>Age averaged 76.31 years (SD 8.07); the median was 75 years and the interquartile range was 69 to 82. Education averaged 12.79 years (SD 3.26); the median was 12 years and the interquartile range was 12 to 16.</w:t>
      </w:r>
    </w:p>
    <w:tbl>
      <w:tblPr>
        <w:tblStyle w:val="32"/>
        <w:tblW w:w="0" w:type="auto"/>
        <w:tblInd w:w="0" w:type="dxa"/>
        <w:tblLayout w:type="fixed"/>
        <w:tblCellMar>
          <w:top w:w="0" w:type="dxa"/>
          <w:left w:w="108" w:type="dxa"/>
          <w:bottom w:w="0" w:type="dxa"/>
          <w:right w:w="108" w:type="dxa"/>
        </w:tblCellMar>
      </w:tblPr>
      <w:tblGrid>
        <w:gridCol w:w="5141"/>
        <w:gridCol w:w="5141"/>
      </w:tblGrid>
      <w:tr w14:paraId="5C2A057F">
        <w:trPr>
          <w:cantSplit/>
          <w:tblHeader/>
        </w:trPr>
        <w:tc>
          <w:tcPr>
            <w:tcW w:w="2232" w:type="dxa"/>
            <w:tcBorders>
              <w:top w:val="single" w:color="000000" w:sz="4" w:space="0"/>
              <w:left w:val="single" w:color="000000" w:sz="4" w:space="0"/>
              <w:bottom w:val="single" w:color="000000" w:sz="4" w:space="0"/>
              <w:right w:val="single" w:color="000000" w:sz="4" w:space="0"/>
              <w:tl2br w:val="nil"/>
            </w:tcBorders>
            <w:shd w:val="clear" w:color="auto" w:fill="FFFFFF"/>
            <w:tcMar>
              <w:top w:w="75" w:type="dxa"/>
              <w:left w:w="95" w:type="dxa"/>
              <w:bottom w:w="75" w:type="dxa"/>
              <w:right w:w="95" w:type="dxa"/>
            </w:tcMar>
            <w:vAlign w:val="center"/>
          </w:tcPr>
          <w:p w14:paraId="4AB72A99">
            <w:pPr>
              <w:spacing w:after="0" w:line="254" w:lineRule="auto"/>
              <w:rPr>
                <w:b w:val="0"/>
                <w:color w:val="000000"/>
              </w:rPr>
            </w:pPr>
            <w:r>
              <w:rPr>
                <w:rFonts w:ascii="Aptos" w:hAnsi="Aptos"/>
                <w:b w:val="0"/>
                <w:color w:val="000000"/>
                <w:sz w:val="17"/>
              </w:rPr>
              <w:t>Characteristic</w:t>
            </w:r>
          </w:p>
        </w:tc>
        <w:tc>
          <w:tcPr>
            <w:tcW w:w="7848"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38D789C5">
            <w:pPr>
              <w:spacing w:after="0" w:line="254" w:lineRule="auto"/>
              <w:rPr>
                <w:b w:val="0"/>
                <w:color w:val="000000"/>
              </w:rPr>
            </w:pPr>
            <w:r>
              <w:rPr>
                <w:rFonts w:ascii="Aptos" w:hAnsi="Aptos"/>
                <w:b w:val="0"/>
                <w:color w:val="000000"/>
                <w:sz w:val="17"/>
              </w:rPr>
              <w:t>Distribution in the final sample</w:t>
            </w:r>
          </w:p>
        </w:tc>
      </w:tr>
      <w:tr w14:paraId="17474907">
        <w:trPr>
          <w:cantSplit/>
        </w:trPr>
        <w:tc>
          <w:tcPr>
            <w:tcW w:w="2232"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1ED19266">
            <w:pPr>
              <w:spacing w:after="0" w:line="254" w:lineRule="auto"/>
              <w:rPr>
                <w:b w:val="0"/>
                <w:color w:val="000000"/>
              </w:rPr>
            </w:pPr>
            <w:r>
              <w:rPr>
                <w:rFonts w:ascii="Aptos" w:hAnsi="Aptos"/>
                <w:b w:val="0"/>
                <w:color w:val="000000"/>
                <w:sz w:val="17"/>
              </w:rPr>
              <w:t>Age groups</w:t>
            </w:r>
          </w:p>
        </w:tc>
        <w:tc>
          <w:tcPr>
            <w:tcW w:w="7848"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09EE215B">
            <w:pPr>
              <w:spacing w:after="0" w:line="254" w:lineRule="auto"/>
              <w:rPr>
                <w:b w:val="0"/>
                <w:color w:val="000000"/>
              </w:rPr>
            </w:pPr>
            <w:r>
              <w:rPr>
                <w:rFonts w:ascii="Aptos" w:hAnsi="Aptos"/>
                <w:b w:val="0"/>
                <w:color w:val="000000"/>
                <w:sz w:val="17"/>
              </w:rPr>
              <w:t>65–74: 6,135 (47.0%); 75–84: 4,582 (35.1%); 85+: 2,336 (17.9%)</w:t>
            </w:r>
          </w:p>
        </w:tc>
      </w:tr>
      <w:tr w14:paraId="2C71071C">
        <w:trPr>
          <w:cantSplit/>
        </w:trPr>
        <w:tc>
          <w:tcPr>
            <w:tcW w:w="2232"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65C6AD0E">
            <w:pPr>
              <w:spacing w:after="0" w:line="254" w:lineRule="auto"/>
              <w:rPr>
                <w:b w:val="0"/>
                <w:color w:val="000000"/>
              </w:rPr>
            </w:pPr>
            <w:r>
              <w:rPr>
                <w:rFonts w:ascii="Aptos" w:hAnsi="Aptos"/>
                <w:b w:val="0"/>
                <w:color w:val="000000"/>
                <w:sz w:val="17"/>
              </w:rPr>
              <w:t>Sex</w:t>
            </w:r>
          </w:p>
        </w:tc>
        <w:tc>
          <w:tcPr>
            <w:tcW w:w="7848"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338DD5BB">
            <w:pPr>
              <w:spacing w:after="0" w:line="254" w:lineRule="auto"/>
              <w:rPr>
                <w:b w:val="0"/>
                <w:color w:val="000000"/>
              </w:rPr>
            </w:pPr>
            <w:r>
              <w:rPr>
                <w:rFonts w:ascii="Aptos" w:hAnsi="Aptos"/>
                <w:b w:val="0"/>
                <w:color w:val="000000"/>
                <w:sz w:val="17"/>
              </w:rPr>
              <w:t>Male: 5,387 (41.3%); Female: 7,666 (58.7%)</w:t>
            </w:r>
          </w:p>
        </w:tc>
      </w:tr>
      <w:tr w14:paraId="41819DB8">
        <w:trPr>
          <w:cantSplit/>
        </w:trPr>
        <w:tc>
          <w:tcPr>
            <w:tcW w:w="2232"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7D2118B1">
            <w:pPr>
              <w:spacing w:after="0" w:line="254" w:lineRule="auto"/>
              <w:rPr>
                <w:b w:val="0"/>
                <w:color w:val="000000"/>
              </w:rPr>
            </w:pPr>
            <w:r>
              <w:rPr>
                <w:rFonts w:ascii="Aptos" w:hAnsi="Aptos"/>
                <w:b w:val="0"/>
                <w:color w:val="000000"/>
                <w:sz w:val="17"/>
              </w:rPr>
              <w:t>Race or ethnicity</w:t>
            </w:r>
          </w:p>
        </w:tc>
        <w:tc>
          <w:tcPr>
            <w:tcW w:w="7848"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2CFA8CDB">
            <w:pPr>
              <w:spacing w:after="0" w:line="254" w:lineRule="auto"/>
              <w:rPr>
                <w:b w:val="0"/>
                <w:color w:val="000000"/>
              </w:rPr>
            </w:pPr>
            <w:r>
              <w:rPr>
                <w:rFonts w:ascii="Aptos" w:hAnsi="Aptos"/>
                <w:b w:val="0"/>
                <w:color w:val="000000"/>
                <w:sz w:val="17"/>
              </w:rPr>
              <w:t>Hispanic: 1,876 (14.4%); Non-Hispanic White: 8,186 (62.7%); Non-Hispanic Black: 2,616 (20.0%); Non-Hispanic Other: 375 (2.9%)</w:t>
            </w:r>
          </w:p>
        </w:tc>
      </w:tr>
      <w:tr w14:paraId="165E1186">
        <w:trPr>
          <w:cantSplit/>
        </w:trPr>
        <w:tc>
          <w:tcPr>
            <w:tcW w:w="2232"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300B854D">
            <w:pPr>
              <w:spacing w:after="0" w:line="254" w:lineRule="auto"/>
              <w:rPr>
                <w:b w:val="0"/>
                <w:color w:val="000000"/>
              </w:rPr>
            </w:pPr>
            <w:r>
              <w:rPr>
                <w:rFonts w:ascii="Aptos" w:hAnsi="Aptos"/>
                <w:b w:val="0"/>
                <w:color w:val="000000"/>
                <w:sz w:val="17"/>
              </w:rPr>
              <w:t>Education groups</w:t>
            </w:r>
          </w:p>
        </w:tc>
        <w:tc>
          <w:tcPr>
            <w:tcW w:w="7848" w:type="dxa"/>
            <w:tcBorders>
              <w:top w:val="single" w:color="000000" w:sz="4" w:space="0"/>
              <w:left w:val="single" w:color="000000" w:sz="4" w:space="0"/>
              <w:bottom w:val="single" w:color="000000" w:sz="4" w:space="0"/>
              <w:right w:val="single" w:color="000000" w:sz="4" w:space="0"/>
            </w:tcBorders>
            <w:shd w:val="clear" w:color="auto" w:fill="FFFFFF"/>
            <w:tcMar>
              <w:top w:w="75" w:type="dxa"/>
              <w:left w:w="95" w:type="dxa"/>
              <w:bottom w:w="75" w:type="dxa"/>
              <w:right w:w="95" w:type="dxa"/>
            </w:tcMar>
            <w:vAlign w:val="center"/>
          </w:tcPr>
          <w:p w14:paraId="11743EFD">
            <w:pPr>
              <w:spacing w:after="0" w:line="254" w:lineRule="auto"/>
              <w:rPr>
                <w:b w:val="0"/>
                <w:color w:val="000000"/>
              </w:rPr>
            </w:pPr>
            <w:r>
              <w:rPr>
                <w:rFonts w:ascii="Aptos" w:hAnsi="Aptos"/>
                <w:b w:val="0"/>
                <w:color w:val="000000"/>
                <w:sz w:val="17"/>
              </w:rPr>
              <w:t>0–11 years: 2,612 (20.0%); 12 years: 3,966 (30.4%); 13–15 years: 3,154 (24.2%); 16–17 years: 3,321 (25.4%)</w:t>
            </w:r>
          </w:p>
        </w:tc>
      </w:tr>
    </w:tbl>
    <w:p w14:paraId="3BDC44A5">
      <w:pPr>
        <w:keepNext/>
        <w:spacing w:before="140" w:after="80"/>
      </w:pPr>
      <w:r>
        <w:rPr>
          <w:b/>
        </w:rPr>
        <w:t xml:space="preserve">Figure 1. </w:t>
      </w:r>
      <w:r>
        <w:t>Distributions of age, sex, race or ethnicity, and years of education.</w:t>
      </w:r>
    </w:p>
    <w:p w14:paraId="05244056">
      <w:pPr>
        <w:spacing w:after="120"/>
        <w:jc w:val="center"/>
      </w:pPr>
      <w:r>
        <w:drawing>
          <wp:inline distT="0" distB="0" distL="114300" distR="114300">
            <wp:extent cx="5669280" cy="3761740"/>
            <wp:effectExtent l="0" t="0" r="2032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3762037"/>
                    </a:xfrm>
                    <a:prstGeom prst="rect">
                      <a:avLst/>
                    </a:prstGeom>
                  </pic:spPr>
                </pic:pic>
              </a:graphicData>
            </a:graphic>
          </wp:inline>
        </w:drawing>
      </w:r>
    </w:p>
    <w:p w14:paraId="27A967A3">
      <w:r>
        <w:t>The sex split is moderately uneven (41.3% male and 58.7% female), but both groups are well represented. Participants aged 85 or older account for 17.9% of the sample. Non-Hispanic White participants form the largest race or ethnicity group (62.7%); Non-Hispanic Other is the smallest (375 participants, 2.9%). The latter group's separate test results, if reported, may be less stable. Education is spread across the four descriptive groups, with 12 years the largest category (30.4%).</w:t>
      </w:r>
    </w:p>
    <w:p w14:paraId="746DD5D9">
      <w:r>
        <w:t>These distributions do not require automatic resampling. The project predicts a continuous cognition score, so there are no outcome classes that must have equal counts. Overall predictive performance may reflect the larger demographic groups more strongly. We should report the sample composition and later check whether the training and test sets have similar distributions.</w:t>
      </w:r>
    </w:p>
    <w:p w14:paraId="24AB18B2">
      <w:pPr>
        <w:pStyle w:val="3"/>
      </w:pPr>
      <w:r>
        <w:t>Planned predictive analysis</w:t>
      </w:r>
    </w:p>
    <w:p w14:paraId="428A9DF1">
      <w:r>
        <w:t>Model 1 will use age, sex, race or ethnicity, education, marital status, smoking, and BMI. Model 2 will use the same variables plus Chronic Disease Burden. Both models will predict the 0 to 27 cognition score. Comparing their performance on held-out data will show whether the disease count adds useful predictive information beyond the other selected features.</w:t>
      </w:r>
    </w:p>
    <w:p w14:paraId="09B37120">
      <w:r>
        <w:t>The saved split notebook reports 9,137 training participants and 3,916 test participants, corresponding to a 70/30 split. Because the final dataset has one row per participant, a person cannot appear in both sets. No accuracy, error, or other model-performance result is available yet.</w:t>
      </w:r>
      <w:bookmarkStart w:id="0" w:name="_GoBack"/>
      <w:bookmarkEnd w:id="0"/>
    </w:p>
    <w:p w14:paraId="1CAD36EE">
      <w:pPr>
        <w:spacing w:before="160"/>
      </w:pPr>
      <w:r>
        <w:rPr>
          <w:b/>
        </w:rPr>
        <w:t xml:space="preserve">Source of counts: </w:t>
      </w:r>
      <w:r>
        <w:t xml:space="preserve">saved aggregate outputs from Extract data.ipynb, data cleaning.ipynb, and data split.ipynb, plus the demographic EDA summary files and figure. </w:t>
      </w:r>
    </w:p>
    <w:sectPr>
      <w:pgSz w:w="12240" w:h="15840"/>
      <w:pgMar w:top="893" w:right="979" w:bottom="893" w:left="97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B8A9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69" w:lineRule="auto"/>
    </w:pPr>
    <w:rPr>
      <w:rFonts w:ascii="Aptos" w:hAnsi="Aptos" w:eastAsiaTheme="minorEastAsia" w:cstheme="minorBidi"/>
      <w:color w:val="202020"/>
      <w:sz w:val="20"/>
      <w:szCs w:val="22"/>
      <w:lang w:val="en-US" w:eastAsia="en-US" w:bidi="ar-SA"/>
    </w:rPr>
  </w:style>
  <w:style w:type="paragraph" w:styleId="3">
    <w:name w:val="heading 1"/>
    <w:basedOn w:val="1"/>
    <w:next w:val="1"/>
    <w:link w:val="138"/>
    <w:qFormat/>
    <w:uiPriority w:val="9"/>
    <w:pPr>
      <w:keepNext/>
      <w:keepLines/>
      <w:spacing w:before="200" w:after="80"/>
      <w:outlineLvl w:val="0"/>
    </w:pPr>
    <w:rPr>
      <w:rFonts w:asciiTheme="majorHAnsi" w:hAnsiTheme="majorHAnsi" w:eastAsiaTheme="majorEastAsia" w:cstheme="majorBidi"/>
      <w:b/>
      <w:bCs/>
      <w:color w:val="000000"/>
      <w:sz w:val="25"/>
      <w:szCs w:val="28"/>
    </w:rPr>
  </w:style>
  <w:style w:type="paragraph" w:styleId="4">
    <w:name w:val="heading 2"/>
    <w:basedOn w:val="1"/>
    <w:next w:val="1"/>
    <w:link w:val="139"/>
    <w:unhideWhenUsed/>
    <w:qFormat/>
    <w:uiPriority w:val="9"/>
    <w:pPr>
      <w:keepNext/>
      <w:keepLines/>
      <w:spacing w:before="160" w:after="60"/>
      <w:outlineLvl w:val="1"/>
    </w:pPr>
    <w:rPr>
      <w:rFonts w:asciiTheme="majorHAnsi" w:hAnsiTheme="majorHAnsi" w:eastAsiaTheme="majorEastAsia" w:cstheme="majorBidi"/>
      <w:b/>
      <w:bCs/>
      <w:color w:val="000000"/>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before="0" w:after="140" w:line="240" w:lineRule="auto"/>
      <w:contextualSpacing/>
    </w:pPr>
    <w:rPr>
      <w:rFonts w:asciiTheme="majorHAnsi" w:hAnsiTheme="majorHAnsi" w:eastAsiaTheme="majorEastAsia" w:cstheme="majorBidi"/>
      <w:b/>
      <w:color w:val="000000"/>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2013-12-23T16:15:00Z</dcterms:created>
  <dc:creator>densoul</dc:creator>
  <dc:description>generated by python-docx</dc:description>
  <cp:lastModifiedBy>densoul</cp:lastModifiedBy>
  <dcterms:modified xsi:type="dcterms:W3CDTF">2026-10-13T12:56:55Z</dcterms:modified>
  <dc:subject>Aggregate sample and missing data summary</dc:subject>
  <dc:title>HRS Data Summary for Cognitive Prediction Project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B573569FC1EDED38F77ECE6AF2568C34_42</vt:lpwstr>
  </property>
</Properties>
</file>