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FAAB" w14:textId="77777777" w:rsidR="00D76F93" w:rsidRDefault="00D76F93"/>
    <w:p w14:paraId="2523691C" w14:textId="77777777" w:rsidR="00D76F93" w:rsidRDefault="007F6821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EDC648" wp14:editId="41DC8F13">
            <wp:extent cx="2764790" cy="6421120"/>
            <wp:effectExtent l="0" t="0" r="0" b="0"/>
            <wp:docPr id="1" name="Picture 4" descr="Chart,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hart,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1BBB" w14:textId="64E5C3F1" w:rsidR="00D76F93" w:rsidRDefault="007F6821">
      <w:pPr>
        <w:jc w:val="both"/>
      </w:pPr>
      <w:r>
        <w:rPr>
          <w:b/>
          <w:bCs/>
        </w:rPr>
        <w:t>Supplementary Figure 1.</w:t>
      </w:r>
      <w:r>
        <w:t xml:space="preserve"> </w:t>
      </w:r>
      <w:r w:rsidRPr="007F6821">
        <w:rPr>
          <w:b/>
          <w:bCs/>
          <w:color w:val="000000" w:themeColor="text1"/>
          <w:lang w:val="en-US"/>
        </w:rPr>
        <w:t>Stable states of the Logical model</w:t>
      </w:r>
      <w:r w:rsidRPr="007F6821">
        <w:rPr>
          <w:b/>
          <w:bCs/>
          <w:color w:val="000000" w:themeColor="text1"/>
          <w:lang w:val="en-US"/>
        </w:rPr>
        <w:t xml:space="preserve"> and matching cell types</w:t>
      </w:r>
      <w:r>
        <w:rPr>
          <w:color w:val="000000" w:themeColor="text1"/>
          <w:lang w:val="en-US"/>
        </w:rPr>
        <w:t xml:space="preserve">. The first column corresponds to the final outcome </w:t>
      </w:r>
      <w:r>
        <w:rPr>
          <w:color w:val="000000" w:themeColor="text1"/>
          <w:lang w:val="en-US"/>
        </w:rPr>
        <w:t xml:space="preserve">(stable state) </w:t>
      </w:r>
      <w:r>
        <w:rPr>
          <w:color w:val="000000" w:themeColor="text1"/>
          <w:lang w:val="en-US"/>
        </w:rPr>
        <w:t xml:space="preserve">in the absence of both IL4, and CSF2, </w:t>
      </w:r>
      <w:r>
        <w:rPr>
          <w:i/>
          <w:color w:val="000000" w:themeColor="text1"/>
          <w:lang w:val="en-US"/>
        </w:rPr>
        <w:t>i.e.,</w:t>
      </w:r>
      <w:r>
        <w:rPr>
          <w:color w:val="000000" w:themeColor="text1"/>
          <w:lang w:val="en-US"/>
        </w:rPr>
        <w:t xml:space="preserve"> cell-death of the monocytes. The second column corresponds to </w:t>
      </w:r>
      <w:r>
        <w:rPr>
          <w:color w:val="000000" w:themeColor="text1"/>
          <w:lang w:val="en-US"/>
        </w:rPr>
        <w:t xml:space="preserve">the stable state </w:t>
      </w:r>
      <w:r>
        <w:rPr>
          <w:rFonts w:eastAsia="Calibri"/>
          <w:color w:val="000000" w:themeColor="text1"/>
          <w:lang w:val="en-US"/>
        </w:rPr>
        <w:t>obtained for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the stimulation of monocytes by IL4. The third column</w:t>
      </w:r>
      <w:r>
        <w:rPr>
          <w:color w:val="000000" w:themeColor="text1"/>
          <w:lang w:val="en-US"/>
        </w:rPr>
        <w:t xml:space="preserve"> corresponds to the macrophage outcome, in the presence of the sole CSF2. Finally, the fourth column corresponds to </w:t>
      </w:r>
      <w:proofErr w:type="spellStart"/>
      <w:r>
        <w:rPr>
          <w:color w:val="000000" w:themeColor="text1"/>
          <w:lang w:val="en-US"/>
        </w:rPr>
        <w:t>moDC</w:t>
      </w:r>
      <w:proofErr w:type="spellEnd"/>
      <w:r>
        <w:rPr>
          <w:color w:val="000000" w:themeColor="text1"/>
          <w:lang w:val="en-US"/>
        </w:rPr>
        <w:t xml:space="preserve"> commitment, in the presence of both IL4, and CSF2, where STAT3 reaches the level 2 in the presence of the long non-coding RNA </w:t>
      </w:r>
      <w:proofErr w:type="spellStart"/>
      <w:r>
        <w:rPr>
          <w:color w:val="000000" w:themeColor="text1"/>
          <w:lang w:val="en-US"/>
        </w:rPr>
        <w:t>LnC</w:t>
      </w:r>
      <w:proofErr w:type="spellEnd"/>
      <w:r>
        <w:rPr>
          <w:color w:val="000000" w:themeColor="text1"/>
          <w:lang w:val="en-US"/>
        </w:rPr>
        <w:t>-DC, a</w:t>
      </w:r>
      <w:r>
        <w:rPr>
          <w:color w:val="000000" w:themeColor="text1"/>
          <w:lang w:val="en-US"/>
        </w:rPr>
        <w:t xml:space="preserve">nd PU.1 reaches the level 2, which is required to turn-off MAFB during </w:t>
      </w:r>
      <w:proofErr w:type="spellStart"/>
      <w:r>
        <w:rPr>
          <w:color w:val="000000" w:themeColor="text1"/>
          <w:lang w:val="en-US"/>
        </w:rPr>
        <w:t>moDC</w:t>
      </w:r>
      <w:proofErr w:type="spellEnd"/>
      <w:r>
        <w:rPr>
          <w:color w:val="000000" w:themeColor="text1"/>
          <w:lang w:val="en-US"/>
        </w:rPr>
        <w:t xml:space="preserve"> commitment. </w:t>
      </w:r>
    </w:p>
    <w:p w14:paraId="1928B67E" w14:textId="77777777" w:rsidR="00D76F93" w:rsidRDefault="00D76F93">
      <w:pPr>
        <w:spacing w:line="360" w:lineRule="auto"/>
        <w:jc w:val="both"/>
      </w:pPr>
    </w:p>
    <w:sectPr w:rsidR="00D76F93">
      <w:pgSz w:w="12240" w:h="15840"/>
      <w:pgMar w:top="72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H184V144R524O245"/>
    <w:docVar w:name="paperpile-doc-name" w:val="Supplementary_Figure1_complete_statablesStates_28Jan2021.docx"/>
  </w:docVars>
  <w:rsids>
    <w:rsidRoot w:val="00D76F93"/>
    <w:rsid w:val="007F6821"/>
    <w:rsid w:val="00D7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15AC"/>
  <w15:docId w15:val="{42E2944B-4BF9-964D-89B0-E2A116DD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6BD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qFormat/>
    <w:rsid w:val="0077465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774651"/>
    <w:rPr>
      <w:rFonts w:ascii="Times New Roman" w:eastAsia="Times New Roman" w:hAnsi="Times New Roman" w:cs="Times New Roman"/>
      <w:sz w:val="20"/>
      <w:szCs w:val="20"/>
      <w:lang w:val="e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6BDF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qFormat/>
    <w:rsid w:val="00774651"/>
    <w:rPr>
      <w:rFonts w:ascii="Times New Roman" w:eastAsia="Times New Roman" w:hAnsi="Times New Roman" w:cs="Times New Roman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F7CA7A-83BF-6F41-88E1-C132A571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Karen Julia Nuñez Reza</cp:lastModifiedBy>
  <cp:revision>8</cp:revision>
  <cp:lastPrinted>2021-02-01T04:57:00Z</cp:lastPrinted>
  <dcterms:created xsi:type="dcterms:W3CDTF">2021-01-28T18:39:00Z</dcterms:created>
  <dcterms:modified xsi:type="dcterms:W3CDTF">2021-02-01T14:18:00Z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