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E1E4F" w14:textId="4413CDDF" w:rsidR="002750F4" w:rsidRPr="002750F4" w:rsidRDefault="002750F4" w:rsidP="002750F4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2750F4">
        <w:rPr>
          <w:rFonts w:ascii="Times New Roman" w:eastAsia="Times New Roman" w:hAnsi="Times New Roman" w:cs="Times New Roman"/>
          <w:b/>
          <w:bCs/>
          <w:lang w:val="en-US"/>
        </w:rPr>
        <w:t>Supplementary Table 2. References from previous known regulatory interactions from figure 3.</w:t>
      </w:r>
    </w:p>
    <w:p w14:paraId="46CDB35C" w14:textId="77777777" w:rsidR="002750F4" w:rsidRPr="002750F4" w:rsidRDefault="002750F4" w:rsidP="002750F4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214"/>
        <w:gridCol w:w="6358"/>
      </w:tblGrid>
      <w:tr w:rsidR="002750F4" w:rsidRPr="002750F4" w14:paraId="6BB7F20E" w14:textId="77777777" w:rsidTr="002750F4">
        <w:trPr>
          <w:trHeight w:val="500"/>
        </w:trPr>
        <w:tc>
          <w:tcPr>
            <w:tcW w:w="0" w:type="auto"/>
          </w:tcPr>
          <w:p w14:paraId="77AC7C31" w14:textId="3E924DDE" w:rsidR="002750F4" w:rsidRPr="002750F4" w:rsidRDefault="002750F4" w:rsidP="00275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hd w:val="clear" w:color="auto" w:fill="FFFFFF"/>
              </w:rPr>
            </w:pPr>
            <w:r w:rsidRPr="002750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Transcription factor</w:t>
            </w:r>
          </w:p>
        </w:tc>
        <w:tc>
          <w:tcPr>
            <w:tcW w:w="0" w:type="auto"/>
          </w:tcPr>
          <w:p w14:paraId="2F25595D" w14:textId="0DC224E8" w:rsidR="002750F4" w:rsidRPr="002750F4" w:rsidRDefault="002750F4" w:rsidP="002750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Target gene</w:t>
            </w:r>
          </w:p>
        </w:tc>
        <w:tc>
          <w:tcPr>
            <w:tcW w:w="0" w:type="auto"/>
          </w:tcPr>
          <w:p w14:paraId="46E21E79" w14:textId="6BACA658" w:rsidR="002750F4" w:rsidRPr="002750F4" w:rsidRDefault="002750F4" w:rsidP="002750F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</w:pPr>
            <w:r w:rsidRPr="002750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Reference</w:t>
            </w:r>
          </w:p>
        </w:tc>
      </w:tr>
      <w:tr w:rsidR="002750F4" w:rsidRPr="002750F4" w14:paraId="5F58ABA0" w14:textId="77777777" w:rsidTr="002750F4">
        <w:trPr>
          <w:trHeight w:val="500"/>
        </w:trPr>
        <w:tc>
          <w:tcPr>
            <w:tcW w:w="0" w:type="auto"/>
          </w:tcPr>
          <w:p w14:paraId="0391E941" w14:textId="10AC6833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PU.1</w:t>
            </w:r>
          </w:p>
        </w:tc>
        <w:tc>
          <w:tcPr>
            <w:tcW w:w="0" w:type="auto"/>
          </w:tcPr>
          <w:p w14:paraId="0FAE047C" w14:textId="412623E6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CD11C</w:t>
            </w:r>
          </w:p>
        </w:tc>
        <w:tc>
          <w:tcPr>
            <w:tcW w:w="0" w:type="auto"/>
          </w:tcPr>
          <w:p w14:paraId="21EEC06C" w14:textId="6F3C114F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28338898. PU.1 transactivates the Itgax (CD11C) promoter via direct binding to the cis-element on the gene in DCs and through gene regulation of a partner molecule, IRF4, which transactivates the Itgax gene in a synergistic manner with PU.1.</w:t>
            </w:r>
          </w:p>
        </w:tc>
      </w:tr>
      <w:tr w:rsidR="002750F4" w:rsidRPr="002750F4" w14:paraId="283EDF0F" w14:textId="77777777" w:rsidTr="002750F4">
        <w:trPr>
          <w:trHeight w:val="500"/>
        </w:trPr>
        <w:tc>
          <w:tcPr>
            <w:tcW w:w="0" w:type="auto"/>
          </w:tcPr>
          <w:p w14:paraId="3EC8BFD7" w14:textId="64D2EA9B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STAT6</w:t>
            </w:r>
          </w:p>
        </w:tc>
        <w:tc>
          <w:tcPr>
            <w:tcW w:w="0" w:type="auto"/>
          </w:tcPr>
          <w:p w14:paraId="0A7F219E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CD209, </w:t>
            </w:r>
          </w:p>
          <w:p w14:paraId="36746044" w14:textId="4A394DB0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CD83</w:t>
            </w:r>
          </w:p>
        </w:tc>
        <w:tc>
          <w:tcPr>
            <w:tcW w:w="0" w:type="auto"/>
          </w:tcPr>
          <w:p w14:paraId="136647FC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26758199. Treatment with PF-956980 (that inhibit STAT6) affected the presence of the surface markers CD209 and CD83 during GM-CSF/IL-4-mediated differentiation to DCs.</w:t>
            </w:r>
          </w:p>
          <w:p w14:paraId="299DDD48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750F4" w:rsidRPr="002750F4" w14:paraId="12A02D87" w14:textId="77777777" w:rsidTr="002750F4">
        <w:trPr>
          <w:trHeight w:val="500"/>
        </w:trPr>
        <w:tc>
          <w:tcPr>
            <w:tcW w:w="0" w:type="auto"/>
            <w:hideMark/>
          </w:tcPr>
          <w:p w14:paraId="26DD9DE2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AP1/JUN</w:t>
            </w:r>
          </w:p>
        </w:tc>
        <w:tc>
          <w:tcPr>
            <w:tcW w:w="0" w:type="auto"/>
            <w:hideMark/>
          </w:tcPr>
          <w:p w14:paraId="1EFEB122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AP1</w:t>
            </w:r>
          </w:p>
        </w:tc>
        <w:tc>
          <w:tcPr>
            <w:tcW w:w="0" w:type="auto"/>
            <w:hideMark/>
          </w:tcPr>
          <w:p w14:paraId="2BDE2A83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22550342. Macrophage specific H3K4me1 regions were characterized by a distinct motif composition, including GT box, an AP1 like motif, an E box element, the consensus PU.1 motif, a composite CEBP_bZIP element, and a NFKB motif.</w:t>
            </w:r>
          </w:p>
          <w:p w14:paraId="0511B02C" w14:textId="77777777" w:rsidR="002750F4" w:rsidRPr="002750F4" w:rsidRDefault="002750F4" w:rsidP="002750F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750F4" w:rsidRPr="002750F4" w14:paraId="0D450CA7" w14:textId="77777777" w:rsidTr="002750F4">
        <w:trPr>
          <w:trHeight w:val="500"/>
        </w:trPr>
        <w:tc>
          <w:tcPr>
            <w:tcW w:w="0" w:type="auto"/>
            <w:hideMark/>
          </w:tcPr>
          <w:p w14:paraId="25FF4798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CEBPA</w:t>
            </w:r>
          </w:p>
        </w:tc>
        <w:tc>
          <w:tcPr>
            <w:tcW w:w="0" w:type="auto"/>
            <w:hideMark/>
          </w:tcPr>
          <w:p w14:paraId="4D6A6ADC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CEBPA</w:t>
            </w:r>
          </w:p>
          <w:p w14:paraId="06924F32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CEBPB</w:t>
            </w:r>
          </w:p>
        </w:tc>
        <w:tc>
          <w:tcPr>
            <w:tcW w:w="0" w:type="auto"/>
            <w:hideMark/>
          </w:tcPr>
          <w:p w14:paraId="35F4D967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28584084. C/EBPβ can rescue the formation of granulocytes in C/EBPα-deficient mice. Moreover, C/EBPβ almost always binds at C/EBPα-binding sites</w:t>
            </w:r>
          </w:p>
        </w:tc>
      </w:tr>
      <w:tr w:rsidR="002750F4" w:rsidRPr="002750F4" w14:paraId="4888DCF1" w14:textId="77777777" w:rsidTr="002750F4">
        <w:trPr>
          <w:trHeight w:val="500"/>
        </w:trPr>
        <w:tc>
          <w:tcPr>
            <w:tcW w:w="0" w:type="auto"/>
            <w:hideMark/>
          </w:tcPr>
          <w:p w14:paraId="2D031A0B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IRF4</w:t>
            </w:r>
          </w:p>
        </w:tc>
        <w:tc>
          <w:tcPr>
            <w:tcW w:w="0" w:type="auto"/>
            <w:hideMark/>
          </w:tcPr>
          <w:p w14:paraId="6B0AD463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IRF4</w:t>
            </w:r>
          </w:p>
        </w:tc>
        <w:tc>
          <w:tcPr>
            <w:tcW w:w="0" w:type="auto"/>
            <w:hideMark/>
          </w:tcPr>
          <w:p w14:paraId="1982C33E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10453013. IRF4 protein bound to a regulatory element in its own promoter, suggesting an autoregulatory loop controlling IRF4 mRNA expression in DCs.</w:t>
            </w:r>
          </w:p>
        </w:tc>
      </w:tr>
      <w:tr w:rsidR="002750F4" w:rsidRPr="002750F4" w14:paraId="51CAC877" w14:textId="77777777" w:rsidTr="002750F4">
        <w:trPr>
          <w:trHeight w:val="500"/>
        </w:trPr>
        <w:tc>
          <w:tcPr>
            <w:tcW w:w="0" w:type="auto"/>
            <w:hideMark/>
          </w:tcPr>
          <w:p w14:paraId="4590E4F7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IRF8</w:t>
            </w:r>
          </w:p>
        </w:tc>
        <w:tc>
          <w:tcPr>
            <w:tcW w:w="0" w:type="auto"/>
            <w:hideMark/>
          </w:tcPr>
          <w:p w14:paraId="62ACA248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BATF3 CEBPA </w:t>
            </w:r>
          </w:p>
          <w:p w14:paraId="13DA9A19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KLF4 </w:t>
            </w:r>
          </w:p>
          <w:p w14:paraId="445660D0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MAFB</w:t>
            </w:r>
          </w:p>
        </w:tc>
        <w:tc>
          <w:tcPr>
            <w:tcW w:w="0" w:type="auto"/>
            <w:hideMark/>
          </w:tcPr>
          <w:p w14:paraId="40CCDA16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28781277. KLF4 and BATF3 serve as critical transcription factors downstream of IRF8 to induce the differentiation of monocytes and DCs, respectively.</w:t>
            </w:r>
          </w:p>
          <w:p w14:paraId="0DD7659F" w14:textId="77777777" w:rsidR="002750F4" w:rsidRPr="002750F4" w:rsidRDefault="002750F4" w:rsidP="002750F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B624042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28781277. Conversely, IRF8 blocks the activity of the transcription factor CEBPalfa to suppress the neutrophil differentiation program.</w:t>
            </w:r>
          </w:p>
          <w:p w14:paraId="2347DFFF" w14:textId="77777777" w:rsidR="002750F4" w:rsidRPr="002750F4" w:rsidRDefault="002750F4" w:rsidP="002750F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7690012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23319570. Analysis of DNA motifs in cis-regulatory elements of these indirect IRF8 target genes predicted that Krüppel-like factor-4 (KLF4)</w:t>
            </w:r>
          </w:p>
          <w:p w14:paraId="3234827D" w14:textId="77777777" w:rsidR="002750F4" w:rsidRPr="002750F4" w:rsidRDefault="002750F4" w:rsidP="002750F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7EC7FC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23319570. IRF8-induced transcription factor genes such as MafB have also been implicated in monocyte differentiation.</w:t>
            </w:r>
          </w:p>
        </w:tc>
      </w:tr>
      <w:tr w:rsidR="002750F4" w:rsidRPr="002750F4" w14:paraId="08B85934" w14:textId="77777777" w:rsidTr="002750F4">
        <w:trPr>
          <w:trHeight w:val="500"/>
        </w:trPr>
        <w:tc>
          <w:tcPr>
            <w:tcW w:w="0" w:type="auto"/>
            <w:hideMark/>
          </w:tcPr>
          <w:p w14:paraId="6B7966BA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KLF4</w:t>
            </w:r>
          </w:p>
        </w:tc>
        <w:tc>
          <w:tcPr>
            <w:tcW w:w="0" w:type="auto"/>
            <w:hideMark/>
          </w:tcPr>
          <w:p w14:paraId="2B66E42F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IRF8</w:t>
            </w:r>
          </w:p>
        </w:tc>
        <w:tc>
          <w:tcPr>
            <w:tcW w:w="0" w:type="auto"/>
            <w:hideMark/>
          </w:tcPr>
          <w:p w14:paraId="254CA73B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23319570. Introduction of KLF4 into an Irf8(-/-) myeloid progenitor cell line induced a subset of IRF8 target genes and caused partial monocyte differentiation.</w:t>
            </w:r>
          </w:p>
        </w:tc>
      </w:tr>
      <w:tr w:rsidR="002750F4" w:rsidRPr="002750F4" w14:paraId="390012A5" w14:textId="77777777" w:rsidTr="002750F4">
        <w:trPr>
          <w:trHeight w:val="500"/>
        </w:trPr>
        <w:tc>
          <w:tcPr>
            <w:tcW w:w="0" w:type="auto"/>
            <w:hideMark/>
          </w:tcPr>
          <w:p w14:paraId="2342E068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MAFB</w:t>
            </w:r>
          </w:p>
        </w:tc>
        <w:tc>
          <w:tcPr>
            <w:tcW w:w="0" w:type="auto"/>
            <w:hideMark/>
          </w:tcPr>
          <w:p w14:paraId="57A7B851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CEBPB</w:t>
            </w:r>
          </w:p>
        </w:tc>
        <w:tc>
          <w:tcPr>
            <w:tcW w:w="0" w:type="auto"/>
            <w:hideMark/>
          </w:tcPr>
          <w:p w14:paraId="17F54FB8" w14:textId="22F9A1B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12966068. Upon inspection of the 8.2-kb nucleotides sequence, we found a consensus ets-binding site at 7.8-kb upstream and a consensus C/EBP-binding site at 86-bp upstream of the transcription initiation site of the mafB gene.</w:t>
            </w:r>
          </w:p>
        </w:tc>
      </w:tr>
      <w:tr w:rsidR="002750F4" w:rsidRPr="002750F4" w14:paraId="6A923F37" w14:textId="77777777" w:rsidTr="002750F4">
        <w:trPr>
          <w:trHeight w:val="500"/>
        </w:trPr>
        <w:tc>
          <w:tcPr>
            <w:tcW w:w="0" w:type="auto"/>
            <w:hideMark/>
          </w:tcPr>
          <w:p w14:paraId="52D824BF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lastRenderedPageBreak/>
              <w:t>NFKB1</w:t>
            </w:r>
          </w:p>
        </w:tc>
        <w:tc>
          <w:tcPr>
            <w:tcW w:w="0" w:type="auto"/>
            <w:hideMark/>
          </w:tcPr>
          <w:p w14:paraId="4906A74D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IRF4 </w:t>
            </w:r>
          </w:p>
          <w:p w14:paraId="1F4D0EBD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NFKB2</w:t>
            </w:r>
          </w:p>
        </w:tc>
        <w:tc>
          <w:tcPr>
            <w:tcW w:w="0" w:type="auto"/>
            <w:hideMark/>
          </w:tcPr>
          <w:p w14:paraId="6A3B335D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16272311. The promoter of IRF4, a gene involved in subset-specific DC development, also contains several putative NF-kB binding sites.</w:t>
            </w:r>
          </w:p>
          <w:p w14:paraId="7C2E544B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14:paraId="1864B576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22323450. Activation of this noncanonical member of the NF-B family is induced independently from the canonical NF-B signaling pathway, but an interaction between canonical and noncanonical NF-B proteins has been described.</w:t>
            </w:r>
          </w:p>
        </w:tc>
      </w:tr>
      <w:tr w:rsidR="002750F4" w:rsidRPr="002750F4" w14:paraId="24E96164" w14:textId="77777777" w:rsidTr="002750F4">
        <w:trPr>
          <w:trHeight w:val="500"/>
        </w:trPr>
        <w:tc>
          <w:tcPr>
            <w:tcW w:w="0" w:type="auto"/>
            <w:hideMark/>
          </w:tcPr>
          <w:p w14:paraId="07900889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PU.1</w:t>
            </w:r>
          </w:p>
        </w:tc>
        <w:tc>
          <w:tcPr>
            <w:tcW w:w="0" w:type="auto"/>
            <w:hideMark/>
          </w:tcPr>
          <w:p w14:paraId="3BA4244B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CEBPA CEBPB </w:t>
            </w:r>
          </w:p>
          <w:p w14:paraId="231137C0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IRF4 </w:t>
            </w:r>
          </w:p>
          <w:p w14:paraId="669486CE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IRF8 </w:t>
            </w:r>
          </w:p>
          <w:p w14:paraId="6B0486AB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KLF4 </w:t>
            </w:r>
          </w:p>
          <w:p w14:paraId="27AF354D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MAFB</w:t>
            </w:r>
          </w:p>
        </w:tc>
        <w:tc>
          <w:tcPr>
            <w:tcW w:w="0" w:type="auto"/>
            <w:hideMark/>
          </w:tcPr>
          <w:p w14:paraId="079C8319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17762869. PU.1 induced the KLF4 promoter 15 fold.</w:t>
            </w:r>
          </w:p>
          <w:p w14:paraId="1A5E0B6F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24070385. Pu.1 in monocytes favors DC development at the expense of a macrophage fate by directly inhibiting expression of the macrophage factor, MafB.</w:t>
            </w:r>
          </w:p>
        </w:tc>
      </w:tr>
      <w:tr w:rsidR="002750F4" w:rsidRPr="002750F4" w14:paraId="0BA1FA38" w14:textId="77777777" w:rsidTr="002750F4">
        <w:trPr>
          <w:trHeight w:val="500"/>
        </w:trPr>
        <w:tc>
          <w:tcPr>
            <w:tcW w:w="0" w:type="auto"/>
            <w:hideMark/>
          </w:tcPr>
          <w:p w14:paraId="2849F86B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STAT5</w:t>
            </w:r>
          </w:p>
        </w:tc>
        <w:tc>
          <w:tcPr>
            <w:tcW w:w="0" w:type="auto"/>
            <w:hideMark/>
          </w:tcPr>
          <w:p w14:paraId="38CBF877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CEBPA </w:t>
            </w:r>
          </w:p>
          <w:p w14:paraId="0407ADAC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NFKB2</w:t>
            </w:r>
          </w:p>
        </w:tc>
        <w:tc>
          <w:tcPr>
            <w:tcW w:w="0" w:type="auto"/>
            <w:hideMark/>
          </w:tcPr>
          <w:p w14:paraId="359E5B0E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22323450. STAT5-mediated downregulation</w:t>
            </w:r>
          </w:p>
          <w:p w14:paraId="1717EB13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of PU.1 and C/EBP. STAT5 activates NFKB2 by phosphorylation.</w:t>
            </w:r>
          </w:p>
        </w:tc>
      </w:tr>
      <w:tr w:rsidR="002750F4" w:rsidRPr="002750F4" w14:paraId="2553734D" w14:textId="77777777" w:rsidTr="002750F4">
        <w:trPr>
          <w:trHeight w:val="500"/>
        </w:trPr>
        <w:tc>
          <w:tcPr>
            <w:tcW w:w="0" w:type="auto"/>
            <w:hideMark/>
          </w:tcPr>
          <w:p w14:paraId="6008E04D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STAT6</w:t>
            </w:r>
          </w:p>
        </w:tc>
        <w:tc>
          <w:tcPr>
            <w:tcW w:w="0" w:type="auto"/>
            <w:hideMark/>
          </w:tcPr>
          <w:p w14:paraId="4F91DF62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NFKB</w:t>
            </w:r>
          </w:p>
          <w:p w14:paraId="2A33A4A5" w14:textId="77777777" w:rsidR="002750F4" w:rsidRPr="002750F4" w:rsidRDefault="002750F4" w:rsidP="002750F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PU.1</w:t>
            </w:r>
          </w:p>
        </w:tc>
        <w:tc>
          <w:tcPr>
            <w:tcW w:w="0" w:type="auto"/>
            <w:hideMark/>
          </w:tcPr>
          <w:p w14:paraId="1A4012F4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16540365. Another transcription factor that has been implicated in STAT6 signaling is NF-kB.</w:t>
            </w:r>
          </w:p>
          <w:p w14:paraId="2723D948" w14:textId="77777777" w:rsidR="002750F4" w:rsidRPr="002750F4" w:rsidRDefault="002750F4" w:rsidP="002750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50F4">
              <w:rPr>
                <w:rFonts w:ascii="Times New Roman" w:eastAsia="Times New Roman" w:hAnsi="Times New Roman" w:cs="Times New Roman"/>
                <w:color w:val="000000" w:themeColor="text1"/>
              </w:rPr>
              <w:t>PMID: 26758199. An alternative mechanism may be provided if STAT6 recruits PU.1.</w:t>
            </w:r>
          </w:p>
        </w:tc>
      </w:tr>
    </w:tbl>
    <w:p w14:paraId="5A7493D5" w14:textId="77777777" w:rsidR="002750F4" w:rsidRDefault="002750F4"/>
    <w:sectPr w:rsidR="00275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I784V141R532P225"/>
    <w:docVar w:name="paperpile-doc-name" w:val="Supplementary_Table2_References_Fig3.docx"/>
  </w:docVars>
  <w:rsids>
    <w:rsidRoot w:val="002750F4"/>
    <w:rsid w:val="002750F4"/>
    <w:rsid w:val="008C0F1E"/>
    <w:rsid w:val="00BE226B"/>
    <w:rsid w:val="00E4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EE62C"/>
  <w15:chartTrackingRefBased/>
  <w15:docId w15:val="{DE5362D7-5FC4-9D4D-863B-BB84D38A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0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75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Julia Nuñez Reza</dc:creator>
  <cp:keywords/>
  <dc:description/>
  <cp:lastModifiedBy>Karen Julia Nuñez Reza</cp:lastModifiedBy>
  <cp:revision>3</cp:revision>
  <dcterms:created xsi:type="dcterms:W3CDTF">2021-01-28T01:17:00Z</dcterms:created>
  <dcterms:modified xsi:type="dcterms:W3CDTF">2021-02-05T04:18:00Z</dcterms:modified>
</cp:coreProperties>
</file>