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欧盟法规自动监控系统使用操作说明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本文档由 </w:t>
            </w:r>
            <w:hyperlink r:id="rId4">
              <w:r>
                <w:rPr>
                  <w:rFonts w:eastAsia="等线" w:ascii="Arial" w:cs="Arial" w:hAnsi="Arial"/>
                  <w:color w:val="3370ff"/>
                  <w:sz w:val="22"/>
                </w:rPr>
                <w:t>飞书 aily</w:t>
              </w:r>
            </w:hyperlink>
            <w:r>
              <w:rPr>
                <w:rFonts w:eastAsia="等线" w:ascii="Arial" w:cs="Arial" w:hAnsi="Arial"/>
                <w:color w:val="646a73"/>
                <w:sz w:val="22"/>
              </w:rPr>
              <w:t xml:space="preserve"> 创建</w:t>
            </w:r>
          </w:p>
        </w:tc>
      </w:tr>
    </w:tbl>
    <w:p/>
    <w:tbl>
      <w:tblPr>
        <w:tblW w:w="0" w:type="auto"/>
        <w:tblInd w:w="0" w:type="dxa"/>
        <w:tblBorders>
          <w:top w:val="single" w:color="b7edb1"/>
          <w:left w:val="single" w:color="b7edb1"/>
          <w:bottom w:val="single" w:color="b7edb1"/>
          <w:right w:val="single" w:color="b7edb1"/>
          <w:insideH w:val="single" w:color="b7edb1"/>
          <w:insideV w:val="single" w:color="b7edb1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本系统已为您自动监控EUR-Lex和欧盟能源效率网站，每天下午4点09分准时扫描，发现新法规立即分析并记录。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系统概述：你的24小时法规监控助手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这套系统是您的</w:t>
      </w:r>
      <w:r>
        <w:rPr>
          <w:rFonts w:eastAsia="等线" w:ascii="Arial" w:cs="Arial" w:hAnsi="Arial"/>
          <w:b w:val="true"/>
          <w:sz w:val="22"/>
        </w:rPr>
        <w:t>24小时欧盟法规监控助手</w:t>
      </w:r>
      <w:r>
        <w:rPr>
          <w:rFonts w:eastAsia="等线" w:ascii="Arial" w:cs="Arial" w:hAnsi="Arial"/>
          <w:sz w:val="22"/>
        </w:rPr>
        <w:t>。它每天自动扫描欧盟官方网站，发现新法规后，由AI分析是否与电视产品相关，并将结果整理好放入多维表格中，等待您的审阅。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系统能为您节省三件事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省去手动刷网站的时间</w:t>
      </w:r>
      <w:r>
        <w:rPr>
          <w:rFonts w:eastAsia="等线" w:ascii="Arial" w:cs="Arial" w:hAnsi="Arial"/>
          <w:sz w:val="22"/>
        </w:rPr>
        <w:t>：无需每天登录多个欧盟网站查看更新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省去逐字阅读法规的精力</w:t>
      </w:r>
      <w:r>
        <w:rPr>
          <w:rFonts w:eastAsia="等线" w:ascii="Arial" w:cs="Arial" w:hAnsi="Arial"/>
          <w:sz w:val="22"/>
        </w:rPr>
        <w:t>：AI会自动生成200字以内的内容摘要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省去筛选无关信息的工作</w:t>
      </w:r>
      <w:r>
        <w:rPr>
          <w:rFonts w:eastAsia="等线" w:ascii="Arial" w:cs="Arial" w:hAnsi="Arial"/>
          <w:sz w:val="22"/>
        </w:rPr>
        <w:t>：AI会初步判断法规是否与电视相关，过滤掉大量无关内容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系统的工作节奏是</w:t>
      </w:r>
      <w:r>
        <w:rPr>
          <w:rFonts w:eastAsia="等线" w:ascii="Arial" w:cs="Arial" w:hAnsi="Arial"/>
          <w:b w:val="true"/>
          <w:sz w:val="22"/>
        </w:rPr>
        <w:t>每天下午16:09自动执行一次</w:t>
      </w:r>
      <w:r>
        <w:rPr>
          <w:rFonts w:eastAsia="等线" w:ascii="Arial" w:cs="Arial" w:hAnsi="Arial"/>
          <w:sz w:val="22"/>
        </w:rPr>
        <w:t>，无论工作日还是节假日，都会准时运行。您只需要在方便的时候查看表格结果即可。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表格字段详解：每个格子代表什么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我们的监控结果都记录在这个多维表格中：</w:t>
      </w:r>
      <w:hyperlink r:id="rId6">
        <w:r>
          <w:rPr>
            <w:rFonts w:eastAsia="等线" w:ascii="Arial" w:cs="Arial" w:hAnsi="Arial"/>
            <w:color w:val="3370ff"/>
            <w:sz w:val="22"/>
          </w:rPr>
          <w:t>法规列表</w:t>
        </w:r>
      </w:hyperlink>
      <w:r>
        <w:rPr>
          <w:rFonts w:eastAsia="等线" w:ascii="Arial" w:cs="Arial" w:hAnsi="Arial"/>
          <w:sz w:val="22"/>
        </w:rPr>
        <w:t>。表格中的每个字段都有特定含义：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表格字段分工示意图：左侧为AI自动填写，右侧需要人工操作</w:t>
        <w:br/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AI自动填写的字段（系统完成）</w:t>
            </w:r>
            <w:r>
              <w:rPr>
                <w:rFonts w:eastAsia="等线" w:ascii="Arial" w:cs="Arial" w:hAnsi="Arial"/>
                <w:sz w:val="22"/>
              </w:rPr>
              <w:t>：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法规标题</w:t>
            </w:r>
            <w:r>
              <w:rPr>
                <w:rFonts w:eastAsia="等线" w:ascii="Arial" w:cs="Arial" w:hAnsi="Arial"/>
                <w:sz w:val="22"/>
              </w:rPr>
              <w:t>：AI从法规原文中提取的完整标题，这是法规的唯一标识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来源网站</w:t>
            </w:r>
            <w:r>
              <w:rPr>
                <w:rFonts w:eastAsia="等线" w:ascii="Arial" w:cs="Arial" w:hAnsi="Arial"/>
                <w:sz w:val="22"/>
              </w:rPr>
              <w:t>：法规来自哪个网站，目前有EUR-Lex和欧盟能源效率网站两个选项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发布日期</w:t>
            </w:r>
            <w:r>
              <w:rPr>
                <w:rFonts w:eastAsia="等线" w:ascii="Arial" w:cs="Arial" w:hAnsi="Arial"/>
                <w:sz w:val="22"/>
              </w:rPr>
              <w:t>：法规在官方网站上正式公布的时间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生效日期</w:t>
            </w:r>
            <w:r>
              <w:rPr>
                <w:rFonts w:eastAsia="等线" w:ascii="Arial" w:cs="Arial" w:hAnsi="Arial"/>
                <w:sz w:val="22"/>
              </w:rPr>
              <w:t>：法规正式实施、具有法律效力的时间，AI会努力从原文中提取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内容摘要</w:t>
            </w:r>
            <w:r>
              <w:rPr>
                <w:rFonts w:eastAsia="等线" w:ascii="Arial" w:cs="Arial" w:hAnsi="Arial"/>
                <w:sz w:val="22"/>
              </w:rPr>
              <w:t>：AI用200字以内总结的法规核心内容，方便快速了解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与电视相关</w:t>
            </w:r>
            <w:r>
              <w:rPr>
                <w:rFonts w:eastAsia="等线" w:ascii="Arial" w:cs="Arial" w:hAnsi="Arial"/>
                <w:sz w:val="22"/>
              </w:rPr>
              <w:t>：AI的初步判断，分为“是”、“否”、“待确认”三种状态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相关领域</w:t>
            </w:r>
            <w:r>
              <w:rPr>
                <w:rFonts w:eastAsia="等线" w:ascii="Arial" w:cs="Arial" w:hAnsi="Arial"/>
                <w:sz w:val="22"/>
              </w:rPr>
              <w:t>：如果判断为相关，AI会标记具体领域：能效、安全、环保、认证、进出口、其他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原文链接</w:t>
            </w:r>
            <w:r>
              <w:rPr>
                <w:rFonts w:eastAsia="等线" w:ascii="Arial" w:cs="Arial" w:hAnsi="Arial"/>
                <w:sz w:val="22"/>
              </w:rPr>
              <w:t>：点击可直接跳转到法规原文页面查看完整内容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记录时间</w:t>
            </w:r>
            <w:r>
              <w:rPr>
                <w:rFonts w:eastAsia="等线" w:ascii="Arial" w:cs="Arial" w:hAnsi="Arial"/>
                <w:sz w:val="22"/>
              </w:rPr>
              <w:t>：系统自动记录该条信息写入表格的时间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需要人工操作/复核的字段（您来完成）</w:t>
            </w:r>
            <w:r>
              <w:rPr>
                <w:rFonts w:eastAsia="等线" w:ascii="Arial" w:cs="Arial" w:hAnsi="Arial"/>
                <w:sz w:val="22"/>
              </w:rPr>
              <w:t>：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处理状态</w:t>
            </w:r>
            <w:r>
              <w:rPr>
                <w:rFonts w:eastAsia="等线" w:ascii="Arial" w:cs="Arial" w:hAnsi="Arial"/>
                <w:sz w:val="22"/>
              </w:rPr>
              <w:t>：记录当前处理进度，您需要及时更新为“待审核”、“已确认”或“已通知”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与电视相关</w:t>
            </w:r>
            <w:r>
              <w:rPr>
                <w:rFonts w:eastAsia="等线" w:ascii="Arial" w:cs="Arial" w:hAnsi="Arial"/>
                <w:sz w:val="22"/>
              </w:rPr>
              <w:t>：这是</w:t>
            </w:r>
            <w:r>
              <w:rPr>
                <w:rFonts w:eastAsia="等线" w:ascii="Arial" w:cs="Arial" w:hAnsi="Arial"/>
                <w:b w:val="true"/>
                <w:sz w:val="22"/>
              </w:rPr>
              <w:t>需要重点复核</w:t>
            </w:r>
            <w:r>
              <w:rPr>
                <w:rFonts w:eastAsia="等线" w:ascii="Arial" w:cs="Arial" w:hAnsi="Arial"/>
                <w:sz w:val="22"/>
              </w:rPr>
              <w:t>的字段，AI判断可能有误差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生效日期</w:t>
            </w:r>
            <w:r>
              <w:rPr>
                <w:rFonts w:eastAsia="等线" w:ascii="Arial" w:cs="Arial" w:hAnsi="Arial"/>
                <w:sz w:val="22"/>
              </w:rPr>
              <w:t>：需要</w:t>
            </w:r>
            <w:r>
              <w:rPr>
                <w:rFonts w:eastAsia="等线" w:ascii="Arial" w:cs="Arial" w:hAnsi="Arial"/>
                <w:b w:val="true"/>
                <w:sz w:val="22"/>
              </w:rPr>
              <w:t>核对准确性</w:t>
            </w:r>
            <w:r>
              <w:rPr>
                <w:rFonts w:eastAsia="等线" w:ascii="Arial" w:cs="Arial" w:hAnsi="Arial"/>
                <w:sz w:val="22"/>
              </w:rPr>
              <w:t>，特别是重要的法规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关键提示</w:t>
      </w:r>
      <w:r>
        <w:rPr>
          <w:rFonts w:eastAsia="等线" w:ascii="Arial" w:cs="Arial" w:hAnsi="Arial"/>
          <w:sz w:val="22"/>
        </w:rPr>
        <w:t>：您的工作重点是</w:t>
      </w:r>
      <w:r>
        <w:rPr>
          <w:rFonts w:eastAsia="等线" w:ascii="Arial" w:cs="Arial" w:hAnsi="Arial"/>
          <w:b w:val="true"/>
          <w:sz w:val="22"/>
        </w:rPr>
        <w:t>复核“与电视相关”字段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更新“处理状态”字段</w:t>
      </w:r>
      <w:r>
        <w:rPr>
          <w:rFonts w:eastAsia="等线" w:ascii="Arial" w:cs="Arial" w:hAnsi="Arial"/>
          <w:sz w:val="22"/>
        </w:rPr>
        <w:t>，其他字段系统已经帮您填好了。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日常操作流程：每天只需10分钟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使用这套系统，您每天只需要花费10分钟左右的时间，就能完成欧盟法规监控工作：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第一步：查看新记录</w:t>
      </w:r>
      <w:r>
        <w:rPr>
          <w:rFonts w:eastAsia="等线" w:ascii="Arial" w:cs="Arial" w:hAnsi="Arial"/>
          <w:sz w:val="22"/>
        </w:rPr>
        <w:t>每天下午4点之后，打开</w:t>
      </w:r>
      <w:hyperlink r:id="rId8">
        <w:r>
          <w:rPr>
            <w:rFonts w:eastAsia="等线" w:ascii="Arial" w:cs="Arial" w:hAnsi="Arial"/>
            <w:color w:val="3370ff"/>
            <w:sz w:val="22"/>
          </w:rPr>
          <w:t>法规列表表格</w:t>
        </w:r>
      </w:hyperlink>
      <w:r>
        <w:rPr>
          <w:rFonts w:eastAsia="等线" w:ascii="Arial" w:cs="Arial" w:hAnsi="Arial"/>
          <w:sz w:val="22"/>
        </w:rPr>
        <w:t>，查看是否有新增加的记录。系统会在16:09运行，通常几分钟后就能看到结果。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第二步：复核AI判断</w:t>
      </w:r>
      <w:r>
        <w:rPr>
          <w:rFonts w:eastAsia="等线" w:ascii="Arial" w:cs="Arial" w:hAnsi="Arial"/>
          <w:sz w:val="22"/>
        </w:rPr>
        <w:t>重点关注“与电视相关”字段为“</w:t>
      </w:r>
      <w:r>
        <w:rPr>
          <w:rFonts w:eastAsia="等线" w:ascii="Arial" w:cs="Arial" w:hAnsi="Arial"/>
          <w:b w:val="true"/>
          <w:sz w:val="22"/>
        </w:rPr>
        <w:t>待确认</w:t>
      </w:r>
      <w:r>
        <w:rPr>
          <w:rFonts w:eastAsia="等线" w:ascii="Arial" w:cs="Arial" w:hAnsi="Arial"/>
          <w:sz w:val="22"/>
        </w:rPr>
        <w:t>”的记录。按照下一章的方法，快速复核这些法规是否真的与电视产品相关。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第三步：核对生效日期</w:t>
      </w:r>
      <w:r>
        <w:rPr>
          <w:rFonts w:eastAsia="等线" w:ascii="Arial" w:cs="Arial" w:hAnsi="Arial"/>
          <w:sz w:val="22"/>
        </w:rPr>
        <w:t>对于重要的法规，点击“原文链接”查看原始文档，核对“生效日期”是否准确。特别是那些AI标记为“是”的法规。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第四步：更新处理状态</w:t>
      </w:r>
      <w:r>
        <w:rPr>
          <w:rFonts w:eastAsia="等线" w:ascii="Arial" w:cs="Arial" w:hAnsi="Arial"/>
          <w:sz w:val="22"/>
        </w:rPr>
        <w:t>根据复核结果，将“处理状态”从“待审核”更新为：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已确认</w:t>
      </w:r>
      <w:r>
        <w:rPr>
          <w:rFonts w:eastAsia="等线" w:ascii="Arial" w:cs="Arial" w:hAnsi="Arial"/>
          <w:sz w:val="22"/>
        </w:rPr>
        <w:t>：确认法规与电视相关，需要进一步处理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已通知</w:t>
      </w:r>
      <w:r>
        <w:rPr>
          <w:rFonts w:eastAsia="等线" w:ascii="Arial" w:cs="Arial" w:hAnsi="Arial"/>
          <w:sz w:val="22"/>
        </w:rPr>
        <w:t>：已通知相关同事或部门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保持“待审核”：如果还需要更多时间研究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第五步：通知相关人员</w:t>
      </w:r>
      <w:r>
        <w:rPr>
          <w:rFonts w:eastAsia="等线" w:ascii="Arial" w:cs="Arial" w:hAnsi="Arial"/>
          <w:sz w:val="22"/>
        </w:rPr>
        <w:t>如果确认为相关法规，及时通过邮件或其他方式通知产品、研发、认证等相关部门的同事。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每周例行检查</w:t>
      </w:r>
      <w:r>
        <w:rPr>
          <w:rFonts w:eastAsia="等线" w:ascii="Arial" w:cs="Arial" w:hAnsi="Arial"/>
          <w:sz w:val="22"/>
        </w:rPr>
        <w:t>每周五下午，检查表格中是否还有“待审核”状态的记录，确保没有遗漏任何需要处理的法规。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如何复核AI的判断准确性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AI判断“与电视相关”的依据是六个维度：</w:t>
      </w:r>
      <w:r>
        <w:rPr>
          <w:rFonts w:eastAsia="等线" w:ascii="Arial" w:cs="Arial" w:hAnsi="Arial"/>
          <w:b w:val="true"/>
          <w:sz w:val="22"/>
        </w:rPr>
        <w:t>能效、安全、环保、认证、进出口、化学物质限制</w:t>
      </w:r>
      <w:r>
        <w:rPr>
          <w:rFonts w:eastAsia="等线" w:ascii="Arial" w:cs="Arial" w:hAnsi="Arial"/>
          <w:sz w:val="22"/>
        </w:rPr>
        <w:t>。但AI不是万能的，判断可能有误差，需要您复核。</w:t>
      </w:r>
    </w:p>
    <w:tbl>
      <w:tblPr>
        <w:tblW w:w="0" w:type="auto"/>
        <w:tblInd w:w="0" w:type="dxa"/>
        <w:tblBorders>
          <w:top w:val="single" w:color="fff67a"/>
          <w:left w:val="single" w:color="fff67a"/>
          <w:bottom w:val="single" w:color="fff67a"/>
          <w:right w:val="single" w:color="fff67a"/>
          <w:insideH w:val="single" w:color="fff67a"/>
          <w:insideV w:val="single" w:color="fff67a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重要提示</w:t>
            </w:r>
            <w:r>
              <w:rPr>
                <w:rFonts w:eastAsia="等线" w:ascii="Arial" w:cs="Arial" w:hAnsi="Arial"/>
                <w:sz w:val="22"/>
              </w:rPr>
              <w:t>：AI判断可能有误差，特别是法规未明确提及“电视”但涉及能效、安全等通用要求时。拿不准请标记为“待确认”。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三种快速复核方法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浏览内容摘要</w:t>
      </w:r>
      <w:r>
        <w:rPr>
          <w:rFonts w:eastAsia="等线" w:ascii="Arial" w:cs="Arial" w:hAnsi="Arial"/>
          <w:sz w:val="22"/>
        </w:rPr>
        <w:t>：快速阅读AI生成的“内容摘要”，看是否涉及</w:t>
      </w:r>
      <w:r>
        <w:rPr>
          <w:rFonts w:eastAsia="等线" w:ascii="Arial" w:cs="Arial" w:hAnsi="Arial"/>
          <w:b w:val="true"/>
          <w:sz w:val="22"/>
        </w:rPr>
        <w:t>电视、显示器、显示设备、television、TV、display、monitor</w:t>
      </w:r>
      <w:r>
        <w:rPr>
          <w:rFonts w:eastAsia="等线" w:ascii="Arial" w:cs="Arial" w:hAnsi="Arial"/>
          <w:sz w:val="22"/>
        </w:rPr>
        <w:t>等关键词。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搜索原文关键词</w:t>
      </w:r>
      <w:r>
        <w:rPr>
          <w:rFonts w:eastAsia="等线" w:ascii="Arial" w:cs="Arial" w:hAnsi="Arial"/>
          <w:sz w:val="22"/>
        </w:rPr>
        <w:t>：点击“原文链接”，在打开的网页中使用浏览器的搜索功能（Ctrl+F），搜索上述关键词，看法规中是否明确提及电视产品。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查看相关领域</w:t>
      </w:r>
      <w:r>
        <w:rPr>
          <w:rFonts w:eastAsia="等线" w:ascii="Arial" w:cs="Arial" w:hAnsi="Arial"/>
          <w:sz w:val="22"/>
        </w:rPr>
        <w:t>：如果“相关领域”中标记了</w:t>
      </w:r>
      <w:r>
        <w:rPr>
          <w:rFonts w:eastAsia="等线" w:ascii="Arial" w:cs="Arial" w:hAnsi="Arial"/>
          <w:b w:val="true"/>
          <w:sz w:val="22"/>
        </w:rPr>
        <w:t>能效、安全、认证</w:t>
      </w:r>
      <w:r>
        <w:rPr>
          <w:rFonts w:eastAsia="等线" w:ascii="Arial" w:cs="Arial" w:hAnsi="Arial"/>
          <w:sz w:val="22"/>
        </w:rPr>
        <w:t>等电视产品常见的监管领域，即使法规没有明确提及“电视”，也可能相关。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常见误判情况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法规涉及</w:t>
      </w:r>
      <w:r>
        <w:rPr>
          <w:rFonts w:eastAsia="等线" w:ascii="Arial" w:cs="Arial" w:hAnsi="Arial"/>
          <w:b w:val="true"/>
          <w:sz w:val="22"/>
        </w:rPr>
        <w:t>电子电器产品</w:t>
      </w:r>
      <w:r>
        <w:rPr>
          <w:rFonts w:eastAsia="等线" w:ascii="Arial" w:cs="Arial" w:hAnsi="Arial"/>
          <w:sz w:val="22"/>
        </w:rPr>
        <w:t>但未专门提及电视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法规涉及</w:t>
      </w:r>
      <w:r>
        <w:rPr>
          <w:rFonts w:eastAsia="等线" w:ascii="Arial" w:cs="Arial" w:hAnsi="Arial"/>
          <w:b w:val="true"/>
          <w:sz w:val="22"/>
        </w:rPr>
        <w:t>能效要求</w:t>
      </w:r>
      <w:r>
        <w:rPr>
          <w:rFonts w:eastAsia="等线" w:ascii="Arial" w:cs="Arial" w:hAnsi="Arial"/>
          <w:sz w:val="22"/>
        </w:rPr>
        <w:t>但未指定具体产品类型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法规是</w:t>
      </w:r>
      <w:r>
        <w:rPr>
          <w:rFonts w:eastAsia="等线" w:ascii="Arial" w:cs="Arial" w:hAnsi="Arial"/>
          <w:b w:val="true"/>
          <w:sz w:val="22"/>
        </w:rPr>
        <w:t>框架性指令</w:t>
      </w:r>
      <w:r>
        <w:rPr>
          <w:rFonts w:eastAsia="等线" w:ascii="Arial" w:cs="Arial" w:hAnsi="Arial"/>
          <w:sz w:val="22"/>
        </w:rPr>
        <w:t>，后续会出台具体实施条例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处理原则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宁可错杀，不可放过</w:t>
      </w:r>
      <w:r>
        <w:rPr>
          <w:rFonts w:eastAsia="等线" w:ascii="Arial" w:cs="Arial" w:hAnsi="Arial"/>
          <w:sz w:val="22"/>
        </w:rPr>
        <w:t>。如果拿不准，就标记为“待确认”，或者咨询更专业的同事。对于重要的法规领域（如能效、安全），即使AI判断为“否”，也建议您快速浏览一下内容摘要。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生效日期的意义与应对时间安排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生效日期</w:t>
      </w:r>
      <w:r>
        <w:rPr>
          <w:rFonts w:eastAsia="等线" w:ascii="Arial" w:cs="Arial" w:hAnsi="Arial"/>
          <w:sz w:val="22"/>
        </w:rPr>
        <w:t>是法规管理中</w:t>
      </w:r>
      <w:r>
        <w:rPr>
          <w:rFonts w:eastAsia="等线" w:ascii="Arial" w:cs="Arial" w:hAnsi="Arial"/>
          <w:b w:val="true"/>
          <w:sz w:val="22"/>
        </w:rPr>
        <w:t>最重要的时间节点</w:t>
      </w:r>
      <w:r>
        <w:rPr>
          <w:rFonts w:eastAsia="等线" w:ascii="Arial" w:cs="Arial" w:hAnsi="Arial"/>
          <w:sz w:val="22"/>
        </w:rPr>
        <w:t>，它标志着法规从这一天开始正式具有法律效力，我们的产品必须符合其要求。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法规应对时间线：从发布到生效的关键阶段</w:t>
        <w:br/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为什么需要核对生效日期？</w:t>
      </w:r>
      <w:r>
        <w:rPr>
          <w:rFonts w:eastAsia="等线" w:ascii="Arial" w:cs="Arial" w:hAnsi="Arial"/>
          <w:sz w:val="22"/>
        </w:rPr>
        <w:t>AI提取的生效日期可能不准确，因为：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有时法规中未明确写明生效日期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有时法规有多个生效日期（不同条款不同时间）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AI可能误将发布日期识别为生效日期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如何核对生效日期？</w:t>
      </w:r>
      <w:r>
        <w:rPr>
          <w:rFonts w:eastAsia="等线" w:ascii="Arial" w:cs="Arial" w:hAnsi="Arial"/>
          <w:sz w:val="22"/>
        </w:rPr>
        <w:t>点击“原文链接”，在原文中搜索以下关键词：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entry into force</w:t>
      </w:r>
      <w:r>
        <w:rPr>
          <w:rFonts w:eastAsia="等线" w:ascii="Arial" w:cs="Arial" w:hAnsi="Arial"/>
          <w:sz w:val="22"/>
        </w:rPr>
        <w:t>（生效）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effective date</w:t>
      </w:r>
      <w:r>
        <w:rPr>
          <w:rFonts w:eastAsia="等线" w:ascii="Arial" w:cs="Arial" w:hAnsi="Arial"/>
          <w:sz w:val="22"/>
        </w:rPr>
        <w:t>（生效日期）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apply from</w:t>
      </w:r>
      <w:r>
        <w:rPr>
          <w:rFonts w:eastAsia="等线" w:ascii="Arial" w:cs="Arial" w:hAnsi="Arial"/>
          <w:sz w:val="22"/>
        </w:rPr>
        <w:t>（自...起适用）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shall apply</w:t>
      </w:r>
      <w:r>
        <w:rPr>
          <w:rFonts w:eastAsia="等线" w:ascii="Arial" w:cs="Arial" w:hAnsi="Arial"/>
          <w:sz w:val="22"/>
        </w:rPr>
        <w:t>（应适用）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内部应对时间线建议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  <w:t>根据生效日期，建议按以下时间安排内部工作：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002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紧急情况处理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  <w:t>如果发现某条法规的生效日期已经很近（如</w:t>
      </w:r>
      <w:r>
        <w:rPr>
          <w:rFonts w:eastAsia="等线" w:ascii="Arial" w:cs="Arial" w:hAnsi="Arial"/>
          <w:b w:val="true"/>
          <w:sz w:val="22"/>
        </w:rPr>
        <w:t>3个月内</w:t>
      </w:r>
      <w:r>
        <w:rPr>
          <w:rFonts w:eastAsia="等线" w:ascii="Arial" w:cs="Arial" w:hAnsi="Arial"/>
          <w:sz w:val="22"/>
        </w:rPr>
        <w:t>），需要立即启动紧急应对流程，优先处理。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常见问题解答（FAQ）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Q1：AI漏掉了某条重要法规怎么办？</w:t>
      </w:r>
      <w:r>
        <w:rPr>
          <w:rFonts w:eastAsia="等线" w:ascii="Arial" w:cs="Arial" w:hAnsi="Arial"/>
          <w:sz w:val="22"/>
        </w:rPr>
        <w:t>A：可能是该法规未在我们监控的网站上发布，或者AI在提取时出现了技术问题。建议您定期（如每月一次）手动检查重要的欧盟法规网站，作为系统监控的补充。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Q2：生效日期提取错误怎么办？</w:t>
      </w:r>
      <w:r>
        <w:rPr>
          <w:rFonts w:eastAsia="等线" w:ascii="Arial" w:cs="Arial" w:hAnsi="Arial"/>
          <w:sz w:val="22"/>
        </w:rPr>
        <w:t>A：点击“原文链接”手动核对正确的生效日期。您可以在表格的“内容摘要”字段末尾添加备注，如“【修正】实际生效日期为2026年10月1日”。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Q3：想增加监控网站怎么办？</w:t>
      </w:r>
      <w:r>
        <w:rPr>
          <w:rFonts w:eastAsia="等线" w:ascii="Arial" w:cs="Arial" w:hAnsi="Arial"/>
          <w:sz w:val="22"/>
        </w:rPr>
        <w:t>A：请联系系统管理员，提供您希望监控的网站地址和具体的监控需求。管理员会评估技术可行性后进行调整。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Q4：AI判断“不相关”但我认为相关怎么办？</w:t>
      </w:r>
      <w:r>
        <w:rPr>
          <w:rFonts w:eastAsia="等线" w:ascii="Arial" w:cs="Arial" w:hAnsi="Arial"/>
          <w:sz w:val="22"/>
        </w:rPr>
        <w:t>A：您可以直接在表格中手动修改“与电视相关”字段，从“否”改为“是”。建议在“内容摘要”中添加备注说明您的判断依据。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Q5：系统每天运行但表格没有新记录？</w:t>
      </w:r>
      <w:r>
        <w:rPr>
          <w:rFonts w:eastAsia="等线" w:ascii="Arial" w:cs="Arial" w:hAnsi="Arial"/>
          <w:sz w:val="22"/>
        </w:rPr>
        <w:t>A：这通常是正常情况，说明当天监控的网站没有发布新法规。如果连续多天没有新记录，可能是网站暂时无法访问，系统会在下次运行时自动重试。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Q6：如何修改通知对象？</w:t>
      </w:r>
      <w:r>
        <w:rPr>
          <w:rFonts w:eastAsia="等线" w:ascii="Arial" w:cs="Arial" w:hAnsi="Arial"/>
          <w:sz w:val="22"/>
        </w:rPr>
        <w:t>A：请联系系统管理员调整邮件通知列表。请提供需要添加或删除的人员邮箱地址。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Q7：发现法规内容摘要不准确怎么办？</w:t>
      </w:r>
      <w:r>
        <w:rPr>
          <w:rFonts w:eastAsia="等线" w:ascii="Arial" w:cs="Arial" w:hAnsi="Arial"/>
          <w:sz w:val="22"/>
        </w:rPr>
        <w:t>A：AI生成的内容摘要可能无法完全准确反映法规细节。对于重要的法规，建议您点击“原文链接”查看完整内容，并在“内容摘要”字段中进行补充或修正。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联系与系统调整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系统配置可以根据实际需求进行调整，但需要联系专业人员操作。</w:t>
      </w:r>
    </w:p>
    <w:tbl>
      <w:tblPr>
        <w:tblW w:w="0" w:type="auto"/>
        <w:tblInd w:w="0" w:type="dxa"/>
        <w:tblBorders>
          <w:top w:val="single" w:color="bacefd"/>
          <w:left w:val="single" w:color="bacefd"/>
          <w:bottom w:val="single" w:color="bacefd"/>
          <w:right w:val="single" w:color="bacefd"/>
          <w:insideH w:val="single" w:color="bacefd"/>
          <w:insideV w:val="single" w:color="bacefd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如需调整监控频率、增加网站、修改通知对象，请联系系统管理员。请提前准备好具体的调整需求和原因说明。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可以调整的系统配置包括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监控频率</w:t>
      </w:r>
      <w:r>
        <w:rPr>
          <w:rFonts w:eastAsia="等线" w:ascii="Arial" w:cs="Arial" w:hAnsi="Arial"/>
          <w:sz w:val="22"/>
        </w:rPr>
        <w:t>：如调整为每天多次，或特定时间运行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监控网站</w:t>
      </w:r>
      <w:r>
        <w:rPr>
          <w:rFonts w:eastAsia="等线" w:ascii="Arial" w:cs="Arial" w:hAnsi="Arial"/>
          <w:sz w:val="22"/>
        </w:rPr>
        <w:t>：增加或减少监控的欧盟网站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通知对象</w:t>
      </w:r>
      <w:r>
        <w:rPr>
          <w:rFonts w:eastAsia="等线" w:ascii="Arial" w:cs="Arial" w:hAnsi="Arial"/>
          <w:sz w:val="22"/>
        </w:rPr>
        <w:t>：调整接收通知的邮箱列表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AI判断规则</w:t>
      </w:r>
      <w:r>
        <w:rPr>
          <w:rFonts w:eastAsia="等线" w:ascii="Arial" w:cs="Arial" w:hAnsi="Arial"/>
          <w:sz w:val="22"/>
        </w:rPr>
        <w:t>：优化“与电视相关”的判断逻辑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表格字段</w:t>
      </w:r>
      <w:r>
        <w:rPr>
          <w:rFonts w:eastAsia="等线" w:ascii="Arial" w:cs="Arial" w:hAnsi="Arial"/>
          <w:sz w:val="22"/>
        </w:rPr>
        <w:t>：增加、删除或修改表格字段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联系对象</w:t>
      </w:r>
      <w:r>
        <w:rPr>
          <w:rFonts w:eastAsia="等线" w:ascii="Arial" w:cs="Arial" w:hAnsi="Arial"/>
          <w:sz w:val="22"/>
        </w:rPr>
        <w:t>：系统管理员或IT支持团队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需要提供的信息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具体调整需求</w:t>
      </w:r>
      <w:r>
        <w:rPr>
          <w:rFonts w:eastAsia="等线" w:ascii="Arial" w:cs="Arial" w:hAnsi="Arial"/>
          <w:sz w:val="22"/>
        </w:rPr>
        <w:t>：要调整什么？期望达到什么效果？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调整原因</w:t>
      </w:r>
      <w:r>
        <w:rPr>
          <w:rFonts w:eastAsia="等线" w:ascii="Arial" w:cs="Arial" w:hAnsi="Arial"/>
          <w:sz w:val="22"/>
        </w:rPr>
        <w:t>：为什么需要调整？当前有什么问题？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期望时间</w:t>
      </w:r>
      <w:r>
        <w:rPr>
          <w:rFonts w:eastAsia="等线" w:ascii="Arial" w:cs="Arial" w:hAnsi="Arial"/>
          <w:sz w:val="22"/>
        </w:rPr>
        <w:t>：希望什么时候完成调整？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标准调整流程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提出书面调整需求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管理员评估技术可行性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测试环境验证调整效果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正式环境上线调整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紧急调整</w:t>
      </w:r>
      <w:r>
        <w:rPr>
          <w:rFonts w:eastAsia="等线" w:ascii="Arial" w:cs="Arial" w:hAnsi="Arial"/>
          <w:sz w:val="22"/>
        </w:rPr>
        <w:t>：如遇法规紧急变化，需要立即增加监控或调整规则，可走紧急流程，但需要部门主管批准。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最后提醒</w:t>
      </w:r>
      <w:r>
        <w:rPr>
          <w:rFonts w:eastAsia="等线" w:ascii="Arial" w:cs="Arial" w:hAnsi="Arial"/>
          <w:sz w:val="22"/>
        </w:rPr>
        <w:t>：这套系统的目标是</w:t>
      </w:r>
      <w:r>
        <w:rPr>
          <w:rFonts w:eastAsia="等线" w:ascii="Arial" w:cs="Arial" w:hAnsi="Arial"/>
          <w:b w:val="true"/>
          <w:sz w:val="22"/>
        </w:rPr>
        <w:t>辅助</w:t>
      </w:r>
      <w:r>
        <w:rPr>
          <w:rFonts w:eastAsia="等线" w:ascii="Arial" w:cs="Arial" w:hAnsi="Arial"/>
          <w:sz w:val="22"/>
        </w:rPr>
        <w:t>您的工作，而不是完全替代人工判断。请保持对重要法规的敏感度，结合您的专业经验做出最终判断。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八、智能体关闭后的自主优化指南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当搭建本系统的智能体对话结束后，您完全可以依托已创建的定时任务和多维表格，自主对系统进行持续优化。以下是不需要编程基础即可完成的常见优化操作。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8.1 修改定时任务配置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系统核心是一个已创建好的定时任务（每天16:09执行）。如需调整，可通过以下 Aily 命令操作：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查看现有任务：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运行 </w:t>
      </w:r>
      <w:r>
        <w:rPr>
          <w:rFonts w:eastAsia="Consolas" w:ascii="Consolas" w:cs="Consolas" w:hAnsi="Consolas"/>
          <w:sz w:val="22"/>
          <w:shd w:fill="EFF0F1"/>
        </w:rPr>
        <w:t>aily-schedule list --type cron</w:t>
      </w:r>
      <w:r>
        <w:rPr>
          <w:rFonts w:eastAsia="等线" w:ascii="Arial" w:cs="Arial" w:hAnsi="Arial"/>
          <w:sz w:val="22"/>
        </w:rPr>
        <w:t>，可看到当前所有定时任务及其 ID。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调整执行时间：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例如改为每天早上9点执行：</w:t>
      </w:r>
      <w:r>
        <w:rPr>
          <w:rFonts w:eastAsia="Consolas" w:ascii="Consolas" w:cs="Consolas" w:hAnsi="Consolas"/>
          <w:sz w:val="22"/>
          <w:shd w:fill="EFF0F1"/>
        </w:rPr>
        <w:t>aily-schedule update --id trigger_meta_4kev2n9rpyh78 --type cron --cron "0 0 9 * * *"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Cron表达式格式为：秒 分 时 日 月 周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每天9点：</w:t>
      </w:r>
      <w:r>
        <w:rPr>
          <w:rFonts w:eastAsia="Consolas" w:ascii="Consolas" w:cs="Consolas" w:hAnsi="Consolas"/>
          <w:sz w:val="22"/>
          <w:shd w:fill="EFF0F1"/>
        </w:rPr>
        <w:t>0 0 9 * * *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工作日9点：</w:t>
      </w:r>
      <w:r>
        <w:rPr>
          <w:rFonts w:eastAsia="Consolas" w:ascii="Consolas" w:cs="Consolas" w:hAnsi="Consolas"/>
          <w:sz w:val="22"/>
          <w:shd w:fill="EFF0F1"/>
        </w:rPr>
        <w:t>0 0 9 * * 1-5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每周一9点：</w:t>
      </w:r>
      <w:r>
        <w:rPr>
          <w:rFonts w:eastAsia="Consolas" w:ascii="Consolas" w:cs="Consolas" w:hAnsi="Consolas"/>
          <w:sz w:val="22"/>
          <w:shd w:fill="EFF0F1"/>
        </w:rPr>
        <w:t>0 0 9 * * 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更换/增加监控网站：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运行 </w:t>
      </w:r>
      <w:r>
        <w:rPr>
          <w:rFonts w:eastAsia="Consolas" w:ascii="Consolas" w:cs="Consolas" w:hAnsi="Consolas"/>
          <w:sz w:val="22"/>
          <w:shd w:fill="EFF0F1"/>
        </w:rPr>
        <w:t>aily-schedule update --id trigger_meta_4kev2n9rpyh78 --type cron --prompt "新的完整提示词"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在提示词中修改第1步的网站列表即可。建议保留原有网站框架，在对应分类下新增 URL 和监控重点说明。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调整通知对象：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在提示词第4步"通知推送"中，修改两位同事的 user_id：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王玉秀：</w:t>
      </w:r>
      <w:r>
        <w:rPr>
          <w:rFonts w:eastAsia="Consolas" w:ascii="Consolas" w:cs="Consolas" w:hAnsi="Consolas"/>
          <w:sz w:val="22"/>
          <w:shd w:fill="EFF0F1"/>
        </w:rPr>
        <w:t>7505361929247064066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张利：</w:t>
      </w:r>
      <w:r>
        <w:rPr>
          <w:rFonts w:eastAsia="Consolas" w:ascii="Consolas" w:cs="Consolas" w:hAnsi="Consolas"/>
          <w:sz w:val="22"/>
          <w:shd w:fill="EFF0F1"/>
        </w:rPr>
        <w:t>7505363576341823489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如需增加其他人，先通过 </w:t>
      </w:r>
      <w:r>
        <w:rPr>
          <w:rFonts w:eastAsia="Consolas" w:ascii="Consolas" w:cs="Consolas" w:hAnsi="Consolas"/>
          <w:sz w:val="22"/>
          <w:shd w:fill="EFF0F1"/>
        </w:rPr>
        <w:t>aily-user search --query "姓名"</w:t>
      </w:r>
      <w:r>
        <w:rPr>
          <w:rFonts w:eastAsia="等线" w:ascii="Arial" w:cs="Arial" w:hAnsi="Arial"/>
          <w:sz w:val="22"/>
        </w:rPr>
        <w:t xml:space="preserve"> 查询其 user_id，再填入提示词。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暂停/恢复监控：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暂停：</w:t>
      </w:r>
      <w:r>
        <w:rPr>
          <w:rFonts w:eastAsia="Consolas" w:ascii="Consolas" w:cs="Consolas" w:hAnsi="Consolas"/>
          <w:sz w:val="22"/>
          <w:shd w:fill="EFF0F1"/>
        </w:rPr>
        <w:t>aily-schedule pause --id trigger_meta_4kev2n9rpyh78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恢复：</w:t>
      </w:r>
      <w:r>
        <w:rPr>
          <w:rFonts w:eastAsia="Consolas" w:ascii="Consolas" w:cs="Consolas" w:hAnsi="Consolas"/>
          <w:sz w:val="22"/>
          <w:shd w:fill="EFF0F1"/>
        </w:rPr>
        <w:t>aily-schedule resume --id trigger_meta_4kev2n9rpyh78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8.2 调整多维表格结构与自动化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增加新字段：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打开多维表格，点击右上角「+ 添加字段」，可新增：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"紧急程度"（单选：高/中/低）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"跟进人"（人员字段）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"备注"（文本字段）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"附件"（用于存储法规原文PDF）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设置表格自动化规则（推荐）：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飞书多维表格支持"自动化"功能，可实现：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当"与电视相关"字段被标记为"是"时，自动发送飞书消息通知指定人员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当"生效日期"临近（如30天内）时，自动发送提醒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当"处理状态"变更为"需跟进"时，自动创建飞书任务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设置路径：打开表格 → 右上角「···」→「自动化」→ 按向导配置条件和动作。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数据视图筛选：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利用多维表格的「视图」功能，可快速创建：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"待确认相关"视图：筛选"与电视相关=待确认"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"本月生效"视图：筛选生效日期在当前月份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"按来源分组"视图：按"来源网站"分组展示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8.3 优化相关性判断维度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如需让AI关注更多电视产品细分领域，在定时任务提示词第2步的判断维度中增加：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软件更新与网络安全（software update / cybersecurity）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包装与标签（packaging / labeling）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声音与声学（sound / acoustic）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回收与再利用（recycling / circular economy）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同时在"相关领域"字段的可选值中同步增加对应标签。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8.4 常见问题排查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535"/>
        <w:gridCol w:w="3675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问题现象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可能原因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解决方法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定时任务未执行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任务被暂停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运行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aily-schedule resume --id 任务ID</w:t>
            </w:r>
            <w:r>
              <w:rPr>
                <w:rFonts w:eastAsia="等线" w:ascii="Arial" w:cs="Arial" w:hAnsi="Arial"/>
                <w:sz w:val="22"/>
              </w:rPr>
              <w:t xml:space="preserve"> 恢复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未收到法规通知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当天未发现相关法规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检查任务返回的汇总报告；确认日历事件是否创建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表格出现重复记录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标题去重逻辑未生效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检查"法规标题"是否完全一致（含大小写和标点）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AI判断相关但内容不相关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判断维度过于宽泛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收紧提示词中的判断标准描述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监控网站无法访问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网站改版或URL变更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更新提示词中的URL，确认网站可正常打开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8.5 进阶优化方向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增加法规影响评估：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在提示词中增加要求，让AI不仅判断是否相关，还评估影响等级（如：直接影响产品上市 / 影响产品设计 / 仅影响标签说明 / 无实质影响）。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多语言支持：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如业务涉及非英语国家，可在提示词中要求AI将法规摘要翻译成中文，便于团队快速理解。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与其他系统集成：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将多维表格与飞书项目（Meego）关联，自动生成合规任务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利用飞书审批流程，对高影响法规启动内部评估审批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增加手动触发入口：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除每日自动监控外，可随时运行 </w:t>
      </w:r>
      <w:r>
        <w:rPr>
          <w:rFonts w:eastAsia="Consolas" w:ascii="Consolas" w:cs="Consolas" w:hAnsi="Consolas"/>
          <w:sz w:val="22"/>
          <w:shd w:fill="EFF0F1"/>
        </w:rPr>
        <w:t>aily-schedule run --id trigger_meta_4kev2n9rpyh78</w:t>
      </w:r>
      <w:r>
        <w:rPr>
          <w:rFonts w:eastAsia="等线" w:ascii="Arial" w:cs="Arial" w:hAnsi="Arial"/>
          <w:sz w:val="22"/>
        </w:rPr>
        <w:t xml:space="preserve"> 手动执行一次监控，适合在听说有新法规发布后立即检查。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重要提示：</w:t>
            </w:r>
            <w:r>
              <w:rPr>
                <w:rFonts w:eastAsia="等线" w:ascii="Arial" w:cs="Arial" w:hAnsi="Arial"/>
                <w:sz w:val="22"/>
              </w:rPr>
              <w:t>以上所有操作均基于已创建好的定时任务和多维表格进行，无需重新搭建整个系统。修改提示词后，系统会在下一次执行时自动按新逻辑运行。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|(Note: The content is generated by AI. Please use with caution.)</w:t>
      </w: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383996">
    <w:lvl>
      <w:start w:val="1"/>
      <w:numFmt w:val="decimal"/>
      <w:suff w:val="tab"/>
      <w:lvlText w:val="%1."/>
      <w:rPr>
        <w:color w:val="3370ff"/>
      </w:rPr>
    </w:lvl>
  </w:abstractNum>
  <w:abstractNum w:abstractNumId="1383997">
    <w:lvl>
      <w:start w:val="2"/>
      <w:numFmt w:val="decimal"/>
      <w:suff w:val="tab"/>
      <w:lvlText w:val="%1."/>
      <w:rPr>
        <w:color w:val="3370ff"/>
      </w:rPr>
    </w:lvl>
  </w:abstractNum>
  <w:abstractNum w:abstractNumId="1383998">
    <w:lvl>
      <w:start w:val="3"/>
      <w:numFmt w:val="decimal"/>
      <w:suff w:val="tab"/>
      <w:lvlText w:val="%1."/>
      <w:rPr>
        <w:color w:val="3370ff"/>
      </w:rPr>
    </w:lvl>
  </w:abstractNum>
  <w:abstractNum w:abstractNumId="1383999">
    <w:lvl>
      <w:numFmt w:val="bullet"/>
      <w:suff w:val="tab"/>
      <w:lvlText w:val="•"/>
      <w:rPr>
        <w:color w:val="3370ff"/>
      </w:rPr>
    </w:lvl>
  </w:abstractNum>
  <w:abstractNum w:abstractNumId="1384000">
    <w:lvl>
      <w:numFmt w:val="bullet"/>
      <w:suff w:val="tab"/>
      <w:lvlText w:val="•"/>
      <w:rPr>
        <w:color w:val="3370ff"/>
      </w:rPr>
    </w:lvl>
  </w:abstractNum>
  <w:abstractNum w:abstractNumId="1384001">
    <w:lvl>
      <w:numFmt w:val="bullet"/>
      <w:suff w:val="tab"/>
      <w:lvlText w:val="•"/>
      <w:rPr>
        <w:color w:val="3370ff"/>
      </w:rPr>
    </w:lvl>
  </w:abstractNum>
  <w:abstractNum w:abstractNumId="1384002">
    <w:lvl>
      <w:numFmt w:val="bullet"/>
      <w:suff w:val="tab"/>
      <w:lvlText w:val="•"/>
      <w:rPr>
        <w:color w:val="3370ff"/>
      </w:rPr>
    </w:lvl>
  </w:abstractNum>
  <w:abstractNum w:abstractNumId="1384003">
    <w:lvl>
      <w:numFmt w:val="bullet"/>
      <w:suff w:val="tab"/>
      <w:lvlText w:val="•"/>
      <w:rPr>
        <w:color w:val="3370ff"/>
      </w:rPr>
    </w:lvl>
  </w:abstractNum>
  <w:abstractNum w:abstractNumId="1384004">
    <w:lvl>
      <w:numFmt w:val="bullet"/>
      <w:suff w:val="tab"/>
      <w:lvlText w:val="•"/>
      <w:rPr>
        <w:color w:val="3370ff"/>
      </w:rPr>
    </w:lvl>
  </w:abstractNum>
  <w:abstractNum w:abstractNumId="1384005">
    <w:lvl>
      <w:numFmt w:val="bullet"/>
      <w:suff w:val="tab"/>
      <w:lvlText w:val="•"/>
      <w:rPr>
        <w:color w:val="3370ff"/>
      </w:rPr>
    </w:lvl>
  </w:abstractNum>
  <w:abstractNum w:abstractNumId="1384006">
    <w:lvl>
      <w:numFmt w:val="bullet"/>
      <w:suff w:val="tab"/>
      <w:lvlText w:val="•"/>
      <w:rPr>
        <w:color w:val="3370ff"/>
      </w:rPr>
    </w:lvl>
  </w:abstractNum>
  <w:abstractNum w:abstractNumId="1384007">
    <w:lvl>
      <w:numFmt w:val="bullet"/>
      <w:suff w:val="tab"/>
      <w:lvlText w:val="•"/>
      <w:rPr>
        <w:color w:val="3370ff"/>
      </w:rPr>
    </w:lvl>
  </w:abstractNum>
  <w:abstractNum w:abstractNumId="1384008">
    <w:lvl>
      <w:numFmt w:val="bullet"/>
      <w:suff w:val="tab"/>
      <w:lvlText w:val="•"/>
      <w:rPr>
        <w:color w:val="3370ff"/>
      </w:rPr>
    </w:lvl>
  </w:abstractNum>
  <w:abstractNum w:abstractNumId="1384009">
    <w:lvl>
      <w:numFmt w:val="bullet"/>
      <w:suff w:val="tab"/>
      <w:lvlText w:val="•"/>
      <w:rPr>
        <w:color w:val="3370ff"/>
      </w:rPr>
    </w:lvl>
  </w:abstractNum>
  <w:abstractNum w:abstractNumId="1384010">
    <w:lvl>
      <w:numFmt w:val="bullet"/>
      <w:suff w:val="tab"/>
      <w:lvlText w:val="•"/>
      <w:rPr>
        <w:color w:val="3370ff"/>
      </w:rPr>
    </w:lvl>
  </w:abstractNum>
  <w:abstractNum w:abstractNumId="1384011">
    <w:lvl>
      <w:start w:val="4"/>
      <w:numFmt w:val="decimal"/>
      <w:suff w:val="tab"/>
      <w:lvlText w:val="%1."/>
      <w:rPr>
        <w:color w:val="3370ff"/>
      </w:rPr>
    </w:lvl>
  </w:abstractNum>
  <w:abstractNum w:abstractNumId="1384012">
    <w:lvl>
      <w:start w:val="5"/>
      <w:numFmt w:val="decimal"/>
      <w:suff w:val="tab"/>
      <w:lvlText w:val="%1."/>
      <w:rPr>
        <w:color w:val="3370ff"/>
      </w:rPr>
    </w:lvl>
  </w:abstractNum>
  <w:abstractNum w:abstractNumId="1384013">
    <w:lvl>
      <w:start w:val="6"/>
      <w:numFmt w:val="decimal"/>
      <w:suff w:val="tab"/>
      <w:lvlText w:val="%1."/>
      <w:rPr>
        <w:color w:val="3370ff"/>
      </w:rPr>
    </w:lvl>
  </w:abstractNum>
  <w:abstractNum w:abstractNumId="1384014">
    <w:lvl>
      <w:start w:val="7"/>
      <w:numFmt w:val="decimal"/>
      <w:suff w:val="tab"/>
      <w:lvlText w:val="%1."/>
      <w:rPr>
        <w:color w:val="3370ff"/>
      </w:rPr>
    </w:lvl>
  </w:abstractNum>
  <w:abstractNum w:abstractNumId="1384015">
    <w:lvl>
      <w:numFmt w:val="bullet"/>
      <w:suff w:val="tab"/>
      <w:lvlText w:val="￮"/>
      <w:rPr>
        <w:color w:val="3370ff"/>
      </w:rPr>
    </w:lvl>
  </w:abstractNum>
  <w:abstractNum w:abstractNumId="1384016">
    <w:lvl>
      <w:numFmt w:val="bullet"/>
      <w:suff w:val="tab"/>
      <w:lvlText w:val="￮"/>
      <w:rPr>
        <w:color w:val="3370ff"/>
      </w:rPr>
    </w:lvl>
  </w:abstractNum>
  <w:abstractNum w:abstractNumId="1384017">
    <w:lvl>
      <w:numFmt w:val="bullet"/>
      <w:suff w:val="tab"/>
      <w:lvlText w:val="￮"/>
      <w:rPr>
        <w:color w:val="3370ff"/>
      </w:rPr>
    </w:lvl>
  </w:abstractNum>
  <w:abstractNum w:abstractNumId="1384018">
    <w:lvl>
      <w:start w:val="8"/>
      <w:numFmt w:val="decimal"/>
      <w:suff w:val="tab"/>
      <w:lvlText w:val="%1."/>
      <w:rPr>
        <w:color w:val="3370ff"/>
      </w:rPr>
    </w:lvl>
  </w:abstractNum>
  <w:abstractNum w:abstractNumId="1384019">
    <w:lvl>
      <w:start w:val="9"/>
      <w:numFmt w:val="decimal"/>
      <w:suff w:val="tab"/>
      <w:lvlText w:val="%1."/>
      <w:rPr>
        <w:color w:val="3370ff"/>
      </w:rPr>
    </w:lvl>
  </w:abstractNum>
  <w:abstractNum w:abstractNumId="1384020">
    <w:lvl>
      <w:start w:val="10"/>
      <w:numFmt w:val="decimal"/>
      <w:suff w:val="tab"/>
      <w:lvlText w:val="%1."/>
      <w:rPr>
        <w:color w:val="3370ff"/>
      </w:rPr>
    </w:lvl>
  </w:abstractNum>
  <w:abstractNum w:abstractNumId="1384021">
    <w:lvl>
      <w:start w:val="11"/>
      <w:numFmt w:val="decimal"/>
      <w:suff w:val="tab"/>
      <w:lvlText w:val="%1."/>
      <w:rPr>
        <w:color w:val="3370ff"/>
      </w:rPr>
    </w:lvl>
  </w:abstractNum>
  <w:abstractNum w:abstractNumId="1384022">
    <w:lvl>
      <w:start w:val="12"/>
      <w:numFmt w:val="decimal"/>
      <w:suff w:val="tab"/>
      <w:lvlText w:val="%1."/>
      <w:rPr>
        <w:color w:val="3370ff"/>
      </w:rPr>
    </w:lvl>
  </w:abstractNum>
  <w:abstractNum w:abstractNumId="1384023">
    <w:lvl>
      <w:numFmt w:val="bullet"/>
      <w:suff w:val="tab"/>
      <w:lvlText w:val="•"/>
      <w:rPr>
        <w:color w:val="3370ff"/>
      </w:rPr>
    </w:lvl>
  </w:abstractNum>
  <w:abstractNum w:abstractNumId="1384024">
    <w:lvl>
      <w:numFmt w:val="bullet"/>
      <w:suff w:val="tab"/>
      <w:lvlText w:val="•"/>
      <w:rPr>
        <w:color w:val="3370ff"/>
      </w:rPr>
    </w:lvl>
  </w:abstractNum>
  <w:abstractNum w:abstractNumId="1384025">
    <w:lvl>
      <w:numFmt w:val="bullet"/>
      <w:suff w:val="tab"/>
      <w:lvlText w:val="•"/>
      <w:rPr>
        <w:color w:val="3370ff"/>
      </w:rPr>
    </w:lvl>
  </w:abstractNum>
  <w:abstractNum w:abstractNumId="1384026">
    <w:lvl>
      <w:numFmt w:val="bullet"/>
      <w:suff w:val="tab"/>
      <w:lvlText w:val="•"/>
      <w:rPr>
        <w:color w:val="3370ff"/>
      </w:rPr>
    </w:lvl>
  </w:abstractNum>
  <w:abstractNum w:abstractNumId="1384027">
    <w:lvl>
      <w:numFmt w:val="bullet"/>
      <w:suff w:val="tab"/>
      <w:lvlText w:val="•"/>
      <w:rPr>
        <w:color w:val="3370ff"/>
      </w:rPr>
    </w:lvl>
  </w:abstractNum>
  <w:abstractNum w:abstractNumId="1384028">
    <w:lvl>
      <w:numFmt w:val="bullet"/>
      <w:suff w:val="tab"/>
      <w:lvlText w:val="•"/>
      <w:rPr>
        <w:color w:val="3370ff"/>
      </w:rPr>
    </w:lvl>
  </w:abstractNum>
  <w:abstractNum w:abstractNumId="1384029">
    <w:lvl>
      <w:numFmt w:val="bullet"/>
      <w:suff w:val="tab"/>
      <w:lvlText w:val="•"/>
      <w:rPr>
        <w:color w:val="3370ff"/>
      </w:rPr>
    </w:lvl>
  </w:abstractNum>
  <w:abstractNum w:abstractNumId="1384030">
    <w:lvl>
      <w:numFmt w:val="bullet"/>
      <w:suff w:val="tab"/>
      <w:lvlText w:val="•"/>
      <w:rPr>
        <w:color w:val="3370ff"/>
      </w:rPr>
    </w:lvl>
  </w:abstractNum>
  <w:abstractNum w:abstractNumId="1384031">
    <w:lvl>
      <w:numFmt w:val="bullet"/>
      <w:suff w:val="tab"/>
      <w:lvlText w:val="•"/>
      <w:rPr>
        <w:color w:val="3370ff"/>
      </w:rPr>
    </w:lvl>
  </w:abstractNum>
  <w:abstractNum w:abstractNumId="1384032">
    <w:lvl>
      <w:numFmt w:val="bullet"/>
      <w:suff w:val="tab"/>
      <w:lvlText w:val="•"/>
      <w:rPr>
        <w:color w:val="3370ff"/>
      </w:rPr>
    </w:lvl>
  </w:abstractNum>
  <w:abstractNum w:abstractNumId="1384033">
    <w:lvl>
      <w:numFmt w:val="bullet"/>
      <w:suff w:val="tab"/>
      <w:lvlText w:val="•"/>
      <w:rPr>
        <w:color w:val="3370ff"/>
      </w:rPr>
    </w:lvl>
  </w:abstractNum>
  <w:abstractNum w:abstractNumId="1384034">
    <w:lvl>
      <w:numFmt w:val="bullet"/>
      <w:suff w:val="tab"/>
      <w:lvlText w:val="•"/>
      <w:rPr>
        <w:color w:val="3370ff"/>
      </w:rPr>
    </w:lvl>
  </w:abstractNum>
  <w:abstractNum w:abstractNumId="1384035">
    <w:lvl>
      <w:numFmt w:val="bullet"/>
      <w:suff w:val="tab"/>
      <w:lvlText w:val="•"/>
      <w:rPr>
        <w:color w:val="3370ff"/>
      </w:rPr>
    </w:lvl>
  </w:abstractNum>
  <w:abstractNum w:abstractNumId="1384036">
    <w:lvl>
      <w:numFmt w:val="bullet"/>
      <w:suff w:val="tab"/>
      <w:lvlText w:val="•"/>
      <w:rPr>
        <w:color w:val="3370ff"/>
      </w:rPr>
    </w:lvl>
  </w:abstractNum>
  <w:abstractNum w:abstractNumId="1384037">
    <w:lvl>
      <w:numFmt w:val="bullet"/>
      <w:suff w:val="tab"/>
      <w:lvlText w:val="•"/>
      <w:rPr>
        <w:color w:val="3370ff"/>
      </w:rPr>
    </w:lvl>
  </w:abstractNum>
  <w:abstractNum w:abstractNumId="1384038">
    <w:lvl>
      <w:start w:val="13"/>
      <w:numFmt w:val="decimal"/>
      <w:suff w:val="tab"/>
      <w:lvlText w:val="%1."/>
      <w:rPr>
        <w:color w:val="3370ff"/>
      </w:rPr>
    </w:lvl>
  </w:abstractNum>
  <w:abstractNum w:abstractNumId="1384039">
    <w:lvl>
      <w:start w:val="14"/>
      <w:numFmt w:val="decimal"/>
      <w:suff w:val="tab"/>
      <w:lvlText w:val="%1."/>
      <w:rPr>
        <w:color w:val="3370ff"/>
      </w:rPr>
    </w:lvl>
  </w:abstractNum>
  <w:abstractNum w:abstractNumId="1384040">
    <w:lvl>
      <w:start w:val="15"/>
      <w:numFmt w:val="decimal"/>
      <w:suff w:val="tab"/>
      <w:lvlText w:val="%1."/>
      <w:rPr>
        <w:color w:val="3370ff"/>
      </w:rPr>
    </w:lvl>
  </w:abstractNum>
  <w:abstractNum w:abstractNumId="1384041">
    <w:lvl>
      <w:start w:val="16"/>
      <w:numFmt w:val="decimal"/>
      <w:suff w:val="tab"/>
      <w:lvlText w:val="%1."/>
      <w:rPr>
        <w:color w:val="3370ff"/>
      </w:rPr>
    </w:lvl>
  </w:abstractNum>
  <w:abstractNum w:abstractNumId="1384042">
    <w:lvl>
      <w:start w:val="17"/>
      <w:numFmt w:val="decimal"/>
      <w:suff w:val="tab"/>
      <w:lvlText w:val="%1."/>
      <w:rPr>
        <w:color w:val="3370ff"/>
      </w:rPr>
    </w:lvl>
  </w:abstractNum>
  <w:abstractNum w:abstractNumId="1384043">
    <w:lvl>
      <w:start w:val="18"/>
      <w:numFmt w:val="decimal"/>
      <w:suff w:val="tab"/>
      <w:lvlText w:val="%1."/>
      <w:rPr>
        <w:color w:val="3370ff"/>
      </w:rPr>
    </w:lvl>
  </w:abstractNum>
  <w:abstractNum w:abstractNumId="1384044">
    <w:lvl>
      <w:start w:val="19"/>
      <w:numFmt w:val="decimal"/>
      <w:suff w:val="tab"/>
      <w:lvlText w:val="%1."/>
      <w:rPr>
        <w:color w:val="3370ff"/>
      </w:rPr>
    </w:lvl>
  </w:abstractNum>
  <w:abstractNum w:abstractNumId="1384045">
    <w:lvl>
      <w:numFmt w:val="bullet"/>
      <w:suff w:val="tab"/>
      <w:lvlText w:val="•"/>
      <w:rPr>
        <w:color w:val="3370ff"/>
      </w:rPr>
    </w:lvl>
  </w:abstractNum>
  <w:abstractNum w:abstractNumId="1384046">
    <w:lvl>
      <w:numFmt w:val="bullet"/>
      <w:suff w:val="tab"/>
      <w:lvlText w:val="•"/>
      <w:rPr>
        <w:color w:val="3370ff"/>
      </w:rPr>
    </w:lvl>
  </w:abstractNum>
  <w:abstractNum w:abstractNumId="1384047">
    <w:lvl>
      <w:numFmt w:val="bullet"/>
      <w:suff w:val="tab"/>
      <w:lvlText w:val="•"/>
      <w:rPr>
        <w:color w:val="3370ff"/>
      </w:rPr>
    </w:lvl>
  </w:abstractNum>
  <w:abstractNum w:abstractNumId="1384048">
    <w:lvl>
      <w:numFmt w:val="bullet"/>
      <w:suff w:val="tab"/>
      <w:lvlText w:val="•"/>
      <w:rPr>
        <w:color w:val="3370ff"/>
      </w:rPr>
    </w:lvl>
  </w:abstractNum>
  <w:abstractNum w:abstractNumId="1384049">
    <w:lvl>
      <w:numFmt w:val="bullet"/>
      <w:suff w:val="tab"/>
      <w:lvlText w:val="•"/>
      <w:rPr>
        <w:color w:val="3370ff"/>
      </w:rPr>
    </w:lvl>
  </w:abstractNum>
  <w:abstractNum w:abstractNumId="1384050">
    <w:lvl>
      <w:numFmt w:val="bullet"/>
      <w:suff w:val="tab"/>
      <w:lvlText w:val="•"/>
      <w:rPr>
        <w:color w:val="3370ff"/>
      </w:rPr>
    </w:lvl>
  </w:abstractNum>
  <w:abstractNum w:abstractNumId="1384051">
    <w:lvl>
      <w:numFmt w:val="bullet"/>
      <w:suff w:val="tab"/>
      <w:lvlText w:val="•"/>
      <w:rPr>
        <w:color w:val="3370ff"/>
      </w:rPr>
    </w:lvl>
  </w:abstractNum>
  <w:abstractNum w:abstractNumId="1384052">
    <w:lvl>
      <w:numFmt w:val="bullet"/>
      <w:suff w:val="tab"/>
      <w:lvlText w:val="•"/>
      <w:rPr>
        <w:color w:val="3370ff"/>
      </w:rPr>
    </w:lvl>
  </w:abstractNum>
  <w:abstractNum w:abstractNumId="1384053">
    <w:lvl>
      <w:numFmt w:val="bullet"/>
      <w:suff w:val="tab"/>
      <w:lvlText w:val="•"/>
      <w:rPr>
        <w:color w:val="3370ff"/>
      </w:rPr>
    </w:lvl>
  </w:abstractNum>
  <w:abstractNum w:abstractNumId="1384054">
    <w:lvl>
      <w:numFmt w:val="bullet"/>
      <w:suff w:val="tab"/>
      <w:lvlText w:val="•"/>
      <w:rPr>
        <w:color w:val="3370ff"/>
      </w:rPr>
    </w:lvl>
  </w:abstractNum>
  <w:abstractNum w:abstractNumId="1384055">
    <w:lvl>
      <w:numFmt w:val="bullet"/>
      <w:suff w:val="tab"/>
      <w:lvlText w:val="•"/>
      <w:rPr>
        <w:color w:val="3370ff"/>
      </w:rPr>
    </w:lvl>
  </w:abstractNum>
  <w:abstractNum w:abstractNumId="1384056">
    <w:lvl>
      <w:numFmt w:val="bullet"/>
      <w:suff w:val="tab"/>
      <w:lvlText w:val="•"/>
      <w:rPr>
        <w:color w:val="3370ff"/>
      </w:rPr>
    </w:lvl>
  </w:abstractNum>
  <w:abstractNum w:abstractNumId="1384057">
    <w:lvl>
      <w:numFmt w:val="bullet"/>
      <w:suff w:val="tab"/>
      <w:lvlText w:val="•"/>
      <w:rPr>
        <w:color w:val="3370ff"/>
      </w:rPr>
    </w:lvl>
  </w:abstractNum>
  <w:abstractNum w:abstractNumId="1384058">
    <w:lvl>
      <w:numFmt w:val="bullet"/>
      <w:suff w:val="tab"/>
      <w:lvlText w:val="•"/>
      <w:rPr>
        <w:color w:val="3370ff"/>
      </w:rPr>
    </w:lvl>
  </w:abstractNum>
  <w:abstractNum w:abstractNumId="1384059">
    <w:lvl>
      <w:numFmt w:val="bullet"/>
      <w:suff w:val="tab"/>
      <w:lvlText w:val="•"/>
      <w:rPr>
        <w:color w:val="3370ff"/>
      </w:rPr>
    </w:lvl>
  </w:abstractNum>
  <w:abstractNum w:abstractNumId="1384060">
    <w:lvl>
      <w:numFmt w:val="bullet"/>
      <w:suff w:val="tab"/>
      <w:lvlText w:val="•"/>
      <w:rPr>
        <w:color w:val="3370ff"/>
      </w:rPr>
    </w:lvl>
  </w:abstractNum>
  <w:abstractNum w:abstractNumId="1384061">
    <w:lvl>
      <w:numFmt w:val="bullet"/>
      <w:suff w:val="tab"/>
      <w:lvlText w:val="•"/>
      <w:rPr>
        <w:color w:val="3370ff"/>
      </w:rPr>
    </w:lvl>
  </w:abstractNum>
  <w:abstractNum w:abstractNumId="1384062">
    <w:lvl>
      <w:numFmt w:val="bullet"/>
      <w:suff w:val="tab"/>
      <w:lvlText w:val="•"/>
      <w:rPr>
        <w:color w:val="3370ff"/>
      </w:rPr>
    </w:lvl>
  </w:abstractNum>
  <w:abstractNum w:abstractNumId="1384063">
    <w:lvl>
      <w:numFmt w:val="bullet"/>
      <w:suff w:val="tab"/>
      <w:lvlText w:val="•"/>
      <w:rPr>
        <w:color w:val="3370ff"/>
      </w:rPr>
    </w:lvl>
  </w:abstractNum>
  <w:abstractNum w:abstractNumId="1384064">
    <w:lvl>
      <w:numFmt w:val="bullet"/>
      <w:suff w:val="tab"/>
      <w:lvlText w:val="•"/>
      <w:rPr>
        <w:color w:val="3370ff"/>
      </w:rPr>
    </w:lvl>
  </w:abstractNum>
  <w:abstractNum w:abstractNumId="1384065">
    <w:lvl>
      <w:numFmt w:val="bullet"/>
      <w:suff w:val="tab"/>
      <w:lvlText w:val="•"/>
      <w:rPr>
        <w:color w:val="3370ff"/>
      </w:rPr>
    </w:lvl>
  </w:abstractNum>
  <w:abstractNum w:abstractNumId="1384066">
    <w:lvl>
      <w:numFmt w:val="bullet"/>
      <w:suff w:val="tab"/>
      <w:lvlText w:val="•"/>
      <w:rPr>
        <w:color w:val="3370ff"/>
      </w:rPr>
    </w:lvl>
  </w:abstractNum>
  <w:abstractNum w:abstractNumId="1384067">
    <w:lvl>
      <w:numFmt w:val="bullet"/>
      <w:suff w:val="tab"/>
      <w:lvlText w:val="•"/>
      <w:rPr>
        <w:color w:val="3370ff"/>
      </w:rPr>
    </w:lvl>
  </w:abstractNum>
  <w:num w:numId="1">
    <w:abstractNumId w:val="1383996"/>
  </w:num>
  <w:num w:numId="2">
    <w:abstractNumId w:val="1383997"/>
  </w:num>
  <w:num w:numId="3">
    <w:abstractNumId w:val="1383998"/>
  </w:num>
  <w:num w:numId="4">
    <w:abstractNumId w:val="1383999"/>
  </w:num>
  <w:num w:numId="5">
    <w:abstractNumId w:val="1384000"/>
  </w:num>
  <w:num w:numId="6">
    <w:abstractNumId w:val="1384001"/>
  </w:num>
  <w:num w:numId="7">
    <w:abstractNumId w:val="1384002"/>
  </w:num>
  <w:num w:numId="8">
    <w:abstractNumId w:val="1384003"/>
  </w:num>
  <w:num w:numId="9">
    <w:abstractNumId w:val="1384004"/>
  </w:num>
  <w:num w:numId="10">
    <w:abstractNumId w:val="1384005"/>
  </w:num>
  <w:num w:numId="11">
    <w:abstractNumId w:val="1384006"/>
  </w:num>
  <w:num w:numId="12">
    <w:abstractNumId w:val="1384007"/>
  </w:num>
  <w:num w:numId="13">
    <w:abstractNumId w:val="1384008"/>
  </w:num>
  <w:num w:numId="14">
    <w:abstractNumId w:val="1384009"/>
  </w:num>
  <w:num w:numId="15">
    <w:abstractNumId w:val="1384010"/>
  </w:num>
  <w:num w:numId="16">
    <w:abstractNumId w:val="1384011"/>
  </w:num>
  <w:num w:numId="17">
    <w:abstractNumId w:val="1384012"/>
  </w:num>
  <w:num w:numId="18">
    <w:abstractNumId w:val="1384013"/>
  </w:num>
  <w:num w:numId="19">
    <w:abstractNumId w:val="1384014"/>
  </w:num>
  <w:num w:numId="20">
    <w:abstractNumId w:val="1384015"/>
  </w:num>
  <w:num w:numId="21">
    <w:abstractNumId w:val="1384016"/>
  </w:num>
  <w:num w:numId="22">
    <w:abstractNumId w:val="1384017"/>
  </w:num>
  <w:num w:numId="23">
    <w:abstractNumId w:val="1384018"/>
  </w:num>
  <w:num w:numId="24">
    <w:abstractNumId w:val="1384019"/>
  </w:num>
  <w:num w:numId="25">
    <w:abstractNumId w:val="1384020"/>
  </w:num>
  <w:num w:numId="26">
    <w:abstractNumId w:val="1384021"/>
  </w:num>
  <w:num w:numId="27">
    <w:abstractNumId w:val="1384022"/>
  </w:num>
  <w:num w:numId="28">
    <w:abstractNumId w:val="1384023"/>
  </w:num>
  <w:num w:numId="29">
    <w:abstractNumId w:val="1384024"/>
  </w:num>
  <w:num w:numId="30">
    <w:abstractNumId w:val="1384025"/>
  </w:num>
  <w:num w:numId="31">
    <w:abstractNumId w:val="1384026"/>
  </w:num>
  <w:num w:numId="32">
    <w:abstractNumId w:val="1384027"/>
  </w:num>
  <w:num w:numId="33">
    <w:abstractNumId w:val="1384028"/>
  </w:num>
  <w:num w:numId="34">
    <w:abstractNumId w:val="1384029"/>
  </w:num>
  <w:num w:numId="35">
    <w:abstractNumId w:val="1384030"/>
  </w:num>
  <w:num w:numId="36">
    <w:abstractNumId w:val="1384031"/>
  </w:num>
  <w:num w:numId="37">
    <w:abstractNumId w:val="1384032"/>
  </w:num>
  <w:num w:numId="38">
    <w:abstractNumId w:val="1384033"/>
  </w:num>
  <w:num w:numId="39">
    <w:abstractNumId w:val="1384034"/>
  </w:num>
  <w:num w:numId="40">
    <w:abstractNumId w:val="1384035"/>
  </w:num>
  <w:num w:numId="41">
    <w:abstractNumId w:val="1384036"/>
  </w:num>
  <w:num w:numId="42">
    <w:abstractNumId w:val="1384037"/>
  </w:num>
  <w:num w:numId="43">
    <w:abstractNumId w:val="1384038"/>
  </w:num>
  <w:num w:numId="44">
    <w:abstractNumId w:val="1384039"/>
  </w:num>
  <w:num w:numId="45">
    <w:abstractNumId w:val="1384040"/>
  </w:num>
  <w:num w:numId="46">
    <w:abstractNumId w:val="1384041"/>
  </w:num>
  <w:num w:numId="47">
    <w:abstractNumId w:val="1384042"/>
  </w:num>
  <w:num w:numId="48">
    <w:abstractNumId w:val="1384043"/>
  </w:num>
  <w:num w:numId="49">
    <w:abstractNumId w:val="1384044"/>
  </w:num>
  <w:num w:numId="50">
    <w:abstractNumId w:val="1384045"/>
  </w:num>
  <w:num w:numId="51">
    <w:abstractNumId w:val="1384046"/>
  </w:num>
  <w:num w:numId="52">
    <w:abstractNumId w:val="1384047"/>
  </w:num>
  <w:num w:numId="53">
    <w:abstractNumId w:val="1384048"/>
  </w:num>
  <w:num w:numId="54">
    <w:abstractNumId w:val="1384049"/>
  </w:num>
  <w:num w:numId="55">
    <w:abstractNumId w:val="1384050"/>
  </w:num>
  <w:num w:numId="56">
    <w:abstractNumId w:val="1384051"/>
  </w:num>
  <w:num w:numId="57">
    <w:abstractNumId w:val="1384052"/>
  </w:num>
  <w:num w:numId="58">
    <w:abstractNumId w:val="1384053"/>
  </w:num>
  <w:num w:numId="59">
    <w:abstractNumId w:val="1384054"/>
  </w:num>
  <w:num w:numId="60">
    <w:abstractNumId w:val="1384055"/>
  </w:num>
  <w:num w:numId="61">
    <w:abstractNumId w:val="1384056"/>
  </w:num>
  <w:num w:numId="62">
    <w:abstractNumId w:val="1384057"/>
  </w:num>
  <w:num w:numId="63">
    <w:abstractNumId w:val="1384058"/>
  </w:num>
  <w:num w:numId="64">
    <w:abstractNumId w:val="1384059"/>
  </w:num>
  <w:num w:numId="65">
    <w:abstractNumId w:val="1384060"/>
  </w:num>
  <w:num w:numId="66">
    <w:abstractNumId w:val="1384061"/>
  </w:num>
  <w:num w:numId="67">
    <w:abstractNumId w:val="1384062"/>
  </w:num>
  <w:num w:numId="68">
    <w:abstractNumId w:val="1384063"/>
  </w:num>
  <w:num w:numId="69">
    <w:abstractNumId w:val="1384064"/>
  </w:num>
  <w:num w:numId="70">
    <w:abstractNumId w:val="1384065"/>
  </w:num>
  <w:num w:numId="71">
    <w:abstractNumId w:val="1384066"/>
  </w:num>
  <w:num w:numId="72">
    <w:abstractNumId w:val="138406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jpeg" Type="http://schemas.openxmlformats.org/officeDocument/2006/relationships/image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aily.feishu.cn/?&amp;open-from=feishu_doc" TargetMode="External" Type="http://schemas.openxmlformats.org/officeDocument/2006/relationships/hyperlink"/><Relationship Id="rId5" Target="numbering.xml" Type="http://schemas.openxmlformats.org/officeDocument/2006/relationships/numbering"/><Relationship Id="rId6" Target="https://hisense.feishu.cn/base/KJ0RbgiA6aSssZsaWcAcxPe4nu7" TargetMode="External" Type="http://schemas.openxmlformats.org/officeDocument/2006/relationships/hyperlink"/><Relationship Id="rId7" Target="media/image1.jpeg" Type="http://schemas.openxmlformats.org/officeDocument/2006/relationships/image"/><Relationship Id="rId8" Target="https://hisense.feishu.cn/base/KJ0RbgiA6aSssZsaWcAcxPe4nu7" TargetMode="External" Type="http://schemas.openxmlformats.org/officeDocument/2006/relationships/hyperlink"/><Relationship Id="rId9" Target="media/image2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2026-06-23T16:03:27Z</dcterms:created>
  <dc:creator>Apache POI</dc:creator>
</cp:coreProperties>
</file>