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jc w:val="center"/>
      </w:pPr>
      <w:r>
        <w:rPr>
          <w:rFonts w:ascii="Calibri" w:cs="Calibri" w:eastAsia="Calibri" w:hAnsi="Calibri"/>
          <w:b/>
          <w:bCs/>
          <w:caps/>
          <w:color w:val="2E5496"/>
          <w:sz w:val="26"/>
          <w:szCs w:val="26"/>
        </w:rPr>
        <w:t xml:space="preserve">BIOAUTH  |  MM BUSINESS</w:t>
      </w:r>
    </w:p>
    <w:p>
      <w:pPr>
        <w:pBdr>
          <w:bottom w:val="single" w:color="1F3864" w:sz="12"/>
        </w:pBdr>
        <w:spacing w:after="260"/>
        <w:jc w:val="center"/>
      </w:pPr>
      <w:r>
        <w:rPr>
          <w:rFonts w:ascii="Calibri" w:cs="Calibri" w:eastAsia="Calibri" w:hAnsi="Calibri"/>
          <w:color w:val="595959"/>
          <w:sz w:val="22"/>
          <w:szCs w:val="22"/>
        </w:rPr>
        <w:t xml:space="preserve">Biometric Authentication Platform</w:t>
      </w:r>
    </w:p>
    <w:p>
      <w:pPr>
        <w:spacing w:after="100"/>
        <w:jc w:val="center"/>
      </w:pPr>
      <w:r>
        <w:rPr>
          <w:rFonts w:ascii="Calibri" w:cs="Calibri" w:eastAsia="Calibri" w:hAnsi="Calibri"/>
          <w:b/>
          <w:bCs/>
          <w:color w:val="1F3864"/>
          <w:sz w:val="56"/>
          <w:szCs w:val="56"/>
        </w:rPr>
        <w:t xml:space="preserve">Business Requirements Document</w:t>
      </w:r>
    </w:p>
    <w:p>
      <w:pPr>
        <w:spacing w:after="40"/>
        <w:jc w:val="center"/>
      </w:pPr>
      <w:r>
        <w:rPr>
          <w:rFonts w:ascii="Calibri" w:cs="Calibri" w:eastAsia="Calibri" w:hAnsi="Calibri"/>
          <w:b/>
          <w:bCs/>
          <w:color w:val="333333"/>
          <w:sz w:val="30"/>
          <w:szCs w:val="30"/>
        </w:rPr>
        <w:t xml:space="preserve">Biometric Authentication for the MM Business Contact Centre</w:t>
      </w:r>
    </w:p>
    <w:p>
      <w:pPr>
        <w:spacing w:after="700"/>
        <w:jc w:val="center"/>
      </w:pPr>
      <w:r>
        <w:rPr>
          <w:rFonts w:ascii="Calibri" w:cs="Calibri" w:eastAsia="Calibri" w:hAnsi="Calibri"/>
          <w:i/>
          <w:iCs/>
          <w:color w:val="595959"/>
          <w:sz w:val="22"/>
          <w:szCs w:val="22"/>
        </w:rPr>
        <w:t xml:space="preserve">Voice &amp; Face verification across call and chat channels</w:t>
      </w:r>
    </w:p>
    <w:tbl>
      <w:tblPr>
        <w:tblW w:type="dxa" w:w="6800"/>
        <w:jc w:val="center"/>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200"/>
      </w:tblGrid>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Document Type</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BRD</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Version</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1.0 (Draft)</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Status</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For Review</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Date</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24 July 2026</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Prepared By</w:t>
            </w:r>
          </w:p>
        </w:tc>
        <w:tc>
          <w:tcPr>
            <w:tcW w:type="dxa" w:w="4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Analysis Team</w:t>
            </w:r>
          </w:p>
        </w:tc>
      </w:tr>
      <w:tr>
        <w:tc>
          <w:tcPr>
            <w:tcW w:type="dxa" w:w="2600"/>
            <w:shd w:fill="D9E2F3" w:color="auto" w:val="clear"/>
            <w:tcMar>
              <w:top w:type="dxa" w:w="60"/>
              <w:left w:type="dxa" w:w="90"/>
              <w:bottom w:type="dxa" w:w="60"/>
              <w:right w:type="dxa" w:w="90"/>
            </w:tcMar>
          </w:tcPr>
          <w:p>
            <w:pPr>
              <w:spacing w:after="20" w:line="252"/>
            </w:pPr>
            <w:r>
              <w:rPr>
                <w:rFonts w:ascii="Calibri" w:cs="Calibri" w:eastAsia="Calibri" w:hAnsi="Calibri"/>
                <w:b/>
                <w:bCs/>
                <w:color w:val="000000"/>
                <w:sz w:val="18"/>
                <w:szCs w:val="18"/>
              </w:rPr>
              <w:t xml:space="preserve">Owner</w:t>
            </w:r>
          </w:p>
        </w:tc>
        <w:tc>
          <w:tcPr>
            <w:tcW w:type="dxa" w:w="4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Business Product</w:t>
            </w:r>
          </w:p>
        </w:tc>
      </w:tr>
    </w:tbl>
    <w:p>
      <w:r>
        <w:br w:type="page"/>
      </w:r>
    </w:p>
    <w:p>
      <w:pPr>
        <w:pStyle w:val="Heading1"/>
        <w:spacing w:after="140" w:before="3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300"/>
      </w:pPr>
      <w:r>
        <w:rPr>
          <w:rFonts w:ascii="Calibri" w:cs="Calibri" w:eastAsia="Calibri" w:hAnsi="Calibri"/>
          <w:b/>
          <w:bCs/>
          <w:color w:val="1F3864"/>
          <w:sz w:val="30"/>
          <w:szCs w:val="30"/>
        </w:rPr>
        <w:t xml:space="preserve">1. Introduction</w:t>
      </w:r>
    </w:p>
    <w:p>
      <w:pPr>
        <w:pStyle w:val="Heading2"/>
        <w:spacing w:after="100" w:before="220"/>
      </w:pPr>
      <w:r>
        <w:rPr>
          <w:rFonts w:ascii="Calibri" w:cs="Calibri" w:eastAsia="Calibri" w:hAnsi="Calibri"/>
          <w:b/>
          <w:bCs/>
          <w:color w:val="2E5496"/>
          <w:sz w:val="25"/>
          <w:szCs w:val="25"/>
        </w:rPr>
        <w:t xml:space="preserve">1.1 Purpose</w:t>
      </w:r>
    </w:p>
    <w:p>
      <w:pPr>
        <w:spacing w:after="120" w:before="0" w:line="264"/>
      </w:pPr>
      <w:r>
        <w:rPr>
          <w:rFonts w:ascii="Calibri" w:cs="Calibri" w:eastAsia="Calibri" w:hAnsi="Calibri"/>
        </w:rPr>
        <w:t xml:space="preserve">This Business Requirements Document (BRD) defines the business need, objectives, scope and high-level requirements for the BioAuth biometric authentication capability that MM Business is introducing across its customer contact channels. It establishes a shared understanding among business, product and engineering stakeholders of what the solution must achieve and why, and serves as the basis for the Functional Requirements Document (FRD), business rules, and acceptance criteria.</w:t>
      </w:r>
    </w:p>
    <w:p>
      <w:pPr>
        <w:pStyle w:val="Heading2"/>
        <w:spacing w:after="100" w:before="220"/>
      </w:pPr>
      <w:r>
        <w:rPr>
          <w:rFonts w:ascii="Calibri" w:cs="Calibri" w:eastAsia="Calibri" w:hAnsi="Calibri"/>
          <w:b/>
          <w:bCs/>
          <w:color w:val="2E5496"/>
          <w:sz w:val="25"/>
          <w:szCs w:val="25"/>
        </w:rPr>
        <w:t xml:space="preserve">1.2 Background</w:t>
      </w:r>
    </w:p>
    <w:p>
      <w:pPr>
        <w:spacing w:after="120" w:before="0" w:line="264"/>
      </w:pPr>
      <w:r>
        <w:rPr>
          <w:rFonts w:ascii="Calibri" w:cs="Calibri" w:eastAsia="Calibri" w:hAnsi="Calibri"/>
        </w:rPr>
        <w:t xml:space="preserve">MM Business operates a contact centre that serves customers over voice (telephone) and chat channels. Today, callers and chat users are verified using traditional identifiers such as phone number, email and one-time codes (OTP). These methods add friction, are vulnerable to impersonation and social engineering, and increase average handling time and cost per contact.</w:t>
      </w:r>
    </w:p>
    <w:p>
      <w:pPr>
        <w:spacing w:after="120" w:before="0" w:line="264"/>
      </w:pPr>
      <w:r>
        <w:rPr>
          <w:rFonts w:ascii="Calibri" w:cs="Calibri" w:eastAsia="Calibri" w:hAnsi="Calibri"/>
        </w:rPr>
        <w:t xml:space="preserve">BioAuth introduces voice and face biometric verification, integrated with the existing MM Business systems and agent tooling, and administered through a dedicated MM Admin capability. The platform is deployed to the cloud and is supported by monitoring, reporting and notification services. A third-party identity service (PresentID) supports enrollment identity checks.</w:t>
      </w:r>
    </w:p>
    <w:p>
      <w:pPr>
        <w:pStyle w:val="Heading2"/>
        <w:spacing w:after="100" w:before="220"/>
      </w:pPr>
      <w:r>
        <w:rPr>
          <w:rFonts w:ascii="Calibri" w:cs="Calibri" w:eastAsia="Calibri" w:hAnsi="Calibri"/>
          <w:b/>
          <w:bCs/>
          <w:color w:val="2E5496"/>
          <w:sz w:val="25"/>
          <w:szCs w:val="25"/>
        </w:rPr>
        <w:t xml:space="preserve">1.3 Scope of this document</w:t>
      </w:r>
    </w:p>
    <w:p>
      <w:pPr>
        <w:spacing w:after="120" w:before="0" w:line="264"/>
      </w:pPr>
      <w:r>
        <w:rPr>
          <w:rFonts w:ascii="Calibri" w:cs="Calibri" w:eastAsia="Calibri" w:hAnsi="Calibri"/>
        </w:rPr>
        <w:t xml:space="preserve">This BRD captures business-level requirements only. Detailed system behaviour is specified in the FRD; rules governing decisions are captured in the Business Rules document; testable conditions are captured in the Acceptance Criteria document; and known ambiguities are captured in the Gap Analysis.</w:t>
      </w:r>
    </w:p>
    <w:p>
      <w:pPr>
        <w:pStyle w:val="Heading2"/>
        <w:spacing w:after="100" w:before="220"/>
      </w:pPr>
      <w:r>
        <w:rPr>
          <w:rFonts w:ascii="Calibri" w:cs="Calibri" w:eastAsia="Calibri" w:hAnsi="Calibri"/>
          <w:b/>
          <w:bCs/>
          <w:color w:val="2E5496"/>
          <w:sz w:val="25"/>
          <w:szCs w:val="25"/>
        </w:rPr>
        <w:t xml:space="preserve">1.4 Definitions and acronyms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Term</w:t>
            </w:r>
          </w:p>
        </w:tc>
        <w:tc>
          <w:tcPr>
            <w:tcW w:type="dxa" w:w="69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Definition</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biometric authentication system providing voice and face enrollment and verification.</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Business</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contact-centre business/platform consuming BioAuth for customer verification.</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Administrator role responsible for onboarding, deploying, configuring and monitoring BioAuth.</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Spoken</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platform on which MM Admin onboarding and BioAuth are hosted.</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Enrollment</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process of capturing and storing a user's voice-print or face-print for future verification.</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Authentication / Verification</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Confirming a user's identity by matching a live sample against stored biometric data or identifiers.</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Identifier</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Non-biometric account data used to locate/verify a user (phone number, email, OTP).</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Voice-print / Face-print</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stored biometric template derived from a user's voice or face.</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Consent</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user's recorded agreement to biometric capture, verification and storage.</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NPS</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Net Promoter Score — user and MM satisfaction metric.</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MAU</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Monthly Active Users.</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OTP</w:t>
            </w:r>
          </w:p>
        </w:tc>
        <w:tc>
          <w:tcPr>
            <w:tcW w:type="dxa" w:w="69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One-Time PIN / code sent to phone or email.</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PresentID</w:t>
            </w:r>
          </w:p>
        </w:tc>
        <w:tc>
          <w:tcPr>
            <w:tcW w:type="dxa" w:w="69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Third-party application providing identity-verification details during enrollment.</w:t>
            </w:r>
          </w:p>
        </w:tc>
      </w:tr>
    </w:tbl>
    <w:p>
      <w:r>
        <w:br w:type="page"/>
      </w:r>
    </w:p>
    <w:p>
      <w:pPr>
        <w:pStyle w:val="Heading1"/>
        <w:spacing w:after="140" w:before="300"/>
      </w:pPr>
      <w:r>
        <w:rPr>
          <w:rFonts w:ascii="Calibri" w:cs="Calibri" w:eastAsia="Calibri" w:hAnsi="Calibri"/>
          <w:b/>
          <w:bCs/>
          <w:color w:val="1F3864"/>
          <w:sz w:val="30"/>
          <w:szCs w:val="30"/>
        </w:rPr>
        <w:t xml:space="preserve">2. Business Objectives and Drivers</w:t>
      </w:r>
    </w:p>
    <w:p>
      <w:pPr>
        <w:spacing w:after="120" w:before="0" w:line="264"/>
      </w:pPr>
      <w:r>
        <w:rPr>
          <w:rFonts w:ascii="Calibri" w:cs="Calibri" w:eastAsia="Calibri" w:hAnsi="Calibri"/>
        </w:rPr>
        <w:t xml:space="preserve">The programme is driven by the following business objectives. Each is measurable and is tracked through the reporting and analytics capability.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3600"/>
        <w:gridCol w:w="4860"/>
      </w:tblGrid>
      <w:tr>
        <w:trPr>
          <w:tblHeader/>
        </w:trPr>
        <w:tc>
          <w:tcPr>
            <w:tcW w:type="dxa" w:w="9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36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Objective</w:t>
            </w:r>
          </w:p>
        </w:tc>
        <w:tc>
          <w:tcPr>
            <w:tcW w:type="dxa" w:w="48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Target Outcome</w:t>
            </w:r>
          </w:p>
        </w:tc>
      </w:tr>
      <w:tr>
        <w:tc>
          <w:tcPr>
            <w:tcW w:type="dxa" w:w="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OBJ-01</w:t>
            </w:r>
          </w:p>
        </w:tc>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Reduce impersonation and fraud in customer contacts</w:t>
            </w:r>
          </w:p>
        </w:tc>
        <w:tc>
          <w:tcPr>
            <w:tcW w:type="dxa" w:w="4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Higher proportion of contacts biometrically verified; fewer identity-related incidents</w:t>
            </w:r>
          </w:p>
        </w:tc>
      </w:tr>
      <w:tr>
        <w:tc>
          <w:tcPr>
            <w:tcW w:type="dxa" w:w="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OBJ-02</w:t>
            </w:r>
          </w:p>
        </w:tc>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Reduce cost per user contact</w:t>
            </w:r>
          </w:p>
        </w:tc>
        <w:tc>
          <w:tcPr>
            <w:tcW w:type="dxa" w:w="48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Measurable % reduction in cost per contact over 1/3/6/12-month windows</w:t>
            </w:r>
          </w:p>
        </w:tc>
      </w:tr>
      <w:tr>
        <w:tc>
          <w:tcPr>
            <w:tcW w:type="dxa" w:w="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OBJ-03</w:t>
            </w:r>
          </w:p>
        </w:tc>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Reduce time (handling) per user contact</w:t>
            </w:r>
          </w:p>
        </w:tc>
        <w:tc>
          <w:tcPr>
            <w:tcW w:type="dxa" w:w="4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Measurable % reduction in verification and handling time</w:t>
            </w:r>
          </w:p>
        </w:tc>
      </w:tr>
      <w:tr>
        <w:tc>
          <w:tcPr>
            <w:tcW w:type="dxa" w:w="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OBJ-04</w:t>
            </w:r>
          </w:p>
        </w:tc>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Improve the customer and agent experience</w:t>
            </w:r>
          </w:p>
        </w:tc>
        <w:tc>
          <w:tcPr>
            <w:tcW w:type="dxa" w:w="48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Improved User NPS and MM NPS trends</w:t>
            </w:r>
          </w:p>
        </w:tc>
      </w:tr>
      <w:tr>
        <w:tc>
          <w:tcPr>
            <w:tcW w:type="dxa" w:w="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OBJ-05</w:t>
            </w:r>
          </w:p>
        </w:tc>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Increase biometric adoption</w:t>
            </w:r>
          </w:p>
        </w:tc>
        <w:tc>
          <w:tcPr>
            <w:tcW w:type="dxa" w:w="4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Growth in % of contacts verified via BioAuth (voice/face) and enrolled users</w:t>
            </w:r>
          </w:p>
        </w:tc>
      </w:tr>
      <w:tr>
        <w:tc>
          <w:tcPr>
            <w:tcW w:type="dxa" w:w="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OBJ-06</w:t>
            </w:r>
          </w:p>
        </w:tc>
        <w:tc>
          <w:tcPr>
            <w:tcW w:type="dxa" w:w="3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Ensure reliable, secure, well-governed operation</w:t>
            </w:r>
          </w:p>
        </w:tc>
        <w:tc>
          <w:tcPr>
            <w:tcW w:type="dxa" w:w="48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High system uptime, prompt health alerting, and complete audit trails</w:t>
            </w:r>
          </w:p>
        </w:tc>
      </w:tr>
      <w:tr>
        <w:tc>
          <w:tcPr>
            <w:tcW w:type="dxa" w:w="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OBJ-07</w:t>
            </w:r>
          </w:p>
        </w:tc>
        <w:tc>
          <w:tcPr>
            <w:tcW w:type="dxa" w:w="3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Give the business actionable insight</w:t>
            </w:r>
          </w:p>
        </w:tc>
        <w:tc>
          <w:tcPr>
            <w:tcW w:type="dxa" w:w="4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Self-service reporting on verifications, cost, engagement and satisfaction</w:t>
            </w:r>
          </w:p>
        </w:tc>
      </w:tr>
    </w:tbl>
    <w:p>
      <w:pPr>
        <w:pStyle w:val="Heading1"/>
        <w:spacing w:after="140" w:before="300"/>
      </w:pPr>
      <w:r>
        <w:rPr>
          <w:rFonts w:ascii="Calibri" w:cs="Calibri" w:eastAsia="Calibri" w:hAnsi="Calibri"/>
          <w:b/>
          <w:bCs/>
          <w:color w:val="1F3864"/>
          <w:sz w:val="30"/>
          <w:szCs w:val="30"/>
        </w:rPr>
        <w:t xml:space="preserve">3. Project Scope</w:t>
      </w:r>
    </w:p>
    <w:p>
      <w:pPr>
        <w:pStyle w:val="Heading2"/>
        <w:spacing w:after="100" w:before="220"/>
      </w:pPr>
      <w:r>
        <w:rPr>
          <w:rFonts w:ascii="Calibri" w:cs="Calibri" w:eastAsia="Calibri" w:hAnsi="Calibri"/>
          <w:b/>
          <w:bCs/>
          <w:color w:val="2E5496"/>
          <w:sz w:val="25"/>
          <w:szCs w:val="25"/>
        </w:rPr>
        <w:t xml:space="preserve">3.1 In scope</w:t>
      </w:r>
    </w:p>
    <w:p>
      <w:pPr>
        <w:pStyle w:val="ListParagraph"/>
        <w:numPr>
          <w:ilvl w:val="0"/>
          <w:numId w:val="2"/>
        </w:numPr>
        <w:spacing w:after="60" w:line="264"/>
      </w:pPr>
      <w:r>
        <w:rPr>
          <w:rFonts w:ascii="Calibri" w:cs="Calibri" w:eastAsia="Calibri" w:hAnsi="Calibri"/>
        </w:rPr>
        <w:t xml:space="preserve">User voice enrollment and voice authentication for the telephone (call) channel, including new and existing users.</w:t>
      </w:r>
    </w:p>
    <w:p>
      <w:pPr>
        <w:pStyle w:val="ListParagraph"/>
        <w:numPr>
          <w:ilvl w:val="0"/>
          <w:numId w:val="2"/>
        </w:numPr>
        <w:spacing w:after="60" w:line="264"/>
      </w:pPr>
      <w:r>
        <w:rPr>
          <w:rFonts w:ascii="Calibri" w:cs="Calibri" w:eastAsia="Calibri" w:hAnsi="Calibri"/>
        </w:rPr>
        <w:t xml:space="preserve">User face enrollment and face authentication for the chat channel, including new and existing users.</w:t>
      </w:r>
    </w:p>
    <w:p>
      <w:pPr>
        <w:pStyle w:val="ListParagraph"/>
        <w:numPr>
          <w:ilvl w:val="0"/>
          <w:numId w:val="2"/>
        </w:numPr>
        <w:spacing w:after="60" w:line="264"/>
      </w:pPr>
      <w:r>
        <w:rPr>
          <w:rFonts w:ascii="Calibri" w:cs="Calibri" w:eastAsia="Calibri" w:hAnsi="Calibri"/>
        </w:rPr>
        <w:t xml:space="preserve">Identifier-based verification (phone, email, OTP) as a precursor and fallback to biometrics.</w:t>
      </w:r>
    </w:p>
    <w:p>
      <w:pPr>
        <w:pStyle w:val="ListParagraph"/>
        <w:numPr>
          <w:ilvl w:val="0"/>
          <w:numId w:val="2"/>
        </w:numPr>
        <w:spacing w:after="60" w:line="264"/>
      </w:pPr>
      <w:r>
        <w:rPr>
          <w:rFonts w:ascii="Calibri" w:cs="Calibri" w:eastAsia="Calibri" w:hAnsi="Calibri"/>
        </w:rPr>
        <w:t xml:space="preserve">Consent capture, storage and update for biometric verification.</w:t>
      </w:r>
    </w:p>
    <w:p>
      <w:pPr>
        <w:pStyle w:val="ListParagraph"/>
        <w:numPr>
          <w:ilvl w:val="0"/>
          <w:numId w:val="2"/>
        </w:numPr>
        <w:spacing w:after="60" w:line="264"/>
      </w:pPr>
      <w:r>
        <w:rPr>
          <w:rFonts w:ascii="Calibri" w:cs="Calibri" w:eastAsia="Calibri" w:hAnsi="Calibri"/>
        </w:rPr>
        <w:t xml:space="preserve">Agent experience for chat and call: handling verified, failed and non-consenting users, escalation, and agent-initiated biometric enrollment/verification.</w:t>
      </w:r>
    </w:p>
    <w:p>
      <w:pPr>
        <w:pStyle w:val="ListParagraph"/>
        <w:numPr>
          <w:ilvl w:val="0"/>
          <w:numId w:val="2"/>
        </w:numPr>
        <w:spacing w:after="60" w:line="264"/>
      </w:pPr>
      <w:r>
        <w:rPr>
          <w:rFonts w:ascii="Calibri" w:cs="Calibri" w:eastAsia="Calibri" w:hAnsi="Calibri"/>
        </w:rPr>
        <w:t xml:space="preserve">MM Admin onboarding (email, phone, voice and face enrollment) with dual-admin redundancy.</w:t>
      </w:r>
    </w:p>
    <w:p>
      <w:pPr>
        <w:pStyle w:val="ListParagraph"/>
        <w:numPr>
          <w:ilvl w:val="0"/>
          <w:numId w:val="2"/>
        </w:numPr>
        <w:spacing w:after="60" w:line="264"/>
      </w:pPr>
      <w:r>
        <w:rPr>
          <w:rFonts w:ascii="Calibri" w:cs="Calibri" w:eastAsia="Calibri" w:hAnsi="Calibri"/>
        </w:rPr>
        <w:t xml:space="preserve">MM Admin deployment, integration, testing, upgrade, maintenance and configuration of BioAuth.</w:t>
      </w:r>
    </w:p>
    <w:p>
      <w:pPr>
        <w:pStyle w:val="ListParagraph"/>
        <w:numPr>
          <w:ilvl w:val="0"/>
          <w:numId w:val="2"/>
        </w:numPr>
        <w:spacing w:after="60" w:line="264"/>
      </w:pPr>
      <w:r>
        <w:rPr>
          <w:rFonts w:ascii="Calibri" w:cs="Calibri" w:eastAsia="Calibri" w:hAnsi="Calibri"/>
        </w:rPr>
        <w:t xml:space="preserve">System monitoring, reporting, analytics and billing views for business and admin stakeholders.</w:t>
      </w:r>
    </w:p>
    <w:p>
      <w:pPr>
        <w:pStyle w:val="ListParagraph"/>
        <w:numPr>
          <w:ilvl w:val="0"/>
          <w:numId w:val="2"/>
        </w:numPr>
        <w:spacing w:after="60" w:line="264"/>
      </w:pPr>
      <w:r>
        <w:rPr>
          <w:rFonts w:ascii="Calibri" w:cs="Calibri" w:eastAsia="Calibri" w:hAnsi="Calibri"/>
        </w:rPr>
        <w:t xml:space="preserve">Notifications to agents and MM Admins on relevant events and health thresholds.</w:t>
      </w:r>
    </w:p>
    <w:p>
      <w:pPr>
        <w:pStyle w:val="ListParagraph"/>
        <w:numPr>
          <w:ilvl w:val="0"/>
          <w:numId w:val="2"/>
        </w:numPr>
        <w:spacing w:after="60" w:line="264"/>
      </w:pPr>
      <w:r>
        <w:rPr>
          <w:rFonts w:ascii="Calibri" w:cs="Calibri" w:eastAsia="Calibri" w:hAnsi="Calibri"/>
        </w:rPr>
        <w:t xml:space="preserve">Account and biometric-data deletion (user-initiated and admin-initiated).</w:t>
      </w:r>
    </w:p>
    <w:p>
      <w:pPr>
        <w:pStyle w:val="Heading2"/>
        <w:spacing w:after="100" w:before="220"/>
      </w:pPr>
      <w:r>
        <w:rPr>
          <w:rFonts w:ascii="Calibri" w:cs="Calibri" w:eastAsia="Calibri" w:hAnsi="Calibri"/>
          <w:b/>
          <w:bCs/>
          <w:color w:val="2E5496"/>
          <w:sz w:val="25"/>
          <w:szCs w:val="25"/>
        </w:rPr>
        <w:t xml:space="preserve">3.2 Out of scope</w:t>
      </w:r>
    </w:p>
    <w:p>
      <w:pPr>
        <w:pStyle w:val="ListParagraph"/>
        <w:numPr>
          <w:ilvl w:val="0"/>
          <w:numId w:val="2"/>
        </w:numPr>
        <w:spacing w:after="60" w:line="264"/>
      </w:pPr>
      <w:r>
        <w:rPr>
          <w:rFonts w:ascii="Calibri" w:cs="Calibri" w:eastAsia="Calibri" w:hAnsi="Calibri"/>
        </w:rPr>
        <w:t xml:space="preserve">Design of the underlying biometric matching algorithms (provided by BioAuth as a capability).</w:t>
      </w:r>
    </w:p>
    <w:p>
      <w:pPr>
        <w:pStyle w:val="ListParagraph"/>
        <w:numPr>
          <w:ilvl w:val="0"/>
          <w:numId w:val="2"/>
        </w:numPr>
        <w:spacing w:after="60" w:line="264"/>
      </w:pPr>
      <w:r>
        <w:rPr>
          <w:rFonts w:ascii="Calibri" w:cs="Calibri" w:eastAsia="Calibri" w:hAnsi="Calibri"/>
        </w:rPr>
        <w:t xml:space="preserve">Replacement of the core MM Business CRM, ticketing or telephony platforms (integration only).</w:t>
      </w:r>
    </w:p>
    <w:p>
      <w:pPr>
        <w:pStyle w:val="ListParagraph"/>
        <w:numPr>
          <w:ilvl w:val="0"/>
          <w:numId w:val="2"/>
        </w:numPr>
        <w:spacing w:after="60" w:line="264"/>
      </w:pPr>
      <w:r>
        <w:rPr>
          <w:rFonts w:ascii="Calibri" w:cs="Calibri" w:eastAsia="Calibri" w:hAnsi="Calibri"/>
        </w:rPr>
        <w:t xml:space="preserve">Non-voice, non-face biometric modalities (e.g. fingerprint) — see Gap Analysis.</w:t>
      </w:r>
    </w:p>
    <w:p>
      <w:pPr>
        <w:pStyle w:val="ListParagraph"/>
        <w:numPr>
          <w:ilvl w:val="0"/>
          <w:numId w:val="2"/>
        </w:numPr>
        <w:spacing w:after="60" w:line="264"/>
      </w:pPr>
      <w:r>
        <w:rPr>
          <w:rFonts w:ascii="Calibri" w:cs="Calibri" w:eastAsia="Calibri" w:hAnsi="Calibri"/>
        </w:rPr>
        <w:t xml:space="preserve">Customer account origination beyond the enrollment flows described here.</w:t>
      </w:r>
    </w:p>
    <w:p>
      <w:pPr>
        <w:pStyle w:val="Heading1"/>
        <w:spacing w:after="140" w:before="300"/>
      </w:pPr>
      <w:r>
        <w:rPr>
          <w:rFonts w:ascii="Calibri" w:cs="Calibri" w:eastAsia="Calibri" w:hAnsi="Calibri"/>
          <w:b/>
          <w:bCs/>
          <w:color w:val="1F3864"/>
          <w:sz w:val="30"/>
          <w:szCs w:val="30"/>
        </w:rPr>
        <w:t xml:space="preserve">4. Stakeholders and Actors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1900"/>
        <w:gridCol w:w="5260"/>
      </w:tblGrid>
      <w:tr>
        <w:trPr>
          <w:tblHeader/>
        </w:trPr>
        <w:tc>
          <w:tcPr>
            <w:tcW w:type="dxa" w:w="22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Actor / Stakeholder</w:t>
            </w:r>
          </w:p>
        </w:tc>
        <w:tc>
          <w:tcPr>
            <w:tcW w:type="dxa" w:w="19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Type</w:t>
            </w:r>
          </w:p>
        </w:tc>
        <w:tc>
          <w:tcPr>
            <w:tcW w:type="dxa" w:w="5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Interest / Responsibility</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New User</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Primary (external)</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Contacts MM Business without an existing/recognised account; may enroll biometrics.</w:t>
            </w:r>
          </w:p>
        </w:tc>
      </w:tr>
      <w:tr>
        <w:tc>
          <w:tcPr>
            <w:tcW w:type="dxa" w:w="2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Existing User</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Primary (external)</w:t>
            </w:r>
          </w:p>
        </w:tc>
        <w:tc>
          <w:tcPr>
            <w:tcW w:type="dxa" w:w="5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Holds an account; authenticates via identifiers and/or biometrics; manages consent and data deletion.</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Chat Agent</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Primary (internal)</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Handles chat contacts, responds after verification, triggers enrollment/verification, escalates.</w:t>
            </w:r>
          </w:p>
        </w:tc>
      </w:tr>
      <w:tr>
        <w:tc>
          <w:tcPr>
            <w:tcW w:type="dxa" w:w="2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Call Agent</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Primary (internal)</w:t>
            </w:r>
          </w:p>
        </w:tc>
        <w:tc>
          <w:tcPr>
            <w:tcW w:type="dxa" w:w="5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Handles voice contacts, verifies after BioAuth failure, escalates.</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Primary (internal)</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Onboards, deploys, integrates, tests, upgrades, maintains, configures and monitors BioAuth.</w:t>
            </w:r>
          </w:p>
        </w:tc>
      </w:tr>
      <w:tr>
        <w:tc>
          <w:tcPr>
            <w:tcW w:type="dxa" w:w="2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 Reporting users</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Secondary (internal)</w:t>
            </w:r>
          </w:p>
        </w:tc>
        <w:tc>
          <w:tcPr>
            <w:tcW w:type="dxa" w:w="5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Analyst, Finance Manager, Operations Manager, Product Owner — consume reports and stats.</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Manual Review Team</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Secondary (internal)</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Handles escalated verification failures via alternative methods.</w:t>
            </w:r>
          </w:p>
        </w:tc>
      </w:tr>
      <w:tr>
        <w:tc>
          <w:tcPr>
            <w:tcW w:type="dxa" w:w="2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BioAuth System</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System</w:t>
            </w:r>
          </w:p>
        </w:tc>
        <w:tc>
          <w:tcPr>
            <w:tcW w:type="dxa" w:w="5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Performs enrollment, matching, consent handling and status reporting.</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Business System</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System</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Account lookup, call/chat routing, logging and orchestration.</w:t>
            </w:r>
          </w:p>
        </w:tc>
      </w:tr>
      <w:tr>
        <w:tc>
          <w:tcPr>
            <w:tcW w:type="dxa" w:w="22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Notification Service</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System</w:t>
            </w:r>
          </w:p>
        </w:tc>
        <w:tc>
          <w:tcPr>
            <w:tcW w:type="dxa" w:w="5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Delivers agent and admin notifications via email, SMS, in-app, PagerDuty.</w:t>
            </w:r>
          </w:p>
        </w:tc>
      </w:tr>
      <w:tr>
        <w:tc>
          <w:tcPr>
            <w:tcW w:type="dxa" w:w="22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PresentID</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External system</w:t>
            </w:r>
          </w:p>
        </w:tc>
        <w:tc>
          <w:tcPr>
            <w:tcW w:type="dxa" w:w="5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Supplies identity-verification details during enrollment.</w:t>
            </w:r>
          </w:p>
        </w:tc>
      </w:tr>
    </w:tbl>
    <w:p>
      <w:r>
        <w:br w:type="page"/>
      </w:r>
    </w:p>
    <w:p>
      <w:pPr>
        <w:pStyle w:val="Heading1"/>
        <w:spacing w:after="140" w:before="300"/>
      </w:pPr>
      <w:r>
        <w:rPr>
          <w:rFonts w:ascii="Calibri" w:cs="Calibri" w:eastAsia="Calibri" w:hAnsi="Calibri"/>
          <w:b/>
          <w:bCs/>
          <w:color w:val="1F3864"/>
          <w:sz w:val="30"/>
          <w:szCs w:val="30"/>
        </w:rPr>
        <w:t xml:space="preserve">5. High-Level Business Requirements</w:t>
      </w:r>
    </w:p>
    <w:p>
      <w:pPr>
        <w:spacing w:after="120" w:before="0" w:line="264"/>
      </w:pPr>
      <w:r>
        <w:rPr>
          <w:rFonts w:ascii="Calibri" w:cs="Calibri" w:eastAsia="Calibri" w:hAnsi="Calibri"/>
        </w:rPr>
        <w:t xml:space="preserve">The following business requirements (BR) express what the solution must deliver. Detailed functional behaviour is specified in the FRD and traced back to these requirements.</w:t>
      </w:r>
    </w:p>
    <w:p>
      <w:pPr>
        <w:pStyle w:val="Heading3"/>
        <w:spacing w:after="80" w:before="160"/>
      </w:pPr>
      <w:r>
        <w:rPr>
          <w:rFonts w:ascii="Calibri" w:cs="Calibri" w:eastAsia="Calibri" w:hAnsi="Calibri"/>
          <w:b/>
          <w:bCs/>
          <w:color w:val="333333"/>
          <w:sz w:val="22"/>
          <w:szCs w:val="22"/>
        </w:rPr>
        <w:t xml:space="preserve">5.1 Voice enrollment &amp; authentication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8260"/>
      </w:tblGrid>
      <w:tr>
        <w:trPr>
          <w:tblHeader/>
        </w:trPr>
        <w:tc>
          <w:tcPr>
            <w:tcW w:type="dxa" w:w="11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8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Requirement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BR-01</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allow new and existing users to enroll their voice for future authentication over the call channel, subject to consent.</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BR-02</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authenticate returning users by matching their live voice to the enrolled voice-print associated with their account.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BR-03</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record, and allow later collection of, the user's consent for voice authentication.</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BR-04</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gracefully handle no-match, multiple-account-match, voice/phone mismatch and technical-failure scenarios, transferring the user to an agent where required.</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BR-05</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prevent duplicate voice enrollment when a voice-print already exists for the account.</w:t>
            </w:r>
          </w:p>
        </w:tc>
      </w:tr>
    </w:tbl>
    <w:p>
      <w:pPr>
        <w:pStyle w:val="Heading3"/>
        <w:spacing w:after="80" w:before="160"/>
      </w:pPr>
      <w:r>
        <w:rPr>
          <w:rFonts w:ascii="Calibri" w:cs="Calibri" w:eastAsia="Calibri" w:hAnsi="Calibri"/>
          <w:b/>
          <w:bCs/>
          <w:color w:val="333333"/>
          <w:sz w:val="22"/>
          <w:szCs w:val="22"/>
        </w:rPr>
        <w:t xml:space="preserve">5.2 Face enrollment &amp; authentication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8260"/>
      </w:tblGrid>
      <w:tr>
        <w:trPr>
          <w:tblHeader/>
        </w:trPr>
        <w:tc>
          <w:tcPr>
            <w:tcW w:type="dxa" w:w="11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8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Requirement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BR-06</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allow users to enroll their face for future authentication over the chat channel, subject to identifier (OTP) verification and consent.</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BR-07</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authenticate enrolled users by matching a live face video to the face-print associated with their logged-in account.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BR-08</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support optional document verification during face enrollment.</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BR-09</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system shall handle invalid OTP entry, missing enrollment, declined consent, verification failure and retry scenarios.</w:t>
            </w:r>
          </w:p>
        </w:tc>
      </w:tr>
    </w:tbl>
    <w:p>
      <w:pPr>
        <w:pStyle w:val="Heading3"/>
        <w:spacing w:after="80" w:before="160"/>
      </w:pPr>
      <w:r>
        <w:rPr>
          <w:rFonts w:ascii="Calibri" w:cs="Calibri" w:eastAsia="Calibri" w:hAnsi="Calibri"/>
          <w:b/>
          <w:bCs/>
          <w:color w:val="333333"/>
          <w:sz w:val="22"/>
          <w:szCs w:val="22"/>
        </w:rPr>
        <w:t xml:space="preserve">5.3 Agent experience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8260"/>
      </w:tblGrid>
      <w:tr>
        <w:trPr>
          <w:tblHeader/>
        </w:trPr>
        <w:tc>
          <w:tcPr>
            <w:tcW w:type="dxa" w:w="11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8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Requirement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BR-10</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Agents shall see each user's verification status (and reason for any failure) before responding to a query, on both chat and call channels.</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BR-11</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Agents shall be able to respond to, seek clarification on, escalate, or flag a contact based on verification outcome.</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BR-12</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Agents shall be able to trigger biometric verification or enrollment (voice or face) during a contact, with user consent.</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BR-13</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Agents shall be able to apply alternative verification methods and escalate to a supervisor / Manual Review Team after repeated failures.</w:t>
            </w:r>
          </w:p>
        </w:tc>
      </w:tr>
    </w:tbl>
    <w:p>
      <w:pPr>
        <w:pStyle w:val="Heading3"/>
        <w:spacing w:after="80" w:before="160"/>
      </w:pPr>
      <w:r>
        <w:rPr>
          <w:rFonts w:ascii="Calibri" w:cs="Calibri" w:eastAsia="Calibri" w:hAnsi="Calibri"/>
          <w:b/>
          <w:bCs/>
          <w:color w:val="333333"/>
          <w:sz w:val="22"/>
          <w:szCs w:val="22"/>
        </w:rPr>
        <w:t xml:space="preserve">5.4 MM Admin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8260"/>
      </w:tblGrid>
      <w:tr>
        <w:trPr>
          <w:tblHeader/>
        </w:trPr>
        <w:tc>
          <w:tcPr>
            <w:tcW w:type="dxa" w:w="11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8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Requirement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BR-14</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Admins shall onboard using validated corporate email, phone (OTP), voice and face, with at least two admins enrolled for redundancy.</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BR-15</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Admins shall deploy, integrate, test, upgrade and maintain BioAuth with minimised downtime and full logging.</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BR-16</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Admins shall configure trust levels, conditions for requiring BioAuth, and enrollment/authentication behaviour.</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BR-17</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MM Admins shall monitor system health, traffic, uptime, alerts, failures and error codes, with AI-assisted root-cause insight.</w:t>
            </w:r>
          </w:p>
        </w:tc>
      </w:tr>
    </w:tbl>
    <w:p>
      <w:pPr>
        <w:pStyle w:val="Heading3"/>
        <w:spacing w:after="80" w:before="160"/>
      </w:pPr>
      <w:r>
        <w:rPr>
          <w:rFonts w:ascii="Calibri" w:cs="Calibri" w:eastAsia="Calibri" w:hAnsi="Calibri"/>
          <w:b/>
          <w:bCs/>
          <w:color w:val="333333"/>
          <w:sz w:val="22"/>
          <w:szCs w:val="22"/>
        </w:rPr>
        <w:t xml:space="preserve">5.5 Reporting, notifications &amp; data governance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00"/>
        <w:gridCol w:w="8260"/>
      </w:tblGrid>
      <w:tr>
        <w:trPr>
          <w:tblHeader/>
        </w:trPr>
        <w:tc>
          <w:tcPr>
            <w:tcW w:type="dxa" w:w="11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ID</w:t>
            </w:r>
          </w:p>
        </w:tc>
        <w:tc>
          <w:tcPr>
            <w:tcW w:type="dxa" w:w="82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Business Requirement</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BR-18</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The business shall have self-service reporting on verifications, success/failure, cost &amp; time reduction, MAU, NPS and billing over 1/3/6/12-month windows.</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BR-19</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Reports shall be filterable, sortable and exportable (PDF/Excel/CSV).</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BR-20</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Agents and MM Admins shall receive timely notifications on relevant events and health-threshold breaches, with acknowledgment tracking.</w:t>
            </w:r>
          </w:p>
        </w:tc>
      </w:tr>
      <w:tr>
        <w:tc>
          <w:tcPr>
            <w:tcW w:type="dxa" w:w="11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BR-21</w:t>
            </w:r>
          </w:p>
        </w:tc>
        <w:tc>
          <w:tcPr>
            <w:tcW w:type="dxa" w:w="82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Users and admins shall be able to delete accounts and/or biometric records, with corresponding BioAuth data removal and audit logging.</w:t>
            </w:r>
          </w:p>
        </w:tc>
      </w:tr>
      <w:tr>
        <w:tc>
          <w:tcPr>
            <w:tcW w:type="dxa" w:w="11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BR-22</w:t>
            </w:r>
          </w:p>
        </w:tc>
        <w:tc>
          <w:tcPr>
            <w:tcW w:type="dxa" w:w="82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All verification, enrollment, consent, mismatch and escalation events shall be logged for audit and continuous improvement.</w:t>
            </w:r>
          </w:p>
        </w:tc>
      </w:tr>
    </w:tbl>
    <w:p>
      <w:pPr>
        <w:pStyle w:val="Heading1"/>
        <w:spacing w:after="140" w:before="300"/>
      </w:pPr>
      <w:r>
        <w:rPr>
          <w:rFonts w:ascii="Calibri" w:cs="Calibri" w:eastAsia="Calibri" w:hAnsi="Calibri"/>
          <w:b/>
          <w:bCs/>
          <w:color w:val="1F3864"/>
          <w:sz w:val="30"/>
          <w:szCs w:val="30"/>
        </w:rPr>
        <w:t xml:space="preserve">6. Success Metrics and KPIs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5060"/>
        <w:gridCol w:w="1900"/>
      </w:tblGrid>
      <w:tr>
        <w:trPr>
          <w:tblHeader/>
        </w:trPr>
        <w:tc>
          <w:tcPr>
            <w:tcW w:type="dxa" w:w="24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KPI</w:t>
            </w:r>
          </w:p>
        </w:tc>
        <w:tc>
          <w:tcPr>
            <w:tcW w:type="dxa" w:w="50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Description</w:t>
            </w:r>
          </w:p>
        </w:tc>
        <w:tc>
          <w:tcPr>
            <w:tcW w:type="dxa" w:w="19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Reporting window</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Total verifications</w:t>
            </w:r>
          </w:p>
        </w:tc>
        <w:tc>
          <w:tcPr>
            <w:tcW w:type="dxa" w:w="50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Volume of verifications, sliced by type (identifier, voice, face).</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 verified via BioAuth</w:t>
            </w:r>
          </w:p>
        </w:tc>
        <w:tc>
          <w:tcPr>
            <w:tcW w:type="dxa" w:w="50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Share of contacts verified biometrically (voice/face).</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Success / failure rate</w:t>
            </w:r>
          </w:p>
        </w:tc>
        <w:tc>
          <w:tcPr>
            <w:tcW w:type="dxa" w:w="50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 successful vs failed verifications with failure reasons by error code.</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Cost per contact reduction</w:t>
            </w:r>
          </w:p>
        </w:tc>
        <w:tc>
          <w:tcPr>
            <w:tcW w:type="dxa" w:w="50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 reduction in cost per user contact.</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Time per contact reduction</w:t>
            </w:r>
          </w:p>
        </w:tc>
        <w:tc>
          <w:tcPr>
            <w:tcW w:type="dxa" w:w="50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 reduction in verification/handling time.</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Monthly Active Users (MAU)</w:t>
            </w:r>
          </w:p>
        </w:tc>
        <w:tc>
          <w:tcPr>
            <w:tcW w:type="dxa" w:w="50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Active user count and trend.</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Monthly</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User NPS / MM NPS</w:t>
            </w:r>
          </w:p>
        </w:tc>
        <w:tc>
          <w:tcPr>
            <w:tcW w:type="dxa" w:w="50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Satisfaction of end users and of MM.</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r>
        <w:tc>
          <w:tcPr>
            <w:tcW w:type="dxa" w:w="24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System uptime</w:t>
            </w:r>
          </w:p>
        </w:tc>
        <w:tc>
          <w:tcPr>
            <w:tcW w:type="dxa" w:w="50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Availability of the BioAuth platform.</w:t>
            </w:r>
          </w:p>
        </w:tc>
        <w:tc>
          <w:tcPr>
            <w:tcW w:type="dxa" w:w="1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Continuous</w:t>
            </w:r>
          </w:p>
        </w:tc>
      </w:tr>
      <w:tr>
        <w:tc>
          <w:tcPr>
            <w:tcW w:type="dxa" w:w="24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Revenue &amp; usage</w:t>
            </w:r>
          </w:p>
        </w:tc>
        <w:tc>
          <w:tcPr>
            <w:tcW w:type="dxa" w:w="50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Billing usage per month and revenue per period.</w:t>
            </w:r>
          </w:p>
        </w:tc>
        <w:tc>
          <w:tcPr>
            <w:tcW w:type="dxa" w:w="1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1 / 3 / 6 / 12 months</w:t>
            </w:r>
          </w:p>
        </w:tc>
      </w:tr>
    </w:tbl>
    <w:p>
      <w:pPr>
        <w:pStyle w:val="Heading1"/>
        <w:spacing w:after="140" w:before="300"/>
      </w:pPr>
      <w:r>
        <w:rPr>
          <w:rFonts w:ascii="Calibri" w:cs="Calibri" w:eastAsia="Calibri" w:hAnsi="Calibri"/>
          <w:b/>
          <w:bCs/>
          <w:color w:val="1F3864"/>
          <w:sz w:val="30"/>
          <w:szCs w:val="30"/>
        </w:rPr>
        <w:t xml:space="preserve">7. Assumptions, Constraints and Dependencies</w:t>
      </w:r>
    </w:p>
    <w:p>
      <w:pPr>
        <w:pStyle w:val="Heading2"/>
        <w:spacing w:after="100" w:before="220"/>
      </w:pPr>
      <w:r>
        <w:rPr>
          <w:rFonts w:ascii="Calibri" w:cs="Calibri" w:eastAsia="Calibri" w:hAnsi="Calibri"/>
          <w:b/>
          <w:bCs/>
          <w:color w:val="2E5496"/>
          <w:sz w:val="25"/>
          <w:szCs w:val="25"/>
        </w:rPr>
        <w:t xml:space="preserve">7.1 Assumptions</w:t>
      </w:r>
    </w:p>
    <w:p>
      <w:pPr>
        <w:pStyle w:val="ListParagraph"/>
        <w:numPr>
          <w:ilvl w:val="0"/>
          <w:numId w:val="2"/>
        </w:numPr>
        <w:spacing w:after="60" w:line="264"/>
      </w:pPr>
      <w:r>
        <w:rPr>
          <w:rFonts w:ascii="Calibri" w:cs="Calibri" w:eastAsia="Calibri" w:hAnsi="Calibri"/>
        </w:rPr>
        <w:t xml:space="preserve">The cloud environment and CI/CD tooling required for deployment are available and operational.</w:t>
      </w:r>
    </w:p>
    <w:p>
      <w:pPr>
        <w:pStyle w:val="ListParagraph"/>
        <w:numPr>
          <w:ilvl w:val="0"/>
          <w:numId w:val="2"/>
        </w:numPr>
        <w:spacing w:after="60" w:line="264"/>
      </w:pPr>
      <w:r>
        <w:rPr>
          <w:rFonts w:ascii="Calibri" w:cs="Calibri" w:eastAsia="Calibri" w:hAnsi="Calibri"/>
        </w:rPr>
        <w:t xml:space="preserve">Existing MM Business tools (CRM, ticketing, telephony) expose APIs for integration.</w:t>
      </w:r>
    </w:p>
    <w:p>
      <w:pPr>
        <w:pStyle w:val="ListParagraph"/>
        <w:numPr>
          <w:ilvl w:val="0"/>
          <w:numId w:val="2"/>
        </w:numPr>
        <w:spacing w:after="60" w:line="264"/>
      </w:pPr>
      <w:r>
        <w:rPr>
          <w:rFonts w:ascii="Calibri" w:cs="Calibri" w:eastAsia="Calibri" w:hAnsi="Calibri"/>
        </w:rPr>
        <w:t xml:space="preserve">Users have access to microphone-enabled devices (voice) or camera-enabled devices (face).</w:t>
      </w:r>
    </w:p>
    <w:p>
      <w:pPr>
        <w:pStyle w:val="ListParagraph"/>
        <w:numPr>
          <w:ilvl w:val="0"/>
          <w:numId w:val="2"/>
        </w:numPr>
        <w:spacing w:after="60" w:line="264"/>
      </w:pPr>
      <w:r>
        <w:rPr>
          <w:rFonts w:ascii="Calibri" w:cs="Calibri" w:eastAsia="Calibri" w:hAnsi="Calibri"/>
        </w:rPr>
        <w:t xml:space="preserve">Historical data and metrics are available and accessible for reporting.</w:t>
      </w:r>
    </w:p>
    <w:p>
      <w:pPr>
        <w:pStyle w:val="Heading2"/>
        <w:spacing w:after="100" w:before="220"/>
      </w:pPr>
      <w:r>
        <w:rPr>
          <w:rFonts w:ascii="Calibri" w:cs="Calibri" w:eastAsia="Calibri" w:hAnsi="Calibri"/>
          <w:b/>
          <w:bCs/>
          <w:color w:val="2E5496"/>
          <w:sz w:val="25"/>
          <w:szCs w:val="25"/>
        </w:rPr>
        <w:t xml:space="preserve">7.2 Constraints</w:t>
      </w:r>
    </w:p>
    <w:p>
      <w:pPr>
        <w:pStyle w:val="ListParagraph"/>
        <w:numPr>
          <w:ilvl w:val="0"/>
          <w:numId w:val="2"/>
        </w:numPr>
        <w:spacing w:after="60" w:line="264"/>
      </w:pPr>
      <w:r>
        <w:rPr>
          <w:rFonts w:ascii="Calibri" w:cs="Calibri" w:eastAsia="Calibri" w:hAnsi="Calibri"/>
        </w:rPr>
        <w:t xml:space="preserve">Biometric capture, storage and processing must comply with applicable privacy and biometric-data regulations (to be confirmed — see Gap Analysis).</w:t>
      </w:r>
    </w:p>
    <w:p>
      <w:pPr>
        <w:pStyle w:val="ListParagraph"/>
        <w:numPr>
          <w:ilvl w:val="0"/>
          <w:numId w:val="2"/>
        </w:numPr>
        <w:spacing w:after="60" w:line="264"/>
      </w:pPr>
      <w:r>
        <w:rPr>
          <w:rFonts w:ascii="Calibri" w:cs="Calibri" w:eastAsia="Calibri" w:hAnsi="Calibri"/>
        </w:rPr>
        <w:t xml:space="preserve">Voice and face are the only biometric modalities in scope.</w:t>
      </w:r>
    </w:p>
    <w:p>
      <w:pPr>
        <w:pStyle w:val="ListParagraph"/>
        <w:numPr>
          <w:ilvl w:val="0"/>
          <w:numId w:val="2"/>
        </w:numPr>
        <w:spacing w:after="60" w:line="264"/>
      </w:pPr>
      <w:r>
        <w:rPr>
          <w:rFonts w:ascii="Calibri" w:cs="Calibri" w:eastAsia="Calibri" w:hAnsi="Calibri"/>
        </w:rPr>
        <w:t xml:space="preserve">Deployment, upgrade and maintenance must be scheduled to minimise disruption to live operations.</w:t>
      </w:r>
    </w:p>
    <w:p>
      <w:pPr>
        <w:pStyle w:val="Heading2"/>
        <w:spacing w:after="100" w:before="220"/>
      </w:pPr>
      <w:r>
        <w:rPr>
          <w:rFonts w:ascii="Calibri" w:cs="Calibri" w:eastAsia="Calibri" w:hAnsi="Calibri"/>
          <w:b/>
          <w:bCs/>
          <w:color w:val="2E5496"/>
          <w:sz w:val="25"/>
          <w:szCs w:val="25"/>
        </w:rPr>
        <w:t xml:space="preserve">7.3 Dependencies</w:t>
      </w:r>
    </w:p>
    <w:p>
      <w:pPr>
        <w:pStyle w:val="ListParagraph"/>
        <w:numPr>
          <w:ilvl w:val="0"/>
          <w:numId w:val="2"/>
        </w:numPr>
        <w:spacing w:after="60" w:line="264"/>
      </w:pPr>
      <w:r>
        <w:rPr>
          <w:rFonts w:ascii="Calibri" w:cs="Calibri" w:eastAsia="Calibri" w:hAnsi="Calibri"/>
        </w:rPr>
        <w:t xml:space="preserve">Integration with the third-party PresentID identity service for enrollment identity checks.</w:t>
      </w:r>
    </w:p>
    <w:p>
      <w:pPr>
        <w:pStyle w:val="ListParagraph"/>
        <w:numPr>
          <w:ilvl w:val="0"/>
          <w:numId w:val="2"/>
        </w:numPr>
        <w:spacing w:after="60" w:line="264"/>
      </w:pPr>
      <w:r>
        <w:rPr>
          <w:rFonts w:ascii="Calibri" w:cs="Calibri" w:eastAsia="Calibri" w:hAnsi="Calibri"/>
        </w:rPr>
        <w:t xml:space="preserve">Notification channels (email, SMS, in-app, PagerDuty) configured and available.</w:t>
      </w:r>
    </w:p>
    <w:p>
      <w:pPr>
        <w:pStyle w:val="ListParagraph"/>
        <w:numPr>
          <w:ilvl w:val="0"/>
          <w:numId w:val="2"/>
        </w:numPr>
        <w:spacing w:after="60" w:line="264"/>
      </w:pPr>
      <w:r>
        <w:rPr>
          <w:rFonts w:ascii="Calibri" w:cs="Calibri" w:eastAsia="Calibri" w:hAnsi="Calibri"/>
        </w:rPr>
        <w:t xml:space="preserve">Monitoring/analytics and AI insight engine integrated with BioAuth.</w:t>
      </w:r>
    </w:p>
    <w:p>
      <w:pPr>
        <w:pStyle w:val="Heading1"/>
        <w:spacing w:after="140" w:before="300"/>
      </w:pPr>
      <w:r>
        <w:rPr>
          <w:rFonts w:ascii="Calibri" w:cs="Calibri" w:eastAsia="Calibri" w:hAnsi="Calibri"/>
          <w:b/>
          <w:bCs/>
          <w:color w:val="1F3864"/>
          <w:sz w:val="30"/>
          <w:szCs w:val="30"/>
        </w:rPr>
        <w:t xml:space="preserve">8. High-Level Risks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2900"/>
        <w:gridCol w:w="3860"/>
      </w:tblGrid>
      <w:tr>
        <w:trPr>
          <w:tblHeader/>
        </w:trPr>
        <w:tc>
          <w:tcPr>
            <w:tcW w:type="dxa" w:w="26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Risk</w:t>
            </w:r>
          </w:p>
        </w:tc>
        <w:tc>
          <w:tcPr>
            <w:tcW w:type="dxa" w:w="290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Impact</w:t>
            </w:r>
          </w:p>
        </w:tc>
        <w:tc>
          <w:tcPr>
            <w:tcW w:type="dxa" w:w="3860"/>
            <w:shd w:fill="2E5496" w:color="auto" w:val="clear"/>
            <w:tcMar>
              <w:top w:type="dxa" w:w="60"/>
              <w:left w:type="dxa" w:w="90"/>
              <w:bottom w:type="dxa" w:w="60"/>
              <w:right w:type="dxa" w:w="90"/>
            </w:tcMar>
          </w:tcPr>
          <w:p>
            <w:pPr>
              <w:spacing w:after="20" w:line="252"/>
            </w:pPr>
            <w:r>
              <w:rPr>
                <w:rFonts w:ascii="Calibri" w:cs="Calibri" w:eastAsia="Calibri" w:hAnsi="Calibri"/>
                <w:b/>
                <w:bCs/>
                <w:color w:val="FFFFFF"/>
                <w:sz w:val="19"/>
                <w:szCs w:val="19"/>
              </w:rPr>
              <w:t xml:space="preserve">Mitigation direction</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Biometric false accept / false reject</w:t>
            </w:r>
          </w:p>
        </w:tc>
        <w:tc>
          <w:tcPr>
            <w:tcW w:type="dxa" w:w="2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Fraud or legitimate users blocked</w:t>
            </w:r>
          </w:p>
        </w:tc>
        <w:tc>
          <w:tcPr>
            <w:tcW w:type="dxa" w:w="3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Define matching thresholds, retry limits and agent fallback (specify in FRD).</w:t>
            </w:r>
          </w:p>
        </w:tc>
      </w:tr>
      <w:tr>
        <w:tc>
          <w:tcPr>
            <w:tcW w:type="dxa" w:w="2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Privacy / regulatory non-compliance</w:t>
            </w:r>
          </w:p>
        </w:tc>
        <w:tc>
          <w:tcPr>
            <w:tcW w:type="dxa" w:w="2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Legal and reputational exposure</w:t>
            </w:r>
          </w:p>
        </w:tc>
        <w:tc>
          <w:tcPr>
            <w:tcW w:type="dxa" w:w="38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Confirm applicable regulations; define retention, consent and deletion controls.</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Low user adoption of biometrics</w:t>
            </w:r>
          </w:p>
        </w:tc>
        <w:tc>
          <w:tcPr>
            <w:tcW w:type="dxa" w:w="2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Business benefits not realised</w:t>
            </w:r>
          </w:p>
        </w:tc>
        <w:tc>
          <w:tcPr>
            <w:tcW w:type="dxa" w:w="3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Frictionless enrollment, clear value messaging, agent-assisted enrollment.</w:t>
            </w:r>
          </w:p>
        </w:tc>
      </w:tr>
      <w:tr>
        <w:tc>
          <w:tcPr>
            <w:tcW w:type="dxa" w:w="26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Spoofing / presentation attacks</w:t>
            </w:r>
          </w:p>
        </w:tc>
        <w:tc>
          <w:tcPr>
            <w:tcW w:type="dxa" w:w="290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Security breach</w:t>
            </w:r>
          </w:p>
        </w:tc>
        <w:tc>
          <w:tcPr>
            <w:tcW w:type="dxa" w:w="3860"/>
            <w:shd w:fill="EAF0FA"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Liveness detection and document verification (confirm — see Gap Analysis).</w:t>
            </w:r>
          </w:p>
        </w:tc>
      </w:tr>
      <w:tr>
        <w:tc>
          <w:tcPr>
            <w:tcW w:type="dxa" w:w="26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Deployment / upgrade downtime</w:t>
            </w:r>
          </w:p>
        </w:tc>
        <w:tc>
          <w:tcPr>
            <w:tcW w:type="dxa" w:w="290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Service disruption</w:t>
            </w:r>
          </w:p>
        </w:tc>
        <w:tc>
          <w:tcPr>
            <w:tcW w:type="dxa" w:w="3860"/>
            <w:shd w:fill="FFFFFF" w:color="auto" w:val="clear"/>
            <w:tcMar>
              <w:top w:type="dxa" w:w="60"/>
              <w:left w:type="dxa" w:w="90"/>
              <w:bottom w:type="dxa" w:w="60"/>
              <w:right w:type="dxa" w:w="90"/>
            </w:tcMar>
          </w:tcPr>
          <w:p>
            <w:pPr>
              <w:spacing w:after="20" w:line="252"/>
            </w:pPr>
            <w:r>
              <w:rPr>
                <w:rFonts w:ascii="Calibri" w:cs="Calibri" w:eastAsia="Calibri" w:hAnsi="Calibri"/>
                <w:b w:val="false"/>
                <w:bCs w:val="false"/>
                <w:color w:val="000000"/>
                <w:sz w:val="18"/>
                <w:szCs w:val="18"/>
              </w:rPr>
              <w:t xml:space="preserve">Scheduled low-activity windows, incremental upgrades, backups, rollback.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pBdr>
      <w:tabs>
        <w:tab w:val="right" w:pos="9360"/>
      </w:tabs>
      <w:spacing w:before="60"/>
    </w:pPr>
    <w:r>
      <w:rPr>
        <w:rFonts w:ascii="Calibri" w:cs="Calibri" w:eastAsia="Calibri" w:hAnsi="Calibri"/>
        <w:color w:val="595959"/>
        <w:sz w:val="16"/>
        <w:szCs w:val="16"/>
      </w:rPr>
      <w:t xml:space="preserve">Confidential — Internal Use Only</w:t>
    </w:r>
    <w:r>
      <w:rPr>
        <w:rFonts w:ascii="Calibri" w:cs="Calibri" w:eastAsia="Calibri" w:hAnsi="Calibri"/>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pBdr>
      <w:tabs>
        <w:tab w:val="right" w:pos="9360"/>
      </w:tabs>
      <w:spacing w:after="60"/>
    </w:pPr>
    <w:r>
      <w:rPr>
        <w:rFonts w:ascii="Calibri" w:cs="Calibri" w:eastAsia="Calibri" w:hAnsi="Calibri"/>
        <w:color w:val="595959"/>
        <w:sz w:val="16"/>
        <w:szCs w:val="16"/>
      </w:rPr>
      <w:t xml:space="preserve">BioAuth — MM Business</w:t>
    </w:r>
    <w:r>
      <w:rPr>
        <w:rFonts w:ascii="Calibri" w:cs="Calibri" w:eastAsia="Calibri" w:hAnsi="Calibri"/>
        <w:color w:val="595959"/>
        <w:sz w:val="16"/>
        <w:szCs w:val="16"/>
      </w:rPr>
      <w:t xml:space="preserve">	Business Requirements Document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E5496"/>
      </w:rPr>
    </w:lvl>
    <w:lvl w:ilvl="1" w15:tentative="1">
      <w:start w:val="1"/>
      <w:numFmt w:val="bullet"/>
      <w:lvlText w:val="◦"/>
      <w:lvlJc w:val="left"/>
      <w:pPr>
        <w:ind w:left="900" w:hanging="260"/>
      </w:pPr>
    </w:lvl>
    <w:lvl w:ilvl="2" w15:tentative="1">
      <w:start w:val="1"/>
      <w:numFmt w:val="bullet"/>
      <w:lvlText w:val="–"/>
      <w:lvlJc w:val="left"/>
      <w:pPr>
        <w:ind w:left="1340" w:hanging="260"/>
      </w:pPr>
    </w:lvl>
  </w:abstractNum>
  <w:abstractNum w:abstractNumId="3" w15:restartNumberingAfterBreak="0">
    <w:multiLevelType w:val="hybridMultilevel"/>
    <w:lvl w:ilvl="0" w15:tentative="1">
      <w:start w:val="1"/>
      <w:numFmt w:val="decimal"/>
      <w:lvlText w:val="%1."/>
      <w:lvlJc w:val="left"/>
      <w:pPr>
        <w:ind w:left="460" w:hanging="260"/>
      </w:pPr>
    </w:lvl>
    <w:lvl w:ilvl="1" w15:tentative="1">
      <w:start w:val="1"/>
      <w:numFmt w:val="lowerLetter"/>
      <w:lvlText w:val="%2."/>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(BRD)</dc:title>
  <dc:creator>Business Analysis Team</dc:creator>
  <dc:description>Business Requirements Document (BRD)</dc:description>
  <cp:lastModifiedBy>Un-named</cp:lastModifiedBy>
  <cp:revision>1</cp:revision>
  <dcterms:created xsi:type="dcterms:W3CDTF">2026-07-24T11:23:20.536Z</dcterms:created>
  <dcterms:modified xsi:type="dcterms:W3CDTF">2026-07-24T11:23:20.550Z</dcterms:modified>
</cp:coreProperties>
</file>

<file path=docProps/custom.xml><?xml version="1.0" encoding="utf-8"?>
<Properties xmlns="http://schemas.openxmlformats.org/officeDocument/2006/custom-properties" xmlns:vt="http://schemas.openxmlformats.org/officeDocument/2006/docPropsVTypes"/>
</file>