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jc w:val="center"/>
      </w:pPr>
      <w:r>
        <w:rPr>
          <w:rFonts w:ascii="Calibri" w:cs="Calibri" w:eastAsia="Calibri" w:hAnsi="Calibri"/>
          <w:b/>
          <w:bCs/>
          <w:caps/>
          <w:color w:val="2E5496"/>
          <w:sz w:val="26"/>
          <w:szCs w:val="26"/>
        </w:rPr>
        <w:t xml:space="preserve">BIOAUTH  |  MM BUSINESS</w:t>
      </w:r>
    </w:p>
    <w:p>
      <w:pPr>
        <w:pBdr>
          <w:bottom w:val="single" w:color="1F3864" w:sz="12"/>
        </w:pBdr>
        <w:spacing w:after="260"/>
        <w:jc w:val="center"/>
      </w:pPr>
      <w:r>
        <w:rPr>
          <w:rFonts w:ascii="Calibri" w:cs="Calibri" w:eastAsia="Calibri" w:hAnsi="Calibri"/>
          <w:color w:val="595959"/>
          <w:sz w:val="22"/>
          <w:szCs w:val="22"/>
        </w:rPr>
        <w:t xml:space="preserve">Biometric Authentication Platform</w:t>
      </w:r>
    </w:p>
    <w:p>
      <w:pPr>
        <w:spacing w:after="100"/>
        <w:jc w:val="center"/>
      </w:pPr>
      <w:r>
        <w:rPr>
          <w:rFonts w:ascii="Calibri" w:cs="Calibri" w:eastAsia="Calibri" w:hAnsi="Calibri"/>
          <w:b/>
          <w:bCs/>
          <w:color w:val="1F3864"/>
          <w:sz w:val="56"/>
          <w:szCs w:val="56"/>
        </w:rPr>
        <w:t xml:space="preserve">Business Rules</w:t>
      </w:r>
    </w:p>
    <w:p>
      <w:pPr>
        <w:spacing w:after="40"/>
        <w:jc w:val="center"/>
      </w:pPr>
      <w:r>
        <w:rPr>
          <w:rFonts w:ascii="Calibri" w:cs="Calibri" w:eastAsia="Calibri" w:hAnsi="Calibri"/>
          <w:b/>
          <w:bCs/>
          <w:color w:val="333333"/>
          <w:sz w:val="30"/>
          <w:szCs w:val="30"/>
        </w:rPr>
        <w:t xml:space="preserve">Rules governing BioAuth decisions and behaviour</w:t>
      </w:r>
    </w:p>
    <w:p>
      <w:pPr>
        <w:spacing w:after="700"/>
        <w:jc w:val="center"/>
      </w:pPr>
      <w:r>
        <w:rPr>
          <w:rFonts w:ascii="Calibri" w:cs="Calibri" w:eastAsia="Calibri" w:hAnsi="Calibri"/>
          <w:i/>
          <w:iCs/>
          <w:color w:val="595959"/>
          <w:sz w:val="22"/>
          <w:szCs w:val="22"/>
        </w:rPr>
        <w:t xml:space="preserve">Policy and decision logic extracted from the source use cases</w:t>
      </w:r>
    </w:p>
    <w:tbl>
      <w:tblPr>
        <w:tblW w:type="dxa" w:w="680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tblGrid>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Document Type</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Business Rules</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Version</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1.0 (Draft)</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Status</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Review</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Date</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24 July 2026</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Prepared By</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Business Analysis Team</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Traces to</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BRD v1.0, FRD v1.0</w:t>
            </w:r>
          </w:p>
        </w:tc>
      </w:tr>
    </w:tbl>
    <w:p>
      <w:r>
        <w:br w:type="page"/>
      </w:r>
    </w:p>
    <w:p>
      <w:pPr>
        <w:pStyle w:val="Heading1"/>
        <w:spacing w:after="140" w:before="3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1F3864"/>
          <w:sz w:val="30"/>
          <w:szCs w:val="30"/>
        </w:rPr>
        <w:t xml:space="preserve">1. Introduction</w:t>
      </w:r>
    </w:p>
    <w:p>
      <w:pPr>
        <w:spacing w:after="120" w:before="0" w:line="264"/>
      </w:pPr>
      <w:r>
        <w:rPr>
          <w:rFonts w:ascii="Calibri" w:cs="Calibri" w:eastAsia="Calibri" w:hAnsi="Calibri"/>
        </w:rPr>
        <w:t xml:space="preserve">This document captures the business rules that govern BioAuth's decisions and behaviour for MM Business. A business rule is a statement that constrains or directs an action independently of how it is implemented. Rules are grouped by domain and cross-reference the functional requirements they drive. Where a rule depends on a value that the source material does not specify, the value is marked “TBD” and listed in the Gap Analysis.</w:t>
      </w:r>
    </w:p>
    <w:p>
      <w:pPr>
        <w:spacing w:after="120" w:before="0" w:line="264"/>
      </w:pPr>
      <w:r>
        <w:rPr>
          <w:rFonts w:ascii="Calibri" w:cs="Calibri" w:eastAsia="Calibri" w:hAnsi="Calibri"/>
        </w:rPr>
        <w:t xml:space="preserve">Rule IDs follow the pattern </w:t>
      </w:r>
      <w:r>
        <w:rPr>
          <w:rFonts w:ascii="Calibri" w:cs="Calibri" w:eastAsia="Calibri" w:hAnsi="Calibri"/>
          <w:b/>
          <w:bCs/>
        </w:rPr>
        <w:t xml:space="preserve">BRULE-&lt;DOMAIN&gt;-&lt;n&gt;</w:t>
      </w:r>
      <w:r>
        <w:rPr>
          <w:rFonts w:ascii="Calibri" w:cs="Calibri" w:eastAsia="Calibri" w:hAnsi="Calibri"/>
        </w:rPr>
        <w:t xml:space="preserve">.</w:t>
      </w:r>
    </w:p>
    <w:p>
      <w:pPr>
        <w:pStyle w:val="Heading1"/>
        <w:spacing w:after="140" w:before="300"/>
      </w:pPr>
      <w:r>
        <w:rPr>
          <w:rFonts w:ascii="Calibri" w:cs="Calibri" w:eastAsia="Calibri" w:hAnsi="Calibri"/>
          <w:b/>
          <w:bCs/>
          <w:color w:val="1F3864"/>
          <w:sz w:val="30"/>
          <w:szCs w:val="30"/>
        </w:rPr>
        <w:t xml:space="preserve">2. Business Rules</w:t>
      </w:r>
    </w:p>
    <w:p>
      <w:pPr>
        <w:pStyle w:val="Heading2"/>
        <w:spacing w:after="100" w:before="220"/>
      </w:pPr>
      <w:r>
        <w:rPr>
          <w:rFonts w:ascii="Calibri" w:cs="Calibri" w:eastAsia="Calibri" w:hAnsi="Calibri"/>
          <w:b/>
          <w:bCs/>
          <w:color w:val="2E5496"/>
          <w:sz w:val="25"/>
          <w:szCs w:val="25"/>
        </w:rPr>
        <w:t xml:space="preserve">2.1 Account &amp; identity matching</w:t>
      </w:r>
    </w:p>
    <w:p>
      <w:pPr>
        <w:spacing w:after="120" w:before="0" w:line="264"/>
      </w:pPr>
      <w:r>
        <w:rPr>
          <w:rFonts w:ascii="Calibri" w:cs="Calibri" w:eastAsia="Calibri" w:hAnsi="Calibri"/>
        </w:rPr>
        <w:t xml:space="preserve">Rules for locating and disambiguating accounts before verification or enrollment.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BRULE-AM-01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inbound caller shall first be matched to an account by the calling phone number; if unmatched, the user may provide phone or email.</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FR-VA-01</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BRULE-AM-02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a single phone number or identifier matches more than one account, the system shall not proceed with automatic verification/enrollment and shall request additional identifying information or transfer to an agent.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FR-VE-07, FR-VA-10</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BRULE-AM-03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phone number matches one account but the voice matches a different account, the result is a “mismatch” and the user shall be transferred to an agent for account resolution.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FR-VA-06, FR-VA-11</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BRULE-AM-04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caller from an unrecognised number/email may only be verified biometrically with explicit consent; without an account or match, the user shall be offered self-service registration or agent transfer.</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FR-VA-07, FR-VA-09</w:t>
            </w:r>
          </w:p>
        </w:tc>
      </w:tr>
    </w:tbl>
    <w:p>
      <w:pPr>
        <w:pStyle w:val="Heading2"/>
        <w:spacing w:after="100" w:before="220"/>
      </w:pPr>
      <w:r>
        <w:rPr>
          <w:rFonts w:ascii="Calibri" w:cs="Calibri" w:eastAsia="Calibri" w:hAnsi="Calibri"/>
          <w:b/>
          <w:bCs/>
          <w:color w:val="2E5496"/>
          <w:sz w:val="25"/>
          <w:szCs w:val="25"/>
        </w:rPr>
        <w:t xml:space="preserve">2.2 Consent</w:t>
      </w:r>
    </w:p>
    <w:p>
      <w:pPr>
        <w:spacing w:after="120" w:before="0" w:line="264"/>
      </w:pPr>
      <w:r>
        <w:rPr>
          <w:rFonts w:ascii="Calibri" w:cs="Calibri" w:eastAsia="Calibri" w:hAnsi="Calibri"/>
        </w:rPr>
        <w:t xml:space="preserve">Rules for capturing and honouring biometric consent.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BRULE-CN-01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Biometric enrollment or verification shall not proceed without the user's explicit consent (yes/no).</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FR-VE-02, FR-FE-05, FR-AB-01</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BRULE-CN-02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consent for voice authentication is missing at the time of a call, the system shall request it and, on agreement, store it against the account before proceeding.</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FR-VA-05</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BRULE-CN-03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Declined consent shall be recorded (consent_status = no) and the current/alternative verification method shall be used instead.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FR-VE-05, FR-FE-09, FR-AB-04</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BRULE-CN-04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Consent status shall be updatable during a live contact by an agent on the user's agreement.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FR-AB-01, FR-DP-01</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BRULE-CN-05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recorded consent decision shall persist on the user profile until explicitly changed by the user or agent.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FR-DP-01</w:t>
            </w:r>
          </w:p>
        </w:tc>
      </w:tr>
    </w:tbl>
    <w:p>
      <w:pPr>
        <w:pStyle w:val="Heading2"/>
        <w:spacing w:after="100" w:before="220"/>
      </w:pPr>
      <w:r>
        <w:rPr>
          <w:rFonts w:ascii="Calibri" w:cs="Calibri" w:eastAsia="Calibri" w:hAnsi="Calibri"/>
          <w:b/>
          <w:bCs/>
          <w:color w:val="2E5496"/>
          <w:sz w:val="25"/>
          <w:szCs w:val="25"/>
        </w:rPr>
        <w:t xml:space="preserve">2.3 Voice enrollment</w:t>
      </w:r>
    </w:p>
    <w:p>
      <w:pPr>
        <w:spacing w:after="120" w:before="0" w:line="264"/>
      </w:pPr>
      <w:r>
        <w:rPr>
          <w:rFonts w:ascii="Calibri" w:cs="Calibri" w:eastAsia="Calibri" w:hAnsi="Calibri"/>
        </w:rPr>
        <w:t xml:space="preserve">Rules specific to capturing a voice-print.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BRULE-VE-01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During voice enrollment only the user's voice sample shall be captured, not the content/meaning of what is said.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FR-VE-02</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BRULE-VE-02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a new user, the provided phone/email shall be OTP-verified before the voice-print is stored.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FR-VE-04</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BRULE-VE-03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not create a duplicate voice-print; if one already exists the user shall be informed (already_enrolled).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FR-VE-09</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BRULE-VE-04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 technical failure during enrollment, no partial voice data shall be stored and the user shall be advised to retry later.</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FR-VE-08</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BRULE-VE-05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successful voice enrollment shall set consent_status = yes and voice_enrolled = success and associate the voice-print with the account.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FR-VE-10</w:t>
            </w:r>
          </w:p>
        </w:tc>
      </w:tr>
    </w:tbl>
    <w:p>
      <w:pPr>
        <w:pStyle w:val="Heading2"/>
        <w:spacing w:after="100" w:before="220"/>
      </w:pPr>
      <w:r>
        <w:rPr>
          <w:rFonts w:ascii="Calibri" w:cs="Calibri" w:eastAsia="Calibri" w:hAnsi="Calibri"/>
          <w:b/>
          <w:bCs/>
          <w:color w:val="2E5496"/>
          <w:sz w:val="25"/>
          <w:szCs w:val="25"/>
        </w:rPr>
        <w:t xml:space="preserve">2.4 Voice authentication</w:t>
      </w:r>
    </w:p>
    <w:p>
      <w:pPr>
        <w:spacing w:after="120" w:before="0" w:line="264"/>
      </w:pPr>
      <w:r>
        <w:rPr>
          <w:rFonts w:ascii="Calibri" w:cs="Calibri" w:eastAsia="Calibri" w:hAnsi="Calibri"/>
        </w:rPr>
        <w:t xml:space="preserve">Rules for matching a live voice sample.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BRULE-VA-01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Voice authentication shall be attempted only after the phone number is verified and voice consent exists.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FR-VA-01, FR-VA-02</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BRULE-VA-02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voice sample shall be compared against the voice-print of the phone-matched account first; on non-match, other accounts linked to the number shall be tried.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FR-VA-04</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BRULE-VA-03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match returns status = matched with account identifiers and results in transfer to an agent; a non-match across all candidate accounts returns status = failed and transfer to an agent.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FR-VA-03, FR-VA-04</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BRULE-VA-04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voice sample matching a different account than the phone number returns status = mismatched and is escalated to an agent, never auto-authenticated.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FR-VA-06</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BRULE-VA-05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Every mismatch event shall be logged securely with phone number, account identifiers, timestamp and status for audit and improvement.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FR-VA-12</w:t>
            </w:r>
          </w:p>
        </w:tc>
      </w:tr>
    </w:tbl>
    <w:p>
      <w:pPr>
        <w:pStyle w:val="Heading2"/>
        <w:spacing w:after="100" w:before="220"/>
      </w:pPr>
      <w:r>
        <w:rPr>
          <w:rFonts w:ascii="Calibri" w:cs="Calibri" w:eastAsia="Calibri" w:hAnsi="Calibri"/>
          <w:b/>
          <w:bCs/>
          <w:color w:val="2E5496"/>
          <w:sz w:val="25"/>
          <w:szCs w:val="25"/>
        </w:rPr>
        <w:t xml:space="preserve">2.5 Face enrollment &amp; authentication</w:t>
      </w:r>
    </w:p>
    <w:p>
      <w:pPr>
        <w:spacing w:after="120" w:before="0" w:line="264"/>
      </w:pPr>
      <w:r>
        <w:rPr>
          <w:rFonts w:ascii="Calibri" w:cs="Calibri" w:eastAsia="Calibri" w:hAnsi="Calibri"/>
        </w:rPr>
        <w:t xml:space="preserve">Rules specific to the chat/face channel.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BRULE-FA-01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Face enrollment shall be preceded by successful identifier (OTP) verification.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FR-FE-02</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BRULE-FA-02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incorrect OTP shall not verify the user; the user shall be allowed to re-enter the code.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FR-FE-03</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BRULE-FA-03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successful face enrollment shall set consent_status = yes and face_enrolled = success and secure the account with face recognition.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FR-FE-08</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BRULE-FA-04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Face verification shall only run when a face-print is enrolled for the logged-in account and face consent is granted.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FR-FA-02</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BRULE-FA-05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face non-match, declined consent, or missing enrollment shall prevent the chat about that account from continuing (fail/terminate or redirect to enrollment).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FR-FA-05, FR-FA-06, FR-FA-07</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BRULE-FA-06</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user shall be permitted to retry face verification; a subsequent match allows the chat to continue.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FR-FA-08</w:t>
            </w:r>
          </w:p>
        </w:tc>
      </w:tr>
    </w:tbl>
    <w:p>
      <w:pPr>
        <w:pStyle w:val="Heading2"/>
        <w:spacing w:after="100" w:before="220"/>
      </w:pPr>
      <w:r>
        <w:rPr>
          <w:rFonts w:ascii="Calibri" w:cs="Calibri" w:eastAsia="Calibri" w:hAnsi="Calibri"/>
          <w:b/>
          <w:bCs/>
          <w:color w:val="2E5496"/>
          <w:sz w:val="25"/>
          <w:szCs w:val="25"/>
        </w:rPr>
        <w:t xml:space="preserve">2.6 Agent handling &amp; escalation</w:t>
      </w:r>
    </w:p>
    <w:p>
      <w:pPr>
        <w:spacing w:after="120" w:before="0" w:line="264"/>
      </w:pPr>
      <w:r>
        <w:rPr>
          <w:rFonts w:ascii="Calibri" w:cs="Calibri" w:eastAsia="Calibri" w:hAnsi="Calibri"/>
        </w:rPr>
        <w:t xml:space="preserve">Rules governing what agents may do based on verification outcome.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BRULE-AG-01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agent shall be shown the user's verification status (and failure reason, where applicable) before responding to a query.</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FR-AC-01, FR-AV-01</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BRULE-AG-02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agent shall not answer an account-specific query for a user who has not been verified and does not consent to verification.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FR-AC-08</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BRULE-AG-03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a verification failure, the agent may trigger BioAuth verification (enrolled user) or enrollment (non-enrolled user) before proceeding, subject to consent.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FR-AC-06, FR-AC-07</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BRULE-AG-04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Repeated or technically-impossible verification failures shall be escalated to a supervisor/specialist or the Manual Review Team, with full context transferred.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FR-AC-09, FR-AV-08</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BRULE-AG-05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Where full verification is not possible, an agent may provide only limited/general assistance that does not require sensitive account information, and shall log the partial verification.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FR-AV-09</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BRULE-AG-06</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agent who detects a verification/identity discrepancy shall flag the contact and escalate rather than continue unverified.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FR-AC-05, FR-AV-05, FR-AV-10</w:t>
            </w:r>
          </w:p>
        </w:tc>
      </w:tr>
    </w:tbl>
    <w:p>
      <w:pPr>
        <w:pStyle w:val="Heading2"/>
        <w:spacing w:after="100" w:before="220"/>
      </w:pPr>
      <w:r>
        <w:rPr>
          <w:rFonts w:ascii="Calibri" w:cs="Calibri" w:eastAsia="Calibri" w:hAnsi="Calibri"/>
          <w:b/>
          <w:bCs/>
          <w:color w:val="2E5496"/>
          <w:sz w:val="25"/>
          <w:szCs w:val="25"/>
        </w:rPr>
        <w:t xml:space="preserve">2.7 MM Admin onboarding &amp; configuration</w:t>
      </w:r>
    </w:p>
    <w:p>
      <w:pPr>
        <w:spacing w:after="120" w:before="0" w:line="264"/>
      </w:pPr>
      <w:r>
        <w:rPr>
          <w:rFonts w:ascii="Calibri" w:cs="Calibri" w:eastAsia="Calibri" w:hAnsi="Calibri"/>
        </w:rPr>
        <w:t xml:space="preserve">Rules governing admin setup and system configuration.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BRULE-AD-01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MM Admin account shall be validated by both corporate email (link) and corporate phone (OTP) before use.</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FR-AD-01</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BRULE-AD-02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MM Admin shall complete voice and face enrollment as part of onboarding.</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FR-AD-02, FR-AD-03</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BRULE-AD-03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At least two MM Admins shall be fully enrolled to provide redundancy.</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FR-AD-04</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BRULE-AD-04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Configuration changes to trust levels and BioAuth conditions shall be validated, confirmed and logged for audit.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FR-AD-08</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BRULE-AD-05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shall be required or waived according to admin-configured conditions (e.g. required for high-security transactions).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FR-AD-07</w:t>
            </w:r>
          </w:p>
        </w:tc>
      </w:tr>
    </w:tbl>
    <w:p>
      <w:pPr>
        <w:pStyle w:val="Heading2"/>
        <w:spacing w:after="100" w:before="220"/>
      </w:pPr>
      <w:r>
        <w:rPr>
          <w:rFonts w:ascii="Calibri" w:cs="Calibri" w:eastAsia="Calibri" w:hAnsi="Calibri"/>
          <w:b/>
          <w:bCs/>
          <w:color w:val="2E5496"/>
          <w:sz w:val="25"/>
          <w:szCs w:val="25"/>
        </w:rPr>
        <w:t xml:space="preserve">2.8 Deployment, upgrade &amp; maintenance</w:t>
      </w:r>
    </w:p>
    <w:p>
      <w:pPr>
        <w:spacing w:after="120" w:before="0" w:line="264"/>
      </w:pPr>
      <w:r>
        <w:rPr>
          <w:rFonts w:ascii="Calibri" w:cs="Calibri" w:eastAsia="Calibri" w:hAnsi="Calibri"/>
        </w:rPr>
        <w:t xml:space="preserve">Rules for operating the platform.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BRULE-DM-01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Application packages and dependencies shall be verified before deployment.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FR-DM-01</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BRULE-DM-02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Upgrades shall be scheduled during low-activity windows, applied incrementally, and preceded by a backup of data and configuration.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FR-DM-04</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BRULE-DM-03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Integrations shall be validated for data-flow consistency and tested before being relied upon.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FR-DM-02</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BRULE-DM-04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Post-deployment and post-upgrade validation tests shall pass before the change is considered complete.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FR-DM-03, FR-DM-04</w:t>
            </w:r>
          </w:p>
        </w:tc>
      </w:tr>
    </w:tbl>
    <w:p>
      <w:pPr>
        <w:pStyle w:val="Heading2"/>
        <w:spacing w:after="100" w:before="220"/>
      </w:pPr>
      <w:r>
        <w:rPr>
          <w:rFonts w:ascii="Calibri" w:cs="Calibri" w:eastAsia="Calibri" w:hAnsi="Calibri"/>
          <w:b/>
          <w:bCs/>
          <w:color w:val="2E5496"/>
          <w:sz w:val="25"/>
          <w:szCs w:val="25"/>
        </w:rPr>
        <w:t xml:space="preserve">2.9 Data retention &amp; deletion</w:t>
      </w:r>
    </w:p>
    <w:p>
      <w:pPr>
        <w:spacing w:after="120" w:before="0" w:line="264"/>
      </w:pPr>
      <w:r>
        <w:rPr>
          <w:rFonts w:ascii="Calibri" w:cs="Calibri" w:eastAsia="Calibri" w:hAnsi="Calibri"/>
        </w:rPr>
        <w:t xml:space="preserve">Rules for lifecycle of accounts and biometric data.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BRULE-DP-01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Deleting a user account shall also delete all associated BioAuth biometric templates.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FR-DP-02, FR-DP-04</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BRULE-DP-02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user may delete their biometric record independently while retaining the account; alternative authentication then applies.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FR-DP-05</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BRULE-DP-03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Deletion actions shall require explicit confirmation and shall be reversible only up to the point of execution (cancel before execution).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FR-DP-02, FR-DP-06</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BRULE-DP-04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biometric deletion the user shall no longer be able to authenticate using that biometric.</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FR-DP-02, FR-DP-05</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BRULE-DP-05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All deletion events shall be logged for audit.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FR-DP-02 … FR-DP-06, NFR-04</w:t>
            </w:r>
          </w:p>
        </w:tc>
      </w:tr>
    </w:tbl>
    <w:p>
      <w:pPr>
        <w:pStyle w:val="Heading2"/>
        <w:spacing w:after="100" w:before="220"/>
      </w:pPr>
      <w:r>
        <w:rPr>
          <w:rFonts w:ascii="Calibri" w:cs="Calibri" w:eastAsia="Calibri" w:hAnsi="Calibri"/>
          <w:b/>
          <w:bCs/>
          <w:color w:val="2E5496"/>
          <w:sz w:val="25"/>
          <w:szCs w:val="25"/>
        </w:rPr>
        <w:t xml:space="preserve">2.10 Notifications</w:t>
      </w:r>
    </w:p>
    <w:p>
      <w:pPr>
        <w:spacing w:after="120" w:before="0" w:line="264"/>
      </w:pPr>
      <w:r>
        <w:rPr>
          <w:rFonts w:ascii="Calibri" w:cs="Calibri" w:eastAsia="Calibri" w:hAnsi="Calibri"/>
        </w:rPr>
        <w:t xml:space="preserve">Rules for alerting agents and admins.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BRULE-NT-01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Notifications shall be delivered via the recipient's configured channel(s) (agent: email/SMS/in-app; admin: email/SMS/PagerDuty).</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FR-NT-02, FR-NT-05</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BRULE-NT-02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health notifications shall include an issue summary, a link to the detailed report, root-cause analysis and remediation steps.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FR-NT-04</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BRULE-NT-03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health notification shall be triggered when a defined health threshold is breached (threshold values TBD).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FR-NT-04</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BRULE-NT-04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record delivery and acknowledgment status for every notification.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FR-NT-03, FR-NT-05</w:t>
            </w:r>
          </w:p>
        </w:tc>
      </w:tr>
    </w:tbl>
    <w:p>
      <w:pPr>
        <w:pStyle w:val="Heading2"/>
        <w:spacing w:after="100" w:before="220"/>
      </w:pPr>
      <w:r>
        <w:rPr>
          <w:rFonts w:ascii="Calibri" w:cs="Calibri" w:eastAsia="Calibri" w:hAnsi="Calibri"/>
          <w:b/>
          <w:bCs/>
          <w:color w:val="2E5496"/>
          <w:sz w:val="25"/>
          <w:szCs w:val="25"/>
        </w:rPr>
        <w:t xml:space="preserve">2.11 Reporting</w:t>
      </w:r>
    </w:p>
    <w:p>
      <w:pPr>
        <w:spacing w:after="120" w:before="0" w:line="264"/>
      </w:pPr>
      <w:r>
        <w:rPr>
          <w:rFonts w:ascii="Calibri" w:cs="Calibri" w:eastAsia="Calibri" w:hAnsi="Calibri"/>
        </w:rPr>
        <w:t xml:space="preserve">Rules for report generation and access.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6560"/>
        <w:gridCol w:w="1500"/>
      </w:tblGrid>
      <w:tr>
        <w:trPr>
          <w:tblHeader/>
        </w:trPr>
        <w:tc>
          <w:tcPr>
            <w:tcW w:type="dxa" w:w="13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ID</w:t>
            </w:r>
          </w:p>
        </w:tc>
        <w:tc>
          <w:tcPr>
            <w:tcW w:type="dxa" w:w="65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Rule statement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Drives</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BRULE-RP-01</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Reports shall support the standard reporting windows of 12, 6, 3 and 1 months.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FR-RP-01 … FR-RP-05</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BRULE-RP-02</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Only authenticated, authorised users shall access reports and stats, according to role.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FR-RP-05, FR-RP-09</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BRULE-RP-03</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Verification reports shall present, at minimum, timestamp, type, status, time taken, app version and device per verification.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FR-RP-05</w:t>
            </w:r>
          </w:p>
        </w:tc>
      </w:tr>
      <w:tr>
        <w:tc>
          <w:tcPr>
            <w:tcW w:type="dxa" w:w="13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BRULE-RP-04</w:t>
            </w:r>
          </w:p>
        </w:tc>
        <w:tc>
          <w:tcPr>
            <w:tcW w:type="dxa" w:w="65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Reports shall be exportable in PDF, Excel and CSV formats.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FR-RP-06</w:t>
            </w:r>
          </w:p>
        </w:tc>
      </w:tr>
      <w:tr>
        <w:tc>
          <w:tcPr>
            <w:tcW w:type="dxa" w:w="13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BRULE-RP-05</w:t>
            </w:r>
          </w:p>
        </w:tc>
        <w:tc>
          <w:tcPr>
            <w:tcW w:type="dxa" w:w="65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Failure reasons in reports shall be categorised by standardised error codes.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FR-RP-03</w:t>
            </w:r>
          </w:p>
        </w:tc>
      </w:tr>
    </w:tbl>
    <w:p>
      <w:r>
        <w:br w:type="page"/>
      </w:r>
    </w:p>
    <w:p>
      <w:pPr>
        <w:pStyle w:val="Heading1"/>
        <w:spacing w:after="140" w:before="300"/>
      </w:pPr>
      <w:r>
        <w:rPr>
          <w:rFonts w:ascii="Calibri" w:cs="Calibri" w:eastAsia="Calibri" w:hAnsi="Calibri"/>
          <w:b/>
          <w:bCs/>
          <w:color w:val="1F3864"/>
          <w:sz w:val="30"/>
          <w:szCs w:val="30"/>
        </w:rPr>
        <w:t xml:space="preserve">3. Rule Parameters Requiring Confirmation</w:t>
      </w:r>
    </w:p>
    <w:p>
      <w:pPr>
        <w:spacing w:after="120" w:before="0" w:line="264"/>
      </w:pPr>
      <w:r>
        <w:rPr>
          <w:rFonts w:ascii="Calibri" w:cs="Calibri" w:eastAsia="Calibri" w:hAnsi="Calibri"/>
        </w:rPr>
        <w:t xml:space="preserve">The rules above rely on the following parameters, which are not specified in the source material and must be confirmed by the business. These are also tracked in the Gap Analysis.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200"/>
        <w:gridCol w:w="3160"/>
      </w:tblGrid>
      <w:tr>
        <w:trPr>
          <w:tblHeader/>
        </w:trPr>
        <w:tc>
          <w:tcPr>
            <w:tcW w:type="dxa" w:w="30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Parameter</w:t>
            </w:r>
          </w:p>
        </w:tc>
        <w:tc>
          <w:tcPr>
            <w:tcW w:type="dxa" w:w="32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Used by</w:t>
            </w:r>
          </w:p>
        </w:tc>
        <w:tc>
          <w:tcPr>
            <w:tcW w:type="dxa" w:w="31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Note</w:t>
            </w:r>
          </w:p>
        </w:tc>
      </w:tr>
      <w:tr>
        <w:tc>
          <w:tcPr>
            <w:tcW w:type="dxa" w:w="3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Voice/face match confidence threshold</w:t>
            </w:r>
          </w:p>
        </w:tc>
        <w:tc>
          <w:tcPr>
            <w:tcW w:type="dxa" w:w="3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BRULE-VA-03, BRULE-FA-04</w:t>
            </w:r>
          </w:p>
        </w:tc>
        <w:tc>
          <w:tcPr>
            <w:tcW w:type="dxa" w:w="31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score above which a sample is treated as a match.</w:t>
            </w:r>
          </w:p>
        </w:tc>
      </w:tr>
      <w:tr>
        <w:tc>
          <w:tcPr>
            <w:tcW w:type="dxa" w:w="3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Maximum verification retry attempts</w:t>
            </w:r>
          </w:p>
        </w:tc>
        <w:tc>
          <w:tcPr>
            <w:tcW w:type="dxa" w:w="3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BRULE-FA-06, BRULE-AG-04</w:t>
            </w:r>
          </w:p>
        </w:tc>
        <w:tc>
          <w:tcPr>
            <w:tcW w:type="dxa" w:w="31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“Multiple attempts” is referenced but no limit is defined.</w:t>
            </w:r>
          </w:p>
        </w:tc>
      </w:tr>
      <w:tr>
        <w:tc>
          <w:tcPr>
            <w:tcW w:type="dxa" w:w="3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OTP length and validity period</w:t>
            </w:r>
          </w:p>
        </w:tc>
        <w:tc>
          <w:tcPr>
            <w:tcW w:type="dxa" w:w="3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BRULE-VE-02, BRULE-FA-01</w:t>
            </w:r>
          </w:p>
        </w:tc>
        <w:tc>
          <w:tcPr>
            <w:tcW w:type="dxa" w:w="31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Not specified in source.</w:t>
            </w:r>
          </w:p>
        </w:tc>
      </w:tr>
      <w:tr>
        <w:tc>
          <w:tcPr>
            <w:tcW w:type="dxa" w:w="3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Health / uptime alert thresholds</w:t>
            </w:r>
          </w:p>
        </w:tc>
        <w:tc>
          <w:tcPr>
            <w:tcW w:type="dxa" w:w="3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BRULE-NT-03</w:t>
            </w:r>
          </w:p>
        </w:tc>
        <w:tc>
          <w:tcPr>
            <w:tcW w:type="dxa" w:w="31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Threshold values that trigger MM Admin notifications.</w:t>
            </w:r>
          </w:p>
        </w:tc>
      </w:tr>
      <w:tr>
        <w:tc>
          <w:tcPr>
            <w:tcW w:type="dxa" w:w="3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Biometric data retention period</w:t>
            </w:r>
          </w:p>
        </w:tc>
        <w:tc>
          <w:tcPr>
            <w:tcW w:type="dxa" w:w="3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BRULE-DP-01 … 04</w:t>
            </w:r>
          </w:p>
        </w:tc>
        <w:tc>
          <w:tcPr>
            <w:tcW w:type="dxa" w:w="31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Retention duration prior to/after deletion, per regulation.</w:t>
            </w:r>
          </w:p>
        </w:tc>
      </w:tr>
      <w:tr>
        <w:tc>
          <w:tcPr>
            <w:tcW w:type="dxa" w:w="3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Definition of trust levels</w:t>
            </w:r>
          </w:p>
        </w:tc>
        <w:tc>
          <w:tcPr>
            <w:tcW w:type="dxa" w:w="3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BRULE-AD-04, BRULE-AD-05</w:t>
            </w:r>
          </w:p>
        </w:tc>
        <w:tc>
          <w:tcPr>
            <w:tcW w:type="dxa" w:w="31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specific trust levels configurable by admin are undefined.</w:t>
            </w:r>
          </w:p>
        </w:tc>
      </w:tr>
      <w:tr>
        <w:tc>
          <w:tcPr>
            <w:tcW w:type="dxa" w:w="3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High-security transaction criteria</w:t>
            </w:r>
          </w:p>
        </w:tc>
        <w:tc>
          <w:tcPr>
            <w:tcW w:type="dxa" w:w="3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BRULE-AD-05</w:t>
            </w:r>
          </w:p>
        </w:tc>
        <w:tc>
          <w:tcPr>
            <w:tcW w:type="dxa" w:w="31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What qualifies a transaction as requiring BioAuth.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pBdr>
      <w:tabs>
        <w:tab w:val="right" w:pos="9360"/>
      </w:tabs>
      <w:spacing w:before="60"/>
    </w:pPr>
    <w:r>
      <w:rPr>
        <w:rFonts w:ascii="Calibri" w:cs="Calibri" w:eastAsia="Calibri" w:hAnsi="Calibri"/>
        <w:color w:val="595959"/>
        <w:sz w:val="16"/>
        <w:szCs w:val="16"/>
      </w:rPr>
      <w:t xml:space="preserve">Confidential — Internal Use Only</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pBdr>
      <w:tabs>
        <w:tab w:val="right" w:pos="9360"/>
      </w:tabs>
      <w:spacing w:after="60"/>
    </w:pPr>
    <w:r>
      <w:rPr>
        <w:rFonts w:ascii="Calibri" w:cs="Calibri" w:eastAsia="Calibri" w:hAnsi="Calibri"/>
        <w:color w:val="595959"/>
        <w:sz w:val="16"/>
        <w:szCs w:val="16"/>
      </w:rPr>
      <w:t xml:space="preserve">BioAuth — MM Business</w:t>
    </w:r>
    <w:r>
      <w:rPr>
        <w:rFonts w:ascii="Calibri" w:cs="Calibri" w:eastAsia="Calibri" w:hAnsi="Calibri"/>
        <w:color w:val="595959"/>
        <w:sz w:val="16"/>
        <w:szCs w:val="16"/>
      </w:rPr>
      <w:t xml:space="preserve">	Business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496"/>
      </w:rPr>
    </w:lvl>
    <w:lvl w:ilvl="1" w15:tentative="1">
      <w:start w:val="1"/>
      <w:numFmt w:val="bullet"/>
      <w:lvlText w:val="◦"/>
      <w:lvlJc w:val="left"/>
      <w:pPr>
        <w:ind w:left="900" w:hanging="260"/>
      </w:pPr>
    </w:lvl>
    <w:lvl w:ilvl="2" w15:tentative="1">
      <w:start w:val="1"/>
      <w:numFmt w:val="bullet"/>
      <w:lvlText w:val="–"/>
      <w:lvlJc w:val="left"/>
      <w:pPr>
        <w:ind w:left="134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Rules</dc:title>
  <dc:creator>Business Analysis Team</dc:creator>
  <dc:description>Business Rules</dc:description>
  <cp:lastModifiedBy>Un-named</cp:lastModifiedBy>
  <cp:revision>1</cp:revision>
  <dcterms:created xsi:type="dcterms:W3CDTF">2026-07-24T11:26:33.036Z</dcterms:created>
  <dcterms:modified xsi:type="dcterms:W3CDTF">2026-07-24T11:26:33.036Z</dcterms:modified>
</cp:coreProperties>
</file>

<file path=docProps/custom.xml><?xml version="1.0" encoding="utf-8"?>
<Properties xmlns="http://schemas.openxmlformats.org/officeDocument/2006/custom-properties" xmlns:vt="http://schemas.openxmlformats.org/officeDocument/2006/docPropsVTypes"/>
</file>