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rPr>
          <w:rFonts w:ascii="Calibri" w:cs="Calibri" w:eastAsia="Calibri" w:hAnsi="Calibri"/>
        </w:rPr>
        <w:t xml:space="preserve"/>
      </w:r>
    </w:p>
    <w:p>
      <w:pPr>
        <w:spacing w:after="60"/>
        <w:jc w:val="center"/>
      </w:pPr>
      <w:r>
        <w:rPr>
          <w:rFonts w:ascii="Calibri" w:cs="Calibri" w:eastAsia="Calibri" w:hAnsi="Calibri"/>
          <w:b/>
          <w:bCs/>
          <w:caps/>
          <w:color w:val="2E5496"/>
          <w:sz w:val="26"/>
          <w:szCs w:val="26"/>
        </w:rPr>
        <w:t xml:space="preserve">BIOAUTH  |  MM BUSINESS</w:t>
      </w:r>
    </w:p>
    <w:p>
      <w:pPr>
        <w:pBdr>
          <w:bottom w:val="single" w:color="1F3864" w:sz="12"/>
        </w:pBdr>
        <w:spacing w:after="260"/>
        <w:jc w:val="center"/>
      </w:pPr>
      <w:r>
        <w:rPr>
          <w:rFonts w:ascii="Calibri" w:cs="Calibri" w:eastAsia="Calibri" w:hAnsi="Calibri"/>
          <w:color w:val="595959"/>
          <w:sz w:val="22"/>
          <w:szCs w:val="22"/>
        </w:rPr>
        <w:t xml:space="preserve">Biometric Authentication Platform</w:t>
      </w:r>
    </w:p>
    <w:p>
      <w:pPr>
        <w:spacing w:after="100"/>
        <w:jc w:val="center"/>
      </w:pPr>
      <w:r>
        <w:rPr>
          <w:rFonts w:ascii="Calibri" w:cs="Calibri" w:eastAsia="Calibri" w:hAnsi="Calibri"/>
          <w:b/>
          <w:bCs/>
          <w:color w:val="1F3864"/>
          <w:sz w:val="56"/>
          <w:szCs w:val="56"/>
        </w:rPr>
        <w:t xml:space="preserve">Functional Requirements Document</w:t>
      </w:r>
    </w:p>
    <w:p>
      <w:pPr>
        <w:spacing w:after="40"/>
        <w:jc w:val="center"/>
      </w:pPr>
      <w:r>
        <w:rPr>
          <w:rFonts w:ascii="Calibri" w:cs="Calibri" w:eastAsia="Calibri" w:hAnsi="Calibri"/>
          <w:b/>
          <w:bCs/>
          <w:color w:val="333333"/>
          <w:sz w:val="30"/>
          <w:szCs w:val="30"/>
        </w:rPr>
        <w:t xml:space="preserve">Voice &amp; Face Biometric Verification across Call and Chat</w:t>
      </w:r>
    </w:p>
    <w:p>
      <w:pPr>
        <w:spacing w:after="700"/>
        <w:jc w:val="center"/>
      </w:pPr>
      <w:r>
        <w:rPr>
          <w:rFonts w:ascii="Calibri" w:cs="Calibri" w:eastAsia="Calibri" w:hAnsi="Calibri"/>
          <w:i/>
          <w:iCs/>
          <w:color w:val="595959"/>
          <w:sz w:val="22"/>
          <w:szCs w:val="22"/>
        </w:rPr>
        <w:t xml:space="preserve">Detailed functional specification traceable to source use cases</w:t>
      </w:r>
    </w:p>
    <w:tbl>
      <w:tblPr>
        <w:tblW w:type="dxa" w:w="6800"/>
        <w:jc w:val="center"/>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4200"/>
      </w:tblGrid>
      <w:tr>
        <w:tc>
          <w:tcPr>
            <w:tcW w:type="dxa" w:w="2600"/>
            <w:shd w:fill="D9E2F3" w:color="auto" w:val="clear"/>
            <w:tcMar>
              <w:top w:type="dxa" w:w="60"/>
              <w:left w:type="dxa" w:w="90"/>
              <w:bottom w:type="dxa" w:w="60"/>
              <w:right w:type="dxa" w:w="90"/>
            </w:tcMar>
          </w:tcPr>
          <w:p>
            <w:pPr>
              <w:spacing w:after="20" w:line="252"/>
            </w:pPr>
            <w:r>
              <w:rPr>
                <w:rFonts w:ascii="Calibri" w:cs="Calibri" w:eastAsia="Calibri" w:hAnsi="Calibri"/>
                <w:b/>
                <w:bCs/>
                <w:color w:val="000000"/>
                <w:sz w:val="18"/>
                <w:szCs w:val="18"/>
              </w:rPr>
              <w:t xml:space="preserve">Document Type</w:t>
            </w:r>
          </w:p>
        </w:tc>
        <w:tc>
          <w:tcPr>
            <w:tcW w:type="dxa" w:w="42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FRD</w:t>
            </w:r>
          </w:p>
        </w:tc>
      </w:tr>
      <w:tr>
        <w:tc>
          <w:tcPr>
            <w:tcW w:type="dxa" w:w="2600"/>
            <w:shd w:fill="D9E2F3" w:color="auto" w:val="clear"/>
            <w:tcMar>
              <w:top w:type="dxa" w:w="60"/>
              <w:left w:type="dxa" w:w="90"/>
              <w:bottom w:type="dxa" w:w="60"/>
              <w:right w:type="dxa" w:w="90"/>
            </w:tcMar>
          </w:tcPr>
          <w:p>
            <w:pPr>
              <w:spacing w:after="20" w:line="252"/>
            </w:pPr>
            <w:r>
              <w:rPr>
                <w:rFonts w:ascii="Calibri" w:cs="Calibri" w:eastAsia="Calibri" w:hAnsi="Calibri"/>
                <w:b/>
                <w:bCs/>
                <w:color w:val="000000"/>
                <w:sz w:val="18"/>
                <w:szCs w:val="18"/>
              </w:rPr>
              <w:t xml:space="preserve">Version</w:t>
            </w:r>
          </w:p>
        </w:tc>
        <w:tc>
          <w:tcPr>
            <w:tcW w:type="dxa" w:w="42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1.0 (Draft)</w:t>
            </w:r>
          </w:p>
        </w:tc>
      </w:tr>
      <w:tr>
        <w:tc>
          <w:tcPr>
            <w:tcW w:type="dxa" w:w="2600"/>
            <w:shd w:fill="D9E2F3" w:color="auto" w:val="clear"/>
            <w:tcMar>
              <w:top w:type="dxa" w:w="60"/>
              <w:left w:type="dxa" w:w="90"/>
              <w:bottom w:type="dxa" w:w="60"/>
              <w:right w:type="dxa" w:w="90"/>
            </w:tcMar>
          </w:tcPr>
          <w:p>
            <w:pPr>
              <w:spacing w:after="20" w:line="252"/>
            </w:pPr>
            <w:r>
              <w:rPr>
                <w:rFonts w:ascii="Calibri" w:cs="Calibri" w:eastAsia="Calibri" w:hAnsi="Calibri"/>
                <w:b/>
                <w:bCs/>
                <w:color w:val="000000"/>
                <w:sz w:val="18"/>
                <w:szCs w:val="18"/>
              </w:rPr>
              <w:t xml:space="preserve">Status</w:t>
            </w:r>
          </w:p>
        </w:tc>
        <w:tc>
          <w:tcPr>
            <w:tcW w:type="dxa" w:w="42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For Review</w:t>
            </w:r>
          </w:p>
        </w:tc>
      </w:tr>
      <w:tr>
        <w:tc>
          <w:tcPr>
            <w:tcW w:type="dxa" w:w="2600"/>
            <w:shd w:fill="D9E2F3" w:color="auto" w:val="clear"/>
            <w:tcMar>
              <w:top w:type="dxa" w:w="60"/>
              <w:left w:type="dxa" w:w="90"/>
              <w:bottom w:type="dxa" w:w="60"/>
              <w:right w:type="dxa" w:w="90"/>
            </w:tcMar>
          </w:tcPr>
          <w:p>
            <w:pPr>
              <w:spacing w:after="20" w:line="252"/>
            </w:pPr>
            <w:r>
              <w:rPr>
                <w:rFonts w:ascii="Calibri" w:cs="Calibri" w:eastAsia="Calibri" w:hAnsi="Calibri"/>
                <w:b/>
                <w:bCs/>
                <w:color w:val="000000"/>
                <w:sz w:val="18"/>
                <w:szCs w:val="18"/>
              </w:rPr>
              <w:t xml:space="preserve">Date</w:t>
            </w:r>
          </w:p>
        </w:tc>
        <w:tc>
          <w:tcPr>
            <w:tcW w:type="dxa" w:w="42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24 July 2026</w:t>
            </w:r>
          </w:p>
        </w:tc>
      </w:tr>
      <w:tr>
        <w:tc>
          <w:tcPr>
            <w:tcW w:type="dxa" w:w="2600"/>
            <w:shd w:fill="D9E2F3" w:color="auto" w:val="clear"/>
            <w:tcMar>
              <w:top w:type="dxa" w:w="60"/>
              <w:left w:type="dxa" w:w="90"/>
              <w:bottom w:type="dxa" w:w="60"/>
              <w:right w:type="dxa" w:w="90"/>
            </w:tcMar>
          </w:tcPr>
          <w:p>
            <w:pPr>
              <w:spacing w:after="20" w:line="252"/>
            </w:pPr>
            <w:r>
              <w:rPr>
                <w:rFonts w:ascii="Calibri" w:cs="Calibri" w:eastAsia="Calibri" w:hAnsi="Calibri"/>
                <w:b/>
                <w:bCs/>
                <w:color w:val="000000"/>
                <w:sz w:val="18"/>
                <w:szCs w:val="18"/>
              </w:rPr>
              <w:t xml:space="preserve">Prepared By</w:t>
            </w:r>
          </w:p>
        </w:tc>
        <w:tc>
          <w:tcPr>
            <w:tcW w:type="dxa" w:w="42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Business Analysis Team</w:t>
            </w:r>
          </w:p>
        </w:tc>
      </w:tr>
      <w:tr>
        <w:tc>
          <w:tcPr>
            <w:tcW w:type="dxa" w:w="2600"/>
            <w:shd w:fill="D9E2F3" w:color="auto" w:val="clear"/>
            <w:tcMar>
              <w:top w:type="dxa" w:w="60"/>
              <w:left w:type="dxa" w:w="90"/>
              <w:bottom w:type="dxa" w:w="60"/>
              <w:right w:type="dxa" w:w="90"/>
            </w:tcMar>
          </w:tcPr>
          <w:p>
            <w:pPr>
              <w:spacing w:after="20" w:line="252"/>
            </w:pPr>
            <w:r>
              <w:rPr>
                <w:rFonts w:ascii="Calibri" w:cs="Calibri" w:eastAsia="Calibri" w:hAnsi="Calibri"/>
                <w:b/>
                <w:bCs/>
                <w:color w:val="000000"/>
                <w:sz w:val="18"/>
                <w:szCs w:val="18"/>
              </w:rPr>
              <w:t xml:space="preserve">Traces to</w:t>
            </w:r>
          </w:p>
        </w:tc>
        <w:tc>
          <w:tcPr>
            <w:tcW w:type="dxa" w:w="42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BRD v1.0</w:t>
            </w:r>
          </w:p>
        </w:tc>
      </w:tr>
    </w:tbl>
    <w:p>
      <w:r>
        <w:br w:type="page"/>
      </w:r>
    </w:p>
    <w:p>
      <w:pPr>
        <w:pStyle w:val="Heading1"/>
        <w:spacing w:after="140" w:before="300"/>
      </w:pPr>
      <w:r>
        <w:rPr>
          <w:rFonts w:ascii="Calibri" w:cs="Calibri" w:eastAsia="Calibri" w:hAnsi="Calibri"/>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00"/>
      </w:pPr>
      <w:r>
        <w:rPr>
          <w:rFonts w:ascii="Calibri" w:cs="Calibri" w:eastAsia="Calibri" w:hAnsi="Calibri"/>
          <w:b/>
          <w:bCs/>
          <w:color w:val="1F3864"/>
          <w:sz w:val="30"/>
          <w:szCs w:val="30"/>
        </w:rPr>
        <w:t xml:space="preserve">1. Introduction</w:t>
      </w:r>
    </w:p>
    <w:p>
      <w:pPr>
        <w:pStyle w:val="Heading2"/>
        <w:spacing w:after="100" w:before="220"/>
      </w:pPr>
      <w:r>
        <w:rPr>
          <w:rFonts w:ascii="Calibri" w:cs="Calibri" w:eastAsia="Calibri" w:hAnsi="Calibri"/>
          <w:b/>
          <w:bCs/>
          <w:color w:val="2E5496"/>
          <w:sz w:val="25"/>
          <w:szCs w:val="25"/>
        </w:rPr>
        <w:t xml:space="preserve">1.1 Purpose</w:t>
      </w:r>
    </w:p>
    <w:p>
      <w:pPr>
        <w:spacing w:after="120" w:before="0" w:line="264"/>
      </w:pPr>
      <w:r>
        <w:rPr>
          <w:rFonts w:ascii="Calibri" w:cs="Calibri" w:eastAsia="Calibri" w:hAnsi="Calibri"/>
        </w:rPr>
        <w:t xml:space="preserve">This Functional Requirements Document (FRD) specifies the functional behaviour of the BioAuth capability for MM Business. Each requirement is uniquely identified, described in system terms, and traced to the source use cases and to the business requirements in the BRD. Requirements are grouped into functional modules.</w:t>
      </w:r>
    </w:p>
    <w:p>
      <w:pPr>
        <w:pStyle w:val="Heading2"/>
        <w:spacing w:after="100" w:before="220"/>
      </w:pPr>
      <w:r>
        <w:rPr>
          <w:rFonts w:ascii="Calibri" w:cs="Calibri" w:eastAsia="Calibri" w:hAnsi="Calibri"/>
          <w:b/>
          <w:bCs/>
          <w:color w:val="2E5496"/>
          <w:sz w:val="25"/>
          <w:szCs w:val="25"/>
        </w:rPr>
        <w:t xml:space="preserve">1.2 Requirement conventions</w:t>
      </w:r>
    </w:p>
    <w:p>
      <w:pPr>
        <w:spacing w:after="120" w:before="0" w:line="264"/>
      </w:pPr>
      <w:r>
        <w:rPr>
          <w:rFonts w:ascii="Calibri" w:cs="Calibri" w:eastAsia="Calibri" w:hAnsi="Calibri"/>
        </w:rPr>
        <w:t xml:space="preserve">Requirement IDs follow the pattern </w:t>
      </w:r>
      <w:r>
        <w:rPr>
          <w:rFonts w:ascii="Calibri" w:cs="Calibri" w:eastAsia="Calibri" w:hAnsi="Calibri"/>
          <w:b/>
          <w:bCs/>
        </w:rPr>
        <w:t xml:space="preserve">FR-&lt;MODULE&gt;-&lt;n&gt;</w:t>
      </w:r>
      <w:r>
        <w:rPr>
          <w:rFonts w:ascii="Calibri" w:cs="Calibri" w:eastAsia="Calibri" w:hAnsi="Calibri"/>
        </w:rPr>
        <w:t xml:space="preserve">. “Shall” denotes a mandatory requirement. “Source” lists the originating use-case identifiers.</w:t>
      </w:r>
    </w:p>
    <w:p>
      <w:pPr>
        <w:pStyle w:val="Heading2"/>
        <w:spacing w:after="100" w:before="220"/>
      </w:pPr>
      <w:r>
        <w:rPr>
          <w:rFonts w:ascii="Calibri" w:cs="Calibri" w:eastAsia="Calibri" w:hAnsi="Calibri"/>
          <w:b/>
          <w:bCs/>
          <w:color w:val="2E5496"/>
          <w:sz w:val="25"/>
          <w:szCs w:val="25"/>
        </w:rPr>
        <w:t xml:space="preserve">1.3 Functional modules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6360"/>
        <w:gridCol w:w="2000"/>
      </w:tblGrid>
      <w:tr>
        <w:trPr>
          <w:tblHeader/>
        </w:trPr>
        <w:tc>
          <w:tcPr>
            <w:tcW w:type="dxa" w:w="10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Module</w:t>
            </w:r>
          </w:p>
        </w:tc>
        <w:tc>
          <w:tcPr>
            <w:tcW w:type="dxa" w:w="636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Area</w:t>
            </w:r>
          </w:p>
        </w:tc>
        <w:tc>
          <w:tcPr>
            <w:tcW w:type="dxa" w:w="20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Prefix</w:t>
            </w:r>
          </w:p>
        </w:tc>
      </w:tr>
      <w:tr>
        <w:tc>
          <w:tcPr>
            <w:tcW w:type="dxa" w:w="10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M1</w:t>
            </w:r>
          </w:p>
        </w:tc>
        <w:tc>
          <w:tcPr>
            <w:tcW w:type="dxa" w:w="63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User Voice Enrollment</w:t>
            </w:r>
          </w:p>
        </w:tc>
        <w:tc>
          <w:tcPr>
            <w:tcW w:type="dxa" w:w="20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FR-VE</w:t>
            </w:r>
          </w:p>
        </w:tc>
      </w:tr>
      <w:tr>
        <w:tc>
          <w:tcPr>
            <w:tcW w:type="dxa" w:w="10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M2</w:t>
            </w:r>
          </w:p>
        </w:tc>
        <w:tc>
          <w:tcPr>
            <w:tcW w:type="dxa" w:w="63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User Voice Authentication</w:t>
            </w:r>
          </w:p>
        </w:tc>
        <w:tc>
          <w:tcPr>
            <w:tcW w:type="dxa" w:w="20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FR-VA</w:t>
            </w:r>
          </w:p>
        </w:tc>
      </w:tr>
      <w:tr>
        <w:tc>
          <w:tcPr>
            <w:tcW w:type="dxa" w:w="10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M3</w:t>
            </w:r>
          </w:p>
        </w:tc>
        <w:tc>
          <w:tcPr>
            <w:tcW w:type="dxa" w:w="63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User Face Enrollment</w:t>
            </w:r>
          </w:p>
        </w:tc>
        <w:tc>
          <w:tcPr>
            <w:tcW w:type="dxa" w:w="20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FR-FE</w:t>
            </w:r>
          </w:p>
        </w:tc>
      </w:tr>
      <w:tr>
        <w:tc>
          <w:tcPr>
            <w:tcW w:type="dxa" w:w="10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M4</w:t>
            </w:r>
          </w:p>
        </w:tc>
        <w:tc>
          <w:tcPr>
            <w:tcW w:type="dxa" w:w="63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User Face Authentication</w:t>
            </w:r>
          </w:p>
        </w:tc>
        <w:tc>
          <w:tcPr>
            <w:tcW w:type="dxa" w:w="20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FR-FA</w:t>
            </w:r>
          </w:p>
        </w:tc>
      </w:tr>
      <w:tr>
        <w:tc>
          <w:tcPr>
            <w:tcW w:type="dxa" w:w="10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M5</w:t>
            </w:r>
          </w:p>
        </w:tc>
        <w:tc>
          <w:tcPr>
            <w:tcW w:type="dxa" w:w="63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Agent Experience — Chat</w:t>
            </w:r>
          </w:p>
        </w:tc>
        <w:tc>
          <w:tcPr>
            <w:tcW w:type="dxa" w:w="20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FR-AC</w:t>
            </w:r>
          </w:p>
        </w:tc>
      </w:tr>
      <w:tr>
        <w:tc>
          <w:tcPr>
            <w:tcW w:type="dxa" w:w="10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M6</w:t>
            </w:r>
          </w:p>
        </w:tc>
        <w:tc>
          <w:tcPr>
            <w:tcW w:type="dxa" w:w="63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Agent Experience — Call</w:t>
            </w:r>
          </w:p>
        </w:tc>
        <w:tc>
          <w:tcPr>
            <w:tcW w:type="dxa" w:w="20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FR-AV</w:t>
            </w:r>
          </w:p>
        </w:tc>
      </w:tr>
      <w:tr>
        <w:tc>
          <w:tcPr>
            <w:tcW w:type="dxa" w:w="10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M7</w:t>
            </w:r>
          </w:p>
        </w:tc>
        <w:tc>
          <w:tcPr>
            <w:tcW w:type="dxa" w:w="63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Agent-Initiated Biometrics &amp; Consent</w:t>
            </w:r>
          </w:p>
        </w:tc>
        <w:tc>
          <w:tcPr>
            <w:tcW w:type="dxa" w:w="20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FR-AB</w:t>
            </w:r>
          </w:p>
        </w:tc>
      </w:tr>
      <w:tr>
        <w:tc>
          <w:tcPr>
            <w:tcW w:type="dxa" w:w="10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M8</w:t>
            </w:r>
          </w:p>
        </w:tc>
        <w:tc>
          <w:tcPr>
            <w:tcW w:type="dxa" w:w="63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MM Admin Onboarding &amp; Configuration</w:t>
            </w:r>
          </w:p>
        </w:tc>
        <w:tc>
          <w:tcPr>
            <w:tcW w:type="dxa" w:w="20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FR-AD</w:t>
            </w:r>
          </w:p>
        </w:tc>
      </w:tr>
      <w:tr>
        <w:tc>
          <w:tcPr>
            <w:tcW w:type="dxa" w:w="10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M9</w:t>
            </w:r>
          </w:p>
        </w:tc>
        <w:tc>
          <w:tcPr>
            <w:tcW w:type="dxa" w:w="63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Deployment, Upgrade &amp; Maintenance</w:t>
            </w:r>
          </w:p>
        </w:tc>
        <w:tc>
          <w:tcPr>
            <w:tcW w:type="dxa" w:w="20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FR-DM</w:t>
            </w:r>
          </w:p>
        </w:tc>
      </w:tr>
      <w:tr>
        <w:tc>
          <w:tcPr>
            <w:tcW w:type="dxa" w:w="10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M10</w:t>
            </w:r>
          </w:p>
        </w:tc>
        <w:tc>
          <w:tcPr>
            <w:tcW w:type="dxa" w:w="63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Reporting &amp; Analytics</w:t>
            </w:r>
          </w:p>
        </w:tc>
        <w:tc>
          <w:tcPr>
            <w:tcW w:type="dxa" w:w="20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FR-RP</w:t>
            </w:r>
          </w:p>
        </w:tc>
      </w:tr>
      <w:tr>
        <w:tc>
          <w:tcPr>
            <w:tcW w:type="dxa" w:w="10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M11</w:t>
            </w:r>
          </w:p>
        </w:tc>
        <w:tc>
          <w:tcPr>
            <w:tcW w:type="dxa" w:w="63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Notifications</w:t>
            </w:r>
          </w:p>
        </w:tc>
        <w:tc>
          <w:tcPr>
            <w:tcW w:type="dxa" w:w="20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FR-NT</w:t>
            </w:r>
          </w:p>
        </w:tc>
      </w:tr>
      <w:tr>
        <w:tc>
          <w:tcPr>
            <w:tcW w:type="dxa" w:w="10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M12</w:t>
            </w:r>
          </w:p>
        </w:tc>
        <w:tc>
          <w:tcPr>
            <w:tcW w:type="dxa" w:w="63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Consent, Data Retention &amp; Deletion</w:t>
            </w:r>
          </w:p>
        </w:tc>
        <w:tc>
          <w:tcPr>
            <w:tcW w:type="dxa" w:w="20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FR-DP</w:t>
            </w:r>
          </w:p>
        </w:tc>
      </w:tr>
    </w:tbl>
    <w:p>
      <w:pPr>
        <w:pStyle w:val="Heading1"/>
        <w:spacing w:after="140" w:before="300"/>
      </w:pPr>
      <w:r>
        <w:rPr>
          <w:rFonts w:ascii="Calibri" w:cs="Calibri" w:eastAsia="Calibri" w:hAnsi="Calibri"/>
          <w:b/>
          <w:bCs/>
          <w:color w:val="1F3864"/>
          <w:sz w:val="30"/>
          <w:szCs w:val="30"/>
        </w:rPr>
        <w:t xml:space="preserve">2. System Context</w:t>
      </w:r>
    </w:p>
    <w:p>
      <w:pPr>
        <w:spacing w:after="120" w:before="0" w:line="264"/>
      </w:pPr>
      <w:r>
        <w:rPr>
          <w:rFonts w:ascii="Calibri" w:cs="Calibri" w:eastAsia="Calibri" w:hAnsi="Calibri"/>
        </w:rPr>
        <w:t xml:space="preserve">BioAuth operates as an authentication service consumed by the MM Business contact-centre platform across two channels: voice (telephone) and chat. The MM Business System handles account lookup, routing and logging; BioAuth performs enrollment, biometric matching, consent handling and status responses; the Notification Service delivers alerts; the Monitoring/AI engine provides health insight; and PresentID supplies identity data during enrollment.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Component</w:t>
            </w:r>
          </w:p>
        </w:tc>
        <w:tc>
          <w:tcPr>
            <w:tcW w:type="dxa" w:w="676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Responsibility</w:t>
            </w:r>
          </w:p>
        </w:tc>
      </w:tr>
      <w:tr>
        <w:tc>
          <w:tcPr>
            <w:tcW w:type="dxa" w:w="26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MM Business System</w:t>
            </w:r>
          </w:p>
        </w:tc>
        <w:tc>
          <w:tcPr>
            <w:tcW w:type="dxa" w:w="67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Answers calls/chats, matches accounts by phone/email, routes to agents, orchestrates flows, logs interactions.</w:t>
            </w:r>
          </w:p>
        </w:tc>
      </w:tr>
      <w:tr>
        <w:tc>
          <w:tcPr>
            <w:tcW w:type="dxa" w:w="26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BioAuth System</w:t>
            </w:r>
          </w:p>
        </w:tc>
        <w:tc>
          <w:tcPr>
            <w:tcW w:type="dxa" w:w="67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Voice/face enrollment and matching, consent capture, status codes, mismatch detection, data deletion.</w:t>
            </w:r>
          </w:p>
        </w:tc>
      </w:tr>
      <w:tr>
        <w:tc>
          <w:tcPr>
            <w:tcW w:type="dxa" w:w="26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Agent Desktop</w:t>
            </w:r>
          </w:p>
        </w:tc>
        <w:tc>
          <w:tcPr>
            <w:tcW w:type="dxa" w:w="67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Presents verification status, transcribed question and profile; lets agents respond, trigger biometrics and escalate.</w:t>
            </w:r>
          </w:p>
        </w:tc>
      </w:tr>
      <w:tr>
        <w:tc>
          <w:tcPr>
            <w:tcW w:type="dxa" w:w="26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MM Admin / Spoken</w:t>
            </w:r>
          </w:p>
        </w:tc>
        <w:tc>
          <w:tcPr>
            <w:tcW w:type="dxa" w:w="67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Onboarding, deployment, integration, configuration and monitoring interfaces.</w:t>
            </w:r>
          </w:p>
        </w:tc>
      </w:tr>
      <w:tr>
        <w:tc>
          <w:tcPr>
            <w:tcW w:type="dxa" w:w="26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Notification Service</w:t>
            </w:r>
          </w:p>
        </w:tc>
        <w:tc>
          <w:tcPr>
            <w:tcW w:type="dxa" w:w="67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Email, SMS, in-app and PagerDuty delivery with acknowledgment tracking.</w:t>
            </w:r>
          </w:p>
        </w:tc>
      </w:tr>
      <w:tr>
        <w:tc>
          <w:tcPr>
            <w:tcW w:type="dxa" w:w="26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PresentID</w:t>
            </w:r>
          </w:p>
        </w:tc>
        <w:tc>
          <w:tcPr>
            <w:tcW w:type="dxa" w:w="67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Third-party identity verification details captured during enrollment.</w:t>
            </w:r>
          </w:p>
        </w:tc>
      </w:tr>
    </w:tbl>
    <w:p>
      <w:r>
        <w:br w:type="page"/>
      </w:r>
    </w:p>
    <w:p>
      <w:pPr>
        <w:pStyle w:val="Heading1"/>
        <w:spacing w:after="140" w:before="300"/>
      </w:pPr>
      <w:r>
        <w:rPr>
          <w:rFonts w:ascii="Calibri" w:cs="Calibri" w:eastAsia="Calibri" w:hAnsi="Calibri"/>
          <w:b/>
          <w:bCs/>
          <w:color w:val="1F3864"/>
          <w:sz w:val="30"/>
          <w:szCs w:val="30"/>
        </w:rPr>
        <w:t xml:space="preserve">3. Module M1 — User Voice Enrollment (FR-VE)</w:t>
      </w:r>
    </w:p>
    <w:p>
      <w:pPr>
        <w:spacing w:after="120" w:before="0" w:line="264"/>
      </w:pPr>
      <w:r>
        <w:rPr>
          <w:rFonts w:ascii="Calibri" w:cs="Calibri" w:eastAsia="Calibri" w:hAnsi="Calibri"/>
        </w:rPr>
        <w:t xml:space="preserve">Covers enrolling a user's voice-print over the call channel for new and existing users, and handling opt-out, duplicates, multiple matches and technical failures.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50"/>
        <w:gridCol w:w="6710"/>
        <w:gridCol w:w="1500"/>
      </w:tblGrid>
      <w:tr>
        <w:trPr>
          <w:tblHeader/>
        </w:trPr>
        <w:tc>
          <w:tcPr>
            <w:tcW w:type="dxa" w:w="115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ID</w:t>
            </w:r>
          </w:p>
        </w:tc>
        <w:tc>
          <w:tcPr>
            <w:tcW w:type="dxa" w:w="671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Functional Requirement</w:t>
            </w:r>
          </w:p>
        </w:tc>
        <w:tc>
          <w:tcPr>
            <w:tcW w:type="dxa" w:w="15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Source UC</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FR-VE-01</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On an inbound call with no account matched by phone number or email, the system shall offer voice enrollment for future calls.</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UC_VA_001-003, UC_VE_001</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FR-VE-02</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On user consent, BioAuth shall prompt the user to state their name and address, capturing only the voice sample (not the content), and enroll the voice-print.</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UC_VA_001-003, UC_VE_001</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FR-VE-03</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confirm successful enrollment and store the voice-print, consent status and verification status against the account.</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UC_VA_001, UC_VA_005</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FR-VE-04</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For a new-user flow, the system shall verify the provided phone/email via OTP before completing voice enrollment.</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UC_VE_001</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FR-VE-05</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If the user declines enrollment, the system shall record consent_status = no and proceed with alternative verification methods without capturing voice data.</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UC_VA_004, UC_VA_006, UC_VE_002</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FR-VE-06</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For an existing user whose phone matches the account and who has not yet enrolled, BioAuth shall prompt for voice enrollment on the call.</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UC_VA_005, UC_VA_006</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FR-VE-07</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If a single phone number matches multiple accounts, the system shall halt enrollment and return match_status = multiple with the list of matched accounts.</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UC_VA_007</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FR-VE-08</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On a processing error during enrollment, BioAuth shall apologise, advise the user to retry later, and return consent_status = technical_failure without storing partial data.</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UC_VA_008</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FR-VE-09</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If the user's voice is already enrolled, BioAuth shall inform the user and return consent_status = already_enrolled, preventing duplicate enrollment.</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UC_VA_009</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FR-VE-10</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On successful enrollment the system shall return consent_status = yes, voice_enrolled = success and the account identifier.</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UC_VA_005, UC_VE_001</w:t>
            </w:r>
          </w:p>
        </w:tc>
      </w:tr>
    </w:tbl>
    <w:p>
      <w:r>
        <w:br w:type="page"/>
      </w:r>
    </w:p>
    <w:p>
      <w:pPr>
        <w:pStyle w:val="Heading1"/>
        <w:spacing w:after="140" w:before="300"/>
      </w:pPr>
      <w:r>
        <w:rPr>
          <w:rFonts w:ascii="Calibri" w:cs="Calibri" w:eastAsia="Calibri" w:hAnsi="Calibri"/>
          <w:b/>
          <w:bCs/>
          <w:color w:val="1F3864"/>
          <w:sz w:val="30"/>
          <w:szCs w:val="30"/>
        </w:rPr>
        <w:t xml:space="preserve">4. Module M2 — User Voice Authentication (FR-VA)</w:t>
      </w:r>
    </w:p>
    <w:p>
      <w:pPr>
        <w:spacing w:after="120" w:before="0" w:line="264"/>
      </w:pPr>
      <w:r>
        <w:rPr>
          <w:rFonts w:ascii="Calibri" w:cs="Calibri" w:eastAsia="Calibri" w:hAnsi="Calibri"/>
        </w:rPr>
        <w:t xml:space="preserve">Covers verifying returning callers by voice, including consent collection, no-match, multi-account retry, cross-account mismatch, unrecognised-number consent flows, and agent escalation/logging.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50"/>
        <w:gridCol w:w="6710"/>
        <w:gridCol w:w="1500"/>
      </w:tblGrid>
      <w:tr>
        <w:trPr>
          <w:tblHeader/>
        </w:trPr>
        <w:tc>
          <w:tcPr>
            <w:tcW w:type="dxa" w:w="115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ID</w:t>
            </w:r>
          </w:p>
        </w:tc>
        <w:tc>
          <w:tcPr>
            <w:tcW w:type="dxa" w:w="671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Functional Requirement</w:t>
            </w:r>
          </w:p>
        </w:tc>
        <w:tc>
          <w:tcPr>
            <w:tcW w:type="dxa" w:w="15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Source UC</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FR-VA-01</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On an inbound call, the system shall match the caller's phone number to an account and verify the number before triggering voice authentication.</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UC_VA_010-013</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FR-VA-02</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If voice-authentication consent exists, BioAuth shall prompt the user to speak, capture the sample and compare it to the enrolled voice-print.</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UC_VA_010, UC_VA_011</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FR-VA-03</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On a voice match, BioAuth shall return match_status = matched with account identifiers (email, phone), inform the user, and transfer the call to an agent.</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UC_VA_010</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FR-VA-04</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On a voice non-match, BioAuth shall attempt to match the sample against other accounts linked to the number; if none match it shall return status = failed and transfer to an agent.</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UC_VA_011, UC_VA_013</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FR-VA-05</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If voice-authentication consent is missing, BioAuth shall request consent, save it to the account on agreement, and then proceed with authentication.</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UC_VA_012, UC_VE_008</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FR-VA-06</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Where the phone matches one account but the voice matches another, BioAuth shall return status = mismatched with both account identifiers and transfer to an agent for resolution.</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UC_VA_014, UC_VE_005, UC_VE_009</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FR-VA-07</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For calls from an unrecognised number/email, BioAuth shall offer voice verification; on consent and match it shall transfer to an agent to resolve accounts (mismatched status).</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UC_VA_015, UC_VE_007</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FR-VA-08</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For calls from an unrecognised number/email where voice does not match any account, BioAuth shall return status = unmatched and transfer to an agent.</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UC_VA_016</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FR-VA-09</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If a user declines voice verification for an unrecognised number, BioAuth shall offer account-registration guidance (self-service link) and optionally transfer to an agent or send a registration email and end the call.</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UC_VA_017, UC_VA_018, UC_VE_006</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FR-VA-10</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Where multiple accounts match the provided identifier, the system shall request additional identifying information to narrow to a single account before verifying.</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UC_VA_021</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FR-VA-11</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On any mismatch, BioAuth shall transfer the user to an agent with mismatch details, and the agent shall be able to verify via alternative methods.</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UC_VA_019</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FR-VA-12</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log every voice mismatch event (phone number, account identifiers, timestamp, status) securely, tagged for audit and improvement.</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UC_VA_020</w:t>
            </w:r>
          </w:p>
        </w:tc>
      </w:tr>
    </w:tbl>
    <w:p>
      <w:r>
        <w:br w:type="page"/>
      </w:r>
    </w:p>
    <w:p>
      <w:pPr>
        <w:pStyle w:val="Heading1"/>
        <w:spacing w:after="140" w:before="300"/>
      </w:pPr>
      <w:r>
        <w:rPr>
          <w:rFonts w:ascii="Calibri" w:cs="Calibri" w:eastAsia="Calibri" w:hAnsi="Calibri"/>
          <w:b/>
          <w:bCs/>
          <w:color w:val="1F3864"/>
          <w:sz w:val="30"/>
          <w:szCs w:val="30"/>
        </w:rPr>
        <w:t xml:space="preserve">5. Module M3 — User Face Enrollment (FR-FE)</w:t>
      </w:r>
    </w:p>
    <w:p>
      <w:pPr>
        <w:spacing w:after="120" w:before="0" w:line="264"/>
      </w:pPr>
      <w:r>
        <w:rPr>
          <w:rFonts w:ascii="Calibri" w:cs="Calibri" w:eastAsia="Calibri" w:hAnsi="Calibri"/>
        </w:rPr>
        <w:t xml:space="preserve">Covers enrolling a user's face-print over the chat channel, gated by OTP identifier verification and consent, with optional document verification.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50"/>
        <w:gridCol w:w="6710"/>
        <w:gridCol w:w="1500"/>
      </w:tblGrid>
      <w:tr>
        <w:trPr>
          <w:tblHeader/>
        </w:trPr>
        <w:tc>
          <w:tcPr>
            <w:tcW w:type="dxa" w:w="115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ID</w:t>
            </w:r>
          </w:p>
        </w:tc>
        <w:tc>
          <w:tcPr>
            <w:tcW w:type="dxa" w:w="671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Functional Requirement</w:t>
            </w:r>
          </w:p>
        </w:tc>
        <w:tc>
          <w:tcPr>
            <w:tcW w:type="dxa" w:w="15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Source UC</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FR-FE-01</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When a logged-in chat user without a face-print sends a question, BioAuth shall detect the absence of enrollment and initiate identifier verification.</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UC_FA_001, UC_FE_001, UC_FA_006(no-enrollment)</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FR-FE-02</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BioAuth shall send an OTP to the user's email/phone and require correct entry before offering face enrollment.</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UC_FA_001, UC_FE_001</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FR-FE-03</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On invalid OTP entry, BioAuth shall inform the user the code is incorrect and allow re-entry.</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UC_FA_003</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FR-FE-04</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If account verification cannot be completed, the user shall be returned/transferred to an agent.</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UC_FA_001-004</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FR-FE-05</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After successful identifier verification, BioAuth shall offer face enrollment, explaining the benefit, and request a yes/no response.</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UC_FA_001, UC_FE_001</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FR-FE-06</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On consent, BioAuth shall activate the in-chat camera (or provide a recording link), instruct the user to record a video, and enroll the face-print.</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UC_FA_001, UC_FE_001</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FR-FE-07</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support face enrollment that additionally captures a document for verification when required.</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UC_FA_004</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FR-FE-08</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On successful enrollment, BioAuth shall confirm success, set consent_status = yes and face_enrolled = success, and secure the account with face recognition.</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UC_FA_001, UC_FE_001</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FR-FE-09</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If the user declines face enrollment, BioAuth shall set consent_status = no, mark face_enrolled = failed and transfer the user to an agent.</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UC_FA_002, UC_FE_002</w:t>
            </w:r>
          </w:p>
        </w:tc>
      </w:tr>
    </w:tbl>
    <w:p>
      <w:r>
        <w:br w:type="page"/>
      </w:r>
    </w:p>
    <w:p>
      <w:pPr>
        <w:pStyle w:val="Heading1"/>
        <w:spacing w:after="140" w:before="300"/>
      </w:pPr>
      <w:r>
        <w:rPr>
          <w:rFonts w:ascii="Calibri" w:cs="Calibri" w:eastAsia="Calibri" w:hAnsi="Calibri"/>
          <w:b/>
          <w:bCs/>
          <w:color w:val="1F3864"/>
          <w:sz w:val="30"/>
          <w:szCs w:val="30"/>
        </w:rPr>
        <w:t xml:space="preserve">6. Module M4 — User Face Authentication (FR-FA)</w:t>
      </w:r>
    </w:p>
    <w:p>
      <w:pPr>
        <w:spacing w:after="120" w:before="0" w:line="264"/>
      </w:pPr>
      <w:r>
        <w:rPr>
          <w:rFonts w:ascii="Calibri" w:cs="Calibri" w:eastAsia="Calibri" w:hAnsi="Calibri"/>
        </w:rPr>
        <w:t xml:space="preserve">Covers verifying enrolled chat users by live face video against their logged-in account, including consent checks, failure, retry and missing-enrollment redirection.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50"/>
        <w:gridCol w:w="6710"/>
        <w:gridCol w:w="1500"/>
      </w:tblGrid>
      <w:tr>
        <w:trPr>
          <w:tblHeader/>
        </w:trPr>
        <w:tc>
          <w:tcPr>
            <w:tcW w:type="dxa" w:w="115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ID</w:t>
            </w:r>
          </w:p>
        </w:tc>
        <w:tc>
          <w:tcPr>
            <w:tcW w:type="dxa" w:w="671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Functional Requirement</w:t>
            </w:r>
          </w:p>
        </w:tc>
        <w:tc>
          <w:tcPr>
            <w:tcW w:type="dxa" w:w="15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Source UC</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FR-FA-01</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When an enrolled, consented chat user sends a question, BioAuth shall require face verification before the session continues.</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UC_FA_005, UC_FE_003</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FR-FA-02</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BioAuth shall confirm the face-print is enrolled for the logged-in account and that face consent has been granted before prompting for verification.</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UC_FA_005-007, UC_FE_003</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FR-FA-03</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BioAuth shall prompt the user to record a live face video and match it against the logged-in account's face-print.</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UC_FA_005, UC_FE_003</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FR-FA-04</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On a match, BioAuth shall display success, return face_verification_status = success and allow the chat to continue.</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UC_FA_005, UC_FE_003</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FR-FA-05</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On a non-match, BioAuth shall display an unable-to-verify message, return status = failed and terminate the chat session for that account.</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UC_FA_006, UC_FE_004</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FR-FA-06</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If the user has consent but no face-print, BioAuth shall redirect the user to face enrollment before allowing future face verification.</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UC_FA_006(no-enrollment)</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FR-FA-07</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If the user declines face consent at verification time, BioAuth shall return status = failed and terminate the session.</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UC_FA_007</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FR-FA-08</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BioAuth shall allow the user to retry face verification; on a subsequent successful match it shall return status = success and allow the chat to continue.</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UC_FA_008</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FR-FA-09</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log each face-verification outcome (success/failure) against the user profile.</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UC_FA_005, UC_FA_006</w:t>
            </w:r>
          </w:p>
        </w:tc>
      </w:tr>
    </w:tbl>
    <w:p>
      <w:r>
        <w:br w:type="page"/>
      </w:r>
    </w:p>
    <w:p>
      <w:pPr>
        <w:pStyle w:val="Heading1"/>
        <w:spacing w:after="140" w:before="300"/>
      </w:pPr>
      <w:r>
        <w:rPr>
          <w:rFonts w:ascii="Calibri" w:cs="Calibri" w:eastAsia="Calibri" w:hAnsi="Calibri"/>
          <w:b/>
          <w:bCs/>
          <w:color w:val="1F3864"/>
          <w:sz w:val="30"/>
          <w:szCs w:val="30"/>
        </w:rPr>
        <w:t xml:space="preserve">7. Module M5 — Agent Experience: Chat (FR-AC)</w:t>
      </w:r>
    </w:p>
    <w:p>
      <w:pPr>
        <w:spacing w:after="120" w:before="0" w:line="264"/>
      </w:pPr>
      <w:r>
        <w:rPr>
          <w:rFonts w:ascii="Calibri" w:cs="Calibri" w:eastAsia="Calibri" w:hAnsi="Calibri"/>
        </w:rPr>
        <w:t xml:space="preserve">Covers how chat agents act on a user's verification status, including responding, clarifying, escalating, flagging, and handling failed verification for enrolled, non-enrolled and non-consenting users.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50"/>
        <w:gridCol w:w="6710"/>
        <w:gridCol w:w="1500"/>
      </w:tblGrid>
      <w:tr>
        <w:trPr>
          <w:tblHeader/>
        </w:trPr>
        <w:tc>
          <w:tcPr>
            <w:tcW w:type="dxa" w:w="115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ID</w:t>
            </w:r>
          </w:p>
        </w:tc>
        <w:tc>
          <w:tcPr>
            <w:tcW w:type="dxa" w:w="671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Functional Requirement</w:t>
            </w:r>
          </w:p>
        </w:tc>
        <w:tc>
          <w:tcPr>
            <w:tcW w:type="dxa" w:w="15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Source UC</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FR-AC-01</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agent's chat window shall display the BioAuth verification entry (e.g. “Verification is successful”) before the agent responds.</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UC_AE_001</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FR-AC-02</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After successful verification the agent shall be able to read and answer the user's question, with the response delivered to the user and the session logged.</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UC_AE_001</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FR-AC-03</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agent shall be able to ask clarifying follow-up questions before answering, with clarification interactions logged.</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UC_AE_002</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FR-AC-04</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agent shall be able to escalate/transfer the chat to a specialised team, passing the query, history and verification status.</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UC_AE_003</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FR-AC-05</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agent shall be able to flag a suspected verification/identity discrepancy for review and place the contact on temporary hold, informing the user.</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UC_AE_004</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FR-AC-06</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For an enrolled user who failed initial verification, the agent shall be able to trigger BioAuth face verification and, on success, proceed to answer.</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UC_AE_005</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FR-AC-07</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For a non-enrolled user who failed initial verification, the agent shall be able to trigger the BioAuth enrollment process and, on success, proceed; enrollment identity details (PresentID) shall be logged.</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UC_AE_006</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FR-AC-08</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If the user does not consent to verification after a failure, the agent shall inform the user the query cannot be answered and the interaction shall be logged for compliance.</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UC_AE_007</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FR-AC-09</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After repeated or technically-impossible BioAuth failures, the agent shall be able to escalate the case to the Manual Review Team, which may verify by alternative methods; the outcome shall update verification status.</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UC_AE_008</w:t>
            </w:r>
          </w:p>
        </w:tc>
      </w:tr>
    </w:tbl>
    <w:p>
      <w:r>
        <w:br w:type="page"/>
      </w:r>
    </w:p>
    <w:p>
      <w:pPr>
        <w:pStyle w:val="Heading1"/>
        <w:spacing w:after="140" w:before="300"/>
      </w:pPr>
      <w:r>
        <w:rPr>
          <w:rFonts w:ascii="Calibri" w:cs="Calibri" w:eastAsia="Calibri" w:hAnsi="Calibri"/>
          <w:b/>
          <w:bCs/>
          <w:color w:val="1F3864"/>
          <w:sz w:val="30"/>
          <w:szCs w:val="30"/>
        </w:rPr>
        <w:t xml:space="preserve">8. Module M6 — Agent Experience: Call (FR-AV)</w:t>
      </w:r>
    </w:p>
    <w:p>
      <w:pPr>
        <w:spacing w:after="120" w:before="0" w:line="264"/>
      </w:pPr>
      <w:r>
        <w:rPr>
          <w:rFonts w:ascii="Calibri" w:cs="Calibri" w:eastAsia="Calibri" w:hAnsi="Calibri"/>
        </w:rPr>
        <w:t xml:space="preserve">Covers voice-channel agent handling after call transfer, including verified users, information gathering, escalation, discrepancy flagging, post-BioAuth-failure verification, partial verification and account flagging.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50"/>
        <w:gridCol w:w="6710"/>
        <w:gridCol w:w="1500"/>
      </w:tblGrid>
      <w:tr>
        <w:trPr>
          <w:tblHeader/>
        </w:trPr>
        <w:tc>
          <w:tcPr>
            <w:tcW w:type="dxa" w:w="115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ID</w:t>
            </w:r>
          </w:p>
        </w:tc>
        <w:tc>
          <w:tcPr>
            <w:tcW w:type="dxa" w:w="671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Functional Requirement</w:t>
            </w:r>
          </w:p>
        </w:tc>
        <w:tc>
          <w:tcPr>
            <w:tcW w:type="dxa" w:w="15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Source UC</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FR-AV-01</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On call transfer, the agent screen shall display verification status, the transcribed question and the user profile data.</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UC_AE_009-012</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FR-AV-02</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For a verified user, the agent shall review the information, respond, and the system shall log the interaction and update the profile as needed.</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UC_AE_009</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FR-AV-03</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agent shall be able to escalate the call to a specialist/department, transferring all existing context.</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UC_AE_010</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FR-AV-04</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agent shall be able to request additional information from the user before responding, with the interaction logged.</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UC_AE_011</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FR-AV-05</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agent shall be able to identify a verification discrepancy, attempt resolution and, if unresolved, flag the call and escalate to the verification team/supervisor.</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UC_AE_012</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FR-AV-06</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After a BioAuth failure the agent screen shall show status = Failed, the failure reason, consent status and transcribed question; the agent shall initiate an alternative verification method (phone, email or voice).</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UC_AE_013, UC_AE_003(uc)</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FR-AV-07</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On successful alternative verification the system shall update status and the agent shall respond; the interaction (failure reason and method) shall be logged.</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UC_AE_013</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FR-AV-08</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After multiple failed verification attempts the agent shall escalate to a supervisor/specialist, transferring all context (attempts, reasons, question).</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UC_AE_014</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FR-AV-09</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Where full verification is impossible but non-sensitive details are confirmable, the agent shall be able to partially verify and provide limited/general assistance, logging the partial verification.</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UC_AE_015</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FR-AV-10</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After repeated BioAuth and alternative-method failures, the agent shall be able to flag the account for security investigation and inform the user of next steps; all details logged.</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UC_AE_016</w:t>
            </w:r>
          </w:p>
        </w:tc>
      </w:tr>
    </w:tbl>
    <w:p>
      <w:r>
        <w:br w:type="page"/>
      </w:r>
    </w:p>
    <w:p>
      <w:pPr>
        <w:pStyle w:val="Heading1"/>
        <w:spacing w:after="140" w:before="300"/>
      </w:pPr>
      <w:r>
        <w:rPr>
          <w:rFonts w:ascii="Calibri" w:cs="Calibri" w:eastAsia="Calibri" w:hAnsi="Calibri"/>
          <w:b/>
          <w:bCs/>
          <w:color w:val="1F3864"/>
          <w:sz w:val="30"/>
          <w:szCs w:val="30"/>
        </w:rPr>
        <w:t xml:space="preserve">9. Module M7 — Agent-Initiated Biometrics &amp; Consent (FR-AB)</w:t>
      </w:r>
    </w:p>
    <w:p>
      <w:pPr>
        <w:spacing w:after="120" w:before="0" w:line="264"/>
      </w:pPr>
      <w:r>
        <w:rPr>
          <w:rFonts w:ascii="Calibri" w:cs="Calibri" w:eastAsia="Calibri" w:hAnsi="Calibri"/>
        </w:rPr>
        <w:t xml:space="preserve">Covers agents recommending and enrolling users in biometrics during a contact, triggering additional biometric verification, and reviewing results.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50"/>
        <w:gridCol w:w="6710"/>
        <w:gridCol w:w="1500"/>
      </w:tblGrid>
      <w:tr>
        <w:trPr>
          <w:tblHeader/>
        </w:trPr>
        <w:tc>
          <w:tcPr>
            <w:tcW w:type="dxa" w:w="115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ID</w:t>
            </w:r>
          </w:p>
        </w:tc>
        <w:tc>
          <w:tcPr>
            <w:tcW w:type="dxa" w:w="671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Functional Requirement</w:t>
            </w:r>
          </w:p>
        </w:tc>
        <w:tc>
          <w:tcPr>
            <w:tcW w:type="dxa" w:w="15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Source UC</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FR-AB-01</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agent shall be able to recommend biometric enrollment during a chat/call and, on user agreement, set the user's biometric consent to “yes”.</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UC_AE_017-020</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FR-AB-02</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On consent, the agent shall be able to trigger BioAuth in voice mode and guide the user through voice enrollment, updating the profile on success.</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UC_AE_017, UC_AE_022</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FR-AB-03</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On consent, the agent shall be able to trigger BioAuth in face mode and guide the user through face enrollment, updating the profile on success.</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UC_AE_018</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FR-AB-04</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If the user declines enrollment, the agent shall set consent to “no” and the profile/verification method shall remain unchanged.</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UC_AE_019, UC_AE_021</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FR-AB-05</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agent shall be able to trigger an additional biometric verification step (voice or face) for high-risk actions where consent exists.</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UC_AE_023-025</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FR-AB-06</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For voice verification, the system shall prompt for a sample, compare to the stored voice-print and return success/failure; on failure it shall request re-verification or an alternative method.</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UC_AE_023</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FR-AB-07</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For face verification, the system shall instruct the user to position their face, capture and compare to the stored face-print and return success/failure; on failure it shall request a re-scan or alternative.</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UC_AE_024</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FR-AB-08</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agent shall be able to review the post-verification result and either continue the request (success) or offer an alternative method (failure); the result shall be logged to the profile.</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UC_AE_026</w:t>
            </w:r>
          </w:p>
        </w:tc>
      </w:tr>
    </w:tbl>
    <w:p>
      <w:r>
        <w:br w:type="page"/>
      </w:r>
    </w:p>
    <w:p>
      <w:pPr>
        <w:pStyle w:val="Heading1"/>
        <w:spacing w:after="140" w:before="300"/>
      </w:pPr>
      <w:r>
        <w:rPr>
          <w:rFonts w:ascii="Calibri" w:cs="Calibri" w:eastAsia="Calibri" w:hAnsi="Calibri"/>
          <w:b/>
          <w:bCs/>
          <w:color w:val="1F3864"/>
          <w:sz w:val="30"/>
          <w:szCs w:val="30"/>
        </w:rPr>
        <w:t xml:space="preserve">10. Module M8 — MM Admin Onboarding &amp; Configuration (FR-AD)</w:t>
      </w:r>
    </w:p>
    <w:p>
      <w:pPr>
        <w:spacing w:after="120" w:before="0" w:line="264"/>
      </w:pPr>
      <w:r>
        <w:rPr>
          <w:rFonts w:ascii="Calibri" w:cs="Calibri" w:eastAsia="Calibri" w:hAnsi="Calibri"/>
        </w:rPr>
        <w:t xml:space="preserve">Covers MM Admin account setup, biometric enrollment, dual-admin redundancy, and configuration of BioAuth behaviour.</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50"/>
        <w:gridCol w:w="6710"/>
        <w:gridCol w:w="1500"/>
      </w:tblGrid>
      <w:tr>
        <w:trPr>
          <w:tblHeader/>
        </w:trPr>
        <w:tc>
          <w:tcPr>
            <w:tcW w:type="dxa" w:w="115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ID</w:t>
            </w:r>
          </w:p>
        </w:tc>
        <w:tc>
          <w:tcPr>
            <w:tcW w:type="dxa" w:w="671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Functional Requirement</w:t>
            </w:r>
          </w:p>
        </w:tc>
        <w:tc>
          <w:tcPr>
            <w:tcW w:type="dxa" w:w="15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Source UC</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FR-AD-01</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create and validate an MM Admin account using a corporate email (validation link) and corporate phone number (OTP).</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UC_AD_001</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FR-AD-02</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enroll the MM Admin's voice-print from a repeated spoken phrase after account validation.</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UC_AD_002</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FR-AD-03</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enroll the MM Admin's face-print from multiple captured angles after account validation.</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UC_AD_003</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FR-AD-04</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require at least two MM Admins to be fully enrolled (email, phone, voice, face) for redundancy, notifying the organisation on each completion.</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UC_AD_004</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FR-AD-05</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MM Admin shall be able to configure trust levels for enrollment (e.g. whether identifier verification is required before biometric enrollment).</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UC_AD_010</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FR-AD-06</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MM Admin shall be able to configure trust levels for authentication (e.g. enabling/disabling voice authentication without identifiers).</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UC_AD_010</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FR-AD-07</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MM Admin shall be able to specify the conditions under which BioAuth is required (e.g. high-security transactions) and when it is not.</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UC_AD_010</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FR-AD-08</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validate and apply configuration changes, confirm success and log all changes for audit.</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UC_AD_010</w:t>
            </w:r>
          </w:p>
        </w:tc>
      </w:tr>
    </w:tbl>
    <w:p>
      <w:r>
        <w:br w:type="page"/>
      </w:r>
    </w:p>
    <w:p>
      <w:pPr>
        <w:pStyle w:val="Heading1"/>
        <w:spacing w:after="140" w:before="300"/>
      </w:pPr>
      <w:r>
        <w:rPr>
          <w:rFonts w:ascii="Calibri" w:cs="Calibri" w:eastAsia="Calibri" w:hAnsi="Calibri"/>
          <w:b/>
          <w:bCs/>
          <w:color w:val="1F3864"/>
          <w:sz w:val="30"/>
          <w:szCs w:val="30"/>
        </w:rPr>
        <w:t xml:space="preserve">11. Module M9 — Deployment, Upgrade &amp; Maintenance (FR-DM)</w:t>
      </w:r>
    </w:p>
    <w:p>
      <w:pPr>
        <w:spacing w:after="120" w:before="0" w:line="264"/>
      </w:pPr>
      <w:r>
        <w:rPr>
          <w:rFonts w:ascii="Calibri" w:cs="Calibri" w:eastAsia="Calibri" w:hAnsi="Calibri"/>
        </w:rPr>
        <w:t xml:space="preserve">Covers MM Admin deployment, integration, testing, upgrade and maintenance of BioAuth, and viewing deployment/maintenance status.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50"/>
        <w:gridCol w:w="6710"/>
        <w:gridCol w:w="1500"/>
      </w:tblGrid>
      <w:tr>
        <w:trPr>
          <w:tblHeader/>
        </w:trPr>
        <w:tc>
          <w:tcPr>
            <w:tcW w:type="dxa" w:w="115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ID</w:t>
            </w:r>
          </w:p>
        </w:tc>
        <w:tc>
          <w:tcPr>
            <w:tcW w:type="dxa" w:w="671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Functional Requirement</w:t>
            </w:r>
          </w:p>
        </w:tc>
        <w:tc>
          <w:tcPr>
            <w:tcW w:type="dxa" w:w="15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Source UC</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FR-DM-01</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MM Admin shall deploy the BioAuth application to the pre-configured cloud environment via automated scripts, with package/dependency verification and reviewable deployment logs.</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UC_AD_005</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FR-DM-02</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MM Admin shall integrate BioAuth authentication events with existing tools (CRM, ticketing) via documented APIs, validate data-flow consistency and test the integration.</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UC_AD_006</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FR-DM-03</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MM Admin shall execute predefined test cases post-deployment; the system shall generate test outcome reports for review.</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UC_AD_007</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FR-DM-04</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MM Admin shall upgrade BioAuth incrementally during low-activity windows with backups taken, monitoring logs and running post-upgrade validation.</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UC_AD_008</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FR-DM-05</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MM Admin shall submit maintenance/enhancement requests via a portal; the system shall log the request and notify the engineering team.</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UC_AD_009</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FR-DM-06</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MM Admin shall view deployment history, upgrade version details, and scheduled/completed maintenance, with drill-down to detailed logs and export/share options.</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UC_BU_009</w:t>
            </w:r>
          </w:p>
        </w:tc>
      </w:tr>
    </w:tbl>
    <w:p>
      <w:r>
        <w:br w:type="page"/>
      </w:r>
    </w:p>
    <w:p>
      <w:pPr>
        <w:pStyle w:val="Heading1"/>
        <w:spacing w:after="140" w:before="300"/>
      </w:pPr>
      <w:r>
        <w:rPr>
          <w:rFonts w:ascii="Calibri" w:cs="Calibri" w:eastAsia="Calibri" w:hAnsi="Calibri"/>
          <w:b/>
          <w:bCs/>
          <w:color w:val="1F3864"/>
          <w:sz w:val="30"/>
          <w:szCs w:val="30"/>
        </w:rPr>
        <w:t xml:space="preserve">12. Module M10 — Reporting &amp; Analytics (FR-RP)</w:t>
      </w:r>
    </w:p>
    <w:p>
      <w:pPr>
        <w:spacing w:after="120" w:before="0" w:line="264"/>
      </w:pPr>
      <w:r>
        <w:rPr>
          <w:rFonts w:ascii="Calibri" w:cs="Calibri" w:eastAsia="Calibri" w:hAnsi="Calibri"/>
        </w:rPr>
        <w:t xml:space="preserve">Covers business and admin reporting over 1/3/6/12-month windows: verifications, performance, cost/time efficiency, engagement, NPS, billing, system health and traffic.</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50"/>
        <w:gridCol w:w="6710"/>
        <w:gridCol w:w="1500"/>
      </w:tblGrid>
      <w:tr>
        <w:trPr>
          <w:tblHeader/>
        </w:trPr>
        <w:tc>
          <w:tcPr>
            <w:tcW w:type="dxa" w:w="115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ID</w:t>
            </w:r>
          </w:p>
        </w:tc>
        <w:tc>
          <w:tcPr>
            <w:tcW w:type="dxa" w:w="671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Functional Requirement</w:t>
            </w:r>
          </w:p>
        </w:tc>
        <w:tc>
          <w:tcPr>
            <w:tcW w:type="dxa" w:w="15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Source UC</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FR-RP-01</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generate Business Views reports for a selected period (12/6/3/1 months) covering verifications by type with % success/failure and failure reasons, MAU, % cost &amp; time reduction per contact, User &amp; MM NPS, and overall cost.</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UC_BU_001, UC_BU_013-019</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FR-RP-02</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generate a Billing report showing usage per month and revenue per selected period.</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UC_BU_002</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FR-RP-03</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generate a Verification Performance report with success/failure % by type and failure reasons categorised by error code.</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UC_BU_003, UC_BU_015</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FR-RP-04</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generate a Cost Efficiency report showing % cost and time reduction per contact and overall cost trends.</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UC_BU_004, UC_BU_017-018</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FR-RP-05</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let agents view a per-user Verification report (timestamp, type, status, time taken, app version, device; optionally agent ID, failure reason, location) for a selected window.</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UC_BU_005, UC_AE_027-030, UC_AE_005(uc)</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FR-RP-06</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Reports shall be filterable/sortable by criteria (type, status, device, app version, time taken) and exportable to PDF, Excel and CSV.</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UC_BU_007-008, UC_AE_005(uc)</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FR-RP-07</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provide an Agent NPS report (average score, promoter/passive/detractor breakdown, comments, trends).</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UC_BU_006</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FR-RP-08</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calculate and display the % of contacts verified via BioAuth, segmented by identifiers, voice and face.</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UC_BU_014</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FR-RP-09</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MM Admin shall view a System Health Overview (uptime %, recent alerts, failures with error codes) filterable by timeframe and severity, and downloadable.</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UC_BU_010, UC_AD_011</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FR-RP-10</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MM Admin shall view Traffic Health (request volume, success/failure rates, trends, geographic distribution) and investigate flagged anomalies.</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UC_BU_011</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FR-RP-11</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MM Admin shall view MM Admin NPS (current score, breakdown, trends).</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UC_BU_012</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FR-RP-12</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provide AI-generated insights and root-cause analysis tools to identify trends and issues, and allow report export.</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UC_AD_011</w:t>
            </w:r>
          </w:p>
        </w:tc>
      </w:tr>
    </w:tbl>
    <w:p>
      <w:r>
        <w:br w:type="page"/>
      </w:r>
    </w:p>
    <w:p>
      <w:pPr>
        <w:pStyle w:val="Heading1"/>
        <w:spacing w:after="140" w:before="300"/>
      </w:pPr>
      <w:r>
        <w:rPr>
          <w:rFonts w:ascii="Calibri" w:cs="Calibri" w:eastAsia="Calibri" w:hAnsi="Calibri"/>
          <w:b/>
          <w:bCs/>
          <w:color w:val="1F3864"/>
          <w:sz w:val="30"/>
          <w:szCs w:val="30"/>
        </w:rPr>
        <w:t xml:space="preserve">13. Module M11 — Notifications (FR-NT)</w:t>
      </w:r>
    </w:p>
    <w:p>
      <w:pPr>
        <w:spacing w:after="120" w:before="0" w:line="264"/>
      </w:pPr>
      <w:r>
        <w:rPr>
          <w:rFonts w:ascii="Calibri" w:cs="Calibri" w:eastAsia="Calibri" w:hAnsi="Calibri"/>
        </w:rPr>
        <w:t xml:space="preserve">Covers agent and MM Admin notifications on relevant events and health-threshold breaches, with channel selection and acknowledgment tracking.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50"/>
        <w:gridCol w:w="6710"/>
        <w:gridCol w:w="1500"/>
      </w:tblGrid>
      <w:tr>
        <w:trPr>
          <w:tblHeader/>
        </w:trPr>
        <w:tc>
          <w:tcPr>
            <w:tcW w:type="dxa" w:w="115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ID</w:t>
            </w:r>
          </w:p>
        </w:tc>
        <w:tc>
          <w:tcPr>
            <w:tcW w:type="dxa" w:w="671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Functional Requirement</w:t>
            </w:r>
          </w:p>
        </w:tc>
        <w:tc>
          <w:tcPr>
            <w:tcW w:type="dxa" w:w="15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Source UC</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FR-NT-01</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monitor defined trigger events per agent (e.g. task assignments, status changes, escalations) and, on occurrence, gather the relevant data.</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UC_BU_020</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FR-NT-02</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format each agent notification per the agent's configured preference (email, SMS, in-app) and deliver it.</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UC_BU_020</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FR-NT-03</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record agent notification delivery and acknowledgment status.</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UC_BU_020</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FR-NT-04</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On a health-threshold breach, the system shall automatically initiate root-cause analysis and compile an MM Admin notification containing an issue summary, a link to the detailed report and remediation steps.</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UC_BU_021, UC_AD_012</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FR-NT-05</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deliver MM Admin notifications via the configured channel(s) (email, SMS, PagerDuty) and record delivery and acknowledgment.</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UC_BU_021, UC_AD_012</w:t>
            </w:r>
          </w:p>
        </w:tc>
      </w:tr>
    </w:tbl>
    <w:p>
      <w:r>
        <w:br w:type="page"/>
      </w:r>
    </w:p>
    <w:p>
      <w:pPr>
        <w:pStyle w:val="Heading1"/>
        <w:spacing w:after="140" w:before="300"/>
      </w:pPr>
      <w:r>
        <w:rPr>
          <w:rFonts w:ascii="Calibri" w:cs="Calibri" w:eastAsia="Calibri" w:hAnsi="Calibri"/>
          <w:b/>
          <w:bCs/>
          <w:color w:val="1F3864"/>
          <w:sz w:val="30"/>
          <w:szCs w:val="30"/>
        </w:rPr>
        <w:t xml:space="preserve">14. Module M12 — Consent, Data Retention &amp; Deletion (FR-DP)</w:t>
      </w:r>
    </w:p>
    <w:p>
      <w:pPr>
        <w:spacing w:after="120" w:before="0" w:line="264"/>
      </w:pPr>
      <w:r>
        <w:rPr>
          <w:rFonts w:ascii="Calibri" w:cs="Calibri" w:eastAsia="Calibri" w:hAnsi="Calibri"/>
        </w:rPr>
        <w:t xml:space="preserve">Covers capture and update of consent, and user- and admin-initiated deletion of accounts and biometric records.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50"/>
        <w:gridCol w:w="6710"/>
        <w:gridCol w:w="1500"/>
      </w:tblGrid>
      <w:tr>
        <w:trPr>
          <w:tblHeader/>
        </w:trPr>
        <w:tc>
          <w:tcPr>
            <w:tcW w:type="dxa" w:w="115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ID</w:t>
            </w:r>
          </w:p>
        </w:tc>
        <w:tc>
          <w:tcPr>
            <w:tcW w:type="dxa" w:w="671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Functional Requirement</w:t>
            </w:r>
          </w:p>
        </w:tc>
        <w:tc>
          <w:tcPr>
            <w:tcW w:type="dxa" w:w="15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Source UC</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FR-DP-01</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capture, store and allow update of the user's consent status for voice and face biometric verification.</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UC_VA_012, UC_AE_017-021, UC_FA_001-002</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FR-DP-02</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 logged-in user shall be able to delete their account; the system shall confirm, delete MM Business account data and trigger deletion of all associated BioAuth biometric data, then confirm to the user.</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UC_VA_022</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FR-DP-03</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Where an account is deleted but no biometric data exists, the system shall delete the account and confirm that no biometric data required deletion.</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UC_VA_023</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FR-DP-04</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An admin shall be able to delete a user's account and associated biometric data from the user-management panel with a confirmation step.</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UC_VA_024</w:t>
            </w:r>
          </w:p>
        </w:tc>
      </w:tr>
      <w:tr>
        <w:tc>
          <w:tcPr>
            <w:tcW w:type="dxa" w:w="115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FR-DP-05</w:t>
            </w:r>
          </w:p>
        </w:tc>
        <w:tc>
          <w:tcPr>
            <w:tcW w:type="dxa" w:w="671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 user shall be able to delete their BioAuth record independently while retaining their account, after confirmation.</w:t>
            </w:r>
          </w:p>
        </w:tc>
        <w:tc>
          <w:tcPr>
            <w:tcW w:type="dxa" w:w="15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UC_VA_025</w:t>
            </w:r>
          </w:p>
        </w:tc>
      </w:tr>
      <w:tr>
        <w:tc>
          <w:tcPr>
            <w:tcW w:type="dxa" w:w="115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FR-DP-06</w:t>
            </w:r>
          </w:p>
        </w:tc>
        <w:tc>
          <w:tcPr>
            <w:tcW w:type="dxa" w:w="671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allow a user to cancel a BioAuth-record deletion request before it is executed, leaving biometric data intact.</w:t>
            </w:r>
          </w:p>
        </w:tc>
        <w:tc>
          <w:tcPr>
            <w:tcW w:type="dxa" w:w="15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UC_VA_026</w:t>
            </w:r>
          </w:p>
        </w:tc>
      </w:tr>
    </w:tbl>
    <w:p>
      <w:r>
        <w:br w:type="page"/>
      </w:r>
    </w:p>
    <w:p>
      <w:pPr>
        <w:pStyle w:val="Heading1"/>
        <w:spacing w:after="140" w:before="300"/>
      </w:pPr>
      <w:r>
        <w:rPr>
          <w:rFonts w:ascii="Calibri" w:cs="Calibri" w:eastAsia="Calibri" w:hAnsi="Calibri"/>
          <w:b/>
          <w:bCs/>
          <w:color w:val="1F3864"/>
          <w:sz w:val="30"/>
          <w:szCs w:val="30"/>
        </w:rPr>
        <w:t xml:space="preserve">15. Non-Functional Requirements</w:t>
      </w:r>
    </w:p>
    <w:p>
      <w:pPr>
        <w:spacing w:after="120" w:before="0" w:line="264"/>
      </w:pPr>
      <w:r>
        <w:rPr>
          <w:rFonts w:ascii="Calibri" w:cs="Calibri" w:eastAsia="Calibri" w:hAnsi="Calibri"/>
        </w:rPr>
        <w:t xml:space="preserve">The following non-functional requirements are derived from the objectives in the source material. Specific numeric targets marked “TBD” require confirmation and are captured in the Gap Analysis.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1900"/>
        <w:gridCol w:w="6460"/>
      </w:tblGrid>
      <w:tr>
        <w:trPr>
          <w:tblHeader/>
        </w:trPr>
        <w:tc>
          <w:tcPr>
            <w:tcW w:type="dxa" w:w="10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ID</w:t>
            </w:r>
          </w:p>
        </w:tc>
        <w:tc>
          <w:tcPr>
            <w:tcW w:type="dxa" w:w="19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Category</w:t>
            </w:r>
          </w:p>
        </w:tc>
        <w:tc>
          <w:tcPr>
            <w:tcW w:type="dxa" w:w="646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Requirement</w:t>
            </w:r>
          </w:p>
        </w:tc>
      </w:tr>
      <w:tr>
        <w:tc>
          <w:tcPr>
            <w:tcW w:type="dxa" w:w="10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NFR-01</w:t>
            </w:r>
          </w:p>
        </w:tc>
        <w:tc>
          <w:tcPr>
            <w:tcW w:type="dxa" w:w="19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Performance</w:t>
            </w:r>
          </w:p>
        </w:tc>
        <w:tc>
          <w:tcPr>
            <w:tcW w:type="dxa" w:w="64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Verification (voice/face/identifier) shall complete within a target time per contact (target TBD; reporting flags contacts exceeding 30 seconds).</w:t>
            </w:r>
          </w:p>
        </w:tc>
      </w:tr>
      <w:tr>
        <w:tc>
          <w:tcPr>
            <w:tcW w:type="dxa" w:w="10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NFR-02</w:t>
            </w:r>
          </w:p>
        </w:tc>
        <w:tc>
          <w:tcPr>
            <w:tcW w:type="dxa" w:w="19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Availability</w:t>
            </w:r>
          </w:p>
        </w:tc>
        <w:tc>
          <w:tcPr>
            <w:tcW w:type="dxa" w:w="64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BioAuth platform shall meet a defined uptime target (TBD), with health monitoring and alerting on breach.</w:t>
            </w:r>
          </w:p>
        </w:tc>
      </w:tr>
      <w:tr>
        <w:tc>
          <w:tcPr>
            <w:tcW w:type="dxa" w:w="10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NFR-03</w:t>
            </w:r>
          </w:p>
        </w:tc>
        <w:tc>
          <w:tcPr>
            <w:tcW w:type="dxa" w:w="19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Security</w:t>
            </w:r>
          </w:p>
        </w:tc>
        <w:tc>
          <w:tcPr>
            <w:tcW w:type="dxa" w:w="64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Biometric templates and identifiers shall be stored and transmitted securely; access shall be role-based and authenticated.</w:t>
            </w:r>
          </w:p>
        </w:tc>
      </w:tr>
      <w:tr>
        <w:tc>
          <w:tcPr>
            <w:tcW w:type="dxa" w:w="10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NFR-04</w:t>
            </w:r>
          </w:p>
        </w:tc>
        <w:tc>
          <w:tcPr>
            <w:tcW w:type="dxa" w:w="19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Auditability</w:t>
            </w:r>
          </w:p>
        </w:tc>
        <w:tc>
          <w:tcPr>
            <w:tcW w:type="dxa" w:w="64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All verification, enrollment, consent, mismatch, escalation, configuration and deletion events shall be logged with timestamp and identifiers.</w:t>
            </w:r>
          </w:p>
        </w:tc>
      </w:tr>
      <w:tr>
        <w:tc>
          <w:tcPr>
            <w:tcW w:type="dxa" w:w="10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NFR-05</w:t>
            </w:r>
          </w:p>
        </w:tc>
        <w:tc>
          <w:tcPr>
            <w:tcW w:type="dxa" w:w="19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Privacy &amp; compliance</w:t>
            </w:r>
          </w:p>
        </w:tc>
        <w:tc>
          <w:tcPr>
            <w:tcW w:type="dxa" w:w="64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Biometric capture, storage, retention and deletion shall comply with applicable regulations (to be confirmed).</w:t>
            </w:r>
          </w:p>
        </w:tc>
      </w:tr>
      <w:tr>
        <w:tc>
          <w:tcPr>
            <w:tcW w:type="dxa" w:w="10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NFR-06</w:t>
            </w:r>
          </w:p>
        </w:tc>
        <w:tc>
          <w:tcPr>
            <w:tcW w:type="dxa" w:w="19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Usability</w:t>
            </w:r>
          </w:p>
        </w:tc>
        <w:tc>
          <w:tcPr>
            <w:tcW w:type="dxa" w:w="64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Enrollment and verification flows shall provide clear guidance and messaging across call and chat channels.</w:t>
            </w:r>
          </w:p>
        </w:tc>
      </w:tr>
      <w:tr>
        <w:tc>
          <w:tcPr>
            <w:tcW w:type="dxa" w:w="10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NFR-07</w:t>
            </w:r>
          </w:p>
        </w:tc>
        <w:tc>
          <w:tcPr>
            <w:tcW w:type="dxa" w:w="19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Scalability</w:t>
            </w:r>
          </w:p>
        </w:tc>
        <w:tc>
          <w:tcPr>
            <w:tcW w:type="dxa" w:w="64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platform shall handle contact-centre traffic volumes with reporting on traffic health and anomalies.</w:t>
            </w:r>
          </w:p>
        </w:tc>
      </w:tr>
      <w:tr>
        <w:tc>
          <w:tcPr>
            <w:tcW w:type="dxa" w:w="10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NFR-08</w:t>
            </w:r>
          </w:p>
        </w:tc>
        <w:tc>
          <w:tcPr>
            <w:tcW w:type="dxa" w:w="19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Integrability</w:t>
            </w:r>
          </w:p>
        </w:tc>
        <w:tc>
          <w:tcPr>
            <w:tcW w:type="dxa" w:w="64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BioAuth shall expose documented APIs for integration with CRM, ticketing and telephony tools.</w:t>
            </w:r>
          </w:p>
        </w:tc>
      </w:tr>
    </w:tbl>
    <w:p>
      <w:pPr>
        <w:pStyle w:val="Heading1"/>
        <w:spacing w:after="140" w:before="300"/>
      </w:pPr>
      <w:r>
        <w:rPr>
          <w:rFonts w:ascii="Calibri" w:cs="Calibri" w:eastAsia="Calibri" w:hAnsi="Calibri"/>
          <w:b/>
          <w:bCs/>
          <w:color w:val="1F3864"/>
          <w:sz w:val="30"/>
          <w:szCs w:val="30"/>
        </w:rPr>
        <w:t xml:space="preserve">16. Requirement Traceability Summary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5760"/>
      </w:tblGrid>
      <w:tr>
        <w:trPr>
          <w:tblHeader/>
        </w:trPr>
        <w:tc>
          <w:tcPr>
            <w:tcW w:type="dxa" w:w="36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BRD Requirement</w:t>
            </w:r>
          </w:p>
        </w:tc>
        <w:tc>
          <w:tcPr>
            <w:tcW w:type="dxa" w:w="576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FRD Modules / Requirements</w:t>
            </w:r>
          </w:p>
        </w:tc>
      </w:tr>
      <w:tr>
        <w:tc>
          <w:tcPr>
            <w:tcW w:type="dxa" w:w="36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BR-01, BR-05 (Voice enroll)</w:t>
            </w:r>
          </w:p>
        </w:tc>
        <w:tc>
          <w:tcPr>
            <w:tcW w:type="dxa" w:w="57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FR-VE-01 … FR-VE-10</w:t>
            </w:r>
          </w:p>
        </w:tc>
      </w:tr>
      <w:tr>
        <w:tc>
          <w:tcPr>
            <w:tcW w:type="dxa" w:w="36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BR-02, BR-03, BR-04 (Voice auth)</w:t>
            </w:r>
          </w:p>
        </w:tc>
        <w:tc>
          <w:tcPr>
            <w:tcW w:type="dxa" w:w="57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FR-VA-01 … FR-VA-12</w:t>
            </w:r>
          </w:p>
        </w:tc>
      </w:tr>
      <w:tr>
        <w:tc>
          <w:tcPr>
            <w:tcW w:type="dxa" w:w="36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BR-06, BR-08 (Face enroll)</w:t>
            </w:r>
          </w:p>
        </w:tc>
        <w:tc>
          <w:tcPr>
            <w:tcW w:type="dxa" w:w="57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FR-FE-01 … FR-FE-09</w:t>
            </w:r>
          </w:p>
        </w:tc>
      </w:tr>
      <w:tr>
        <w:tc>
          <w:tcPr>
            <w:tcW w:type="dxa" w:w="36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BR-07, BR-09 (Face auth)</w:t>
            </w:r>
          </w:p>
        </w:tc>
        <w:tc>
          <w:tcPr>
            <w:tcW w:type="dxa" w:w="57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FR-FA-01 … FR-FA-09</w:t>
            </w:r>
          </w:p>
        </w:tc>
      </w:tr>
      <w:tr>
        <w:tc>
          <w:tcPr>
            <w:tcW w:type="dxa" w:w="36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BR-10, BR-11 (Agent visibility &amp; actions)</w:t>
            </w:r>
          </w:p>
        </w:tc>
        <w:tc>
          <w:tcPr>
            <w:tcW w:type="dxa" w:w="57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FR-AC-01 … FR-AC-09, FR-AV-01 … FR-AV-10</w:t>
            </w:r>
          </w:p>
        </w:tc>
      </w:tr>
      <w:tr>
        <w:tc>
          <w:tcPr>
            <w:tcW w:type="dxa" w:w="36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BR-12, BR-13 (Agent biometrics &amp; escalation)</w:t>
            </w:r>
          </w:p>
        </w:tc>
        <w:tc>
          <w:tcPr>
            <w:tcW w:type="dxa" w:w="57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FR-AB-01 … FR-AB-08, FR-AC-06/07/09, FR-AV-06/08</w:t>
            </w:r>
          </w:p>
        </w:tc>
      </w:tr>
      <w:tr>
        <w:tc>
          <w:tcPr>
            <w:tcW w:type="dxa" w:w="36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BR-14, BR-16 (Admin onboarding &amp; config)</w:t>
            </w:r>
          </w:p>
        </w:tc>
        <w:tc>
          <w:tcPr>
            <w:tcW w:type="dxa" w:w="57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FR-AD-01 … FR-AD-08</w:t>
            </w:r>
          </w:p>
        </w:tc>
      </w:tr>
      <w:tr>
        <w:tc>
          <w:tcPr>
            <w:tcW w:type="dxa" w:w="36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BR-15 (Deploy/maintain)</w:t>
            </w:r>
          </w:p>
        </w:tc>
        <w:tc>
          <w:tcPr>
            <w:tcW w:type="dxa" w:w="57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FR-DM-01 … FR-DM-06</w:t>
            </w:r>
          </w:p>
        </w:tc>
      </w:tr>
      <w:tr>
        <w:tc>
          <w:tcPr>
            <w:tcW w:type="dxa" w:w="36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BR-17, BR-18, BR-19 (Monitor &amp; report)</w:t>
            </w:r>
          </w:p>
        </w:tc>
        <w:tc>
          <w:tcPr>
            <w:tcW w:type="dxa" w:w="57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FR-RP-01 … FR-RP-12</w:t>
            </w:r>
          </w:p>
        </w:tc>
      </w:tr>
      <w:tr>
        <w:tc>
          <w:tcPr>
            <w:tcW w:type="dxa" w:w="36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BR-20 (Notifications)</w:t>
            </w:r>
          </w:p>
        </w:tc>
        <w:tc>
          <w:tcPr>
            <w:tcW w:type="dxa" w:w="57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FR-NT-01 … FR-NT-05</w:t>
            </w:r>
          </w:p>
        </w:tc>
      </w:tr>
      <w:tr>
        <w:tc>
          <w:tcPr>
            <w:tcW w:type="dxa" w:w="36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BR-21, BR-22 (Deletion, consent, audit)</w:t>
            </w:r>
          </w:p>
        </w:tc>
        <w:tc>
          <w:tcPr>
            <w:tcW w:type="dxa" w:w="57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FR-DP-01 … FR-DP-06, NFR-04</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F3" w:sz="4"/>
      </w:pBdr>
      <w:tabs>
        <w:tab w:val="right" w:pos="9360"/>
      </w:tabs>
      <w:spacing w:before="60"/>
    </w:pPr>
    <w:r>
      <w:rPr>
        <w:rFonts w:ascii="Calibri" w:cs="Calibri" w:eastAsia="Calibri" w:hAnsi="Calibri"/>
        <w:color w:val="595959"/>
        <w:sz w:val="16"/>
        <w:szCs w:val="16"/>
      </w:rPr>
      <w:t xml:space="preserve">Confidential — Internal Use Only</w:t>
    </w:r>
    <w:r>
      <w:rPr>
        <w:rFonts w:ascii="Calibri" w:cs="Calibri" w:eastAsia="Calibri" w:hAnsi="Calibri"/>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F3" w:sz="4"/>
      </w:pBdr>
      <w:tabs>
        <w:tab w:val="right" w:pos="9360"/>
      </w:tabs>
      <w:spacing w:after="60"/>
    </w:pPr>
    <w:r>
      <w:rPr>
        <w:rFonts w:ascii="Calibri" w:cs="Calibri" w:eastAsia="Calibri" w:hAnsi="Calibri"/>
        <w:color w:val="595959"/>
        <w:sz w:val="16"/>
        <w:szCs w:val="16"/>
      </w:rPr>
      <w:t xml:space="preserve">BioAuth — MM Business</w:t>
    </w:r>
    <w:r>
      <w:rPr>
        <w:rFonts w:ascii="Calibri" w:cs="Calibri" w:eastAsia="Calibri" w:hAnsi="Calibri"/>
        <w:color w:val="595959"/>
        <w:sz w:val="16"/>
        <w:szCs w:val="16"/>
      </w:rPr>
      <w:t xml:space="preserve">	Functional Requirements Document (FRD)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5496"/>
      </w:rPr>
    </w:lvl>
    <w:lvl w:ilvl="1" w15:tentative="1">
      <w:start w:val="1"/>
      <w:numFmt w:val="bullet"/>
      <w:lvlText w:val="◦"/>
      <w:lvlJc w:val="left"/>
      <w:pPr>
        <w:ind w:left="900" w:hanging="260"/>
      </w:pPr>
    </w:lvl>
    <w:lvl w:ilvl="2" w15:tentative="1">
      <w:start w:val="1"/>
      <w:numFmt w:val="bullet"/>
      <w:lvlText w:val="–"/>
      <w:lvlJc w:val="left"/>
      <w:pPr>
        <w:ind w:left="134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Document (FRD)</dc:title>
  <dc:creator>Business Analysis Team</dc:creator>
  <dc:description>Functional Requirements Document (FRD)</dc:description>
  <cp:lastModifiedBy>Un-named</cp:lastModifiedBy>
  <cp:revision>1</cp:revision>
  <dcterms:created xsi:type="dcterms:W3CDTF">2026-07-24T11:25:29.395Z</dcterms:created>
  <dcterms:modified xsi:type="dcterms:W3CDTF">2026-07-24T11:25:29.396Z</dcterms:modified>
</cp:coreProperties>
</file>

<file path=docProps/custom.xml><?xml version="1.0" encoding="utf-8"?>
<Properties xmlns="http://schemas.openxmlformats.org/officeDocument/2006/custom-properties" xmlns:vt="http://schemas.openxmlformats.org/officeDocument/2006/docPropsVTypes"/>
</file>