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E5496"/>
          <w:sz w:val="26"/>
          <w:szCs w:val="26"/>
        </w:rPr>
        <w:t xml:space="preserve">BIOAUTH  |  MM BUSINESS</w:t>
      </w:r>
    </w:p>
    <w:p>
      <w:pPr>
        <w:pBdr>
          <w:bottom w:val="single" w:color="1F3864" w:sz="12"/>
        </w:pBdr>
        <w:spacing w:after="2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Biometric Authentication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Gap Analysis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30"/>
          <w:szCs w:val="30"/>
        </w:rPr>
        <w:t xml:space="preserve">Gaps, ambiguities and inconsistencies in the source specifications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Findings and recommendations across the eight use-case documents</w:t>
      </w:r>
    </w:p>
    <w:tbl>
      <w:tblPr>
        <w:tblW w:type="dxa" w:w="68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00"/>
      </w:tblGrid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 Analysis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 (Draft)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 July 2026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Analysis Team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Traces to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BRD, FRD, Business Rules v1.0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1.1 Purpose</w:t>
      </w:r>
    </w:p>
    <w:p>
      <w:pPr>
        <w:spacing w:after="120" w:before="0" w:line="264"/>
      </w:pPr>
      <w:r>
        <w:rPr>
          <w:rFonts w:ascii="Calibri" w:cs="Calibri" w:eastAsia="Calibri" w:hAnsi="Calibri"/>
        </w:rPr>
        <w:t xml:space="preserve">This Gap Analysis identifies gaps, ambiguities, inconsistencies and missing information found when consolidating the eight source use-case documents into the BRD, FRD and Business Rules. Each finding includes an impact assessment, a severity rating and a recommended action. The analysis is a current-state (as-documented) versus required-state comparison; it does not assess an existing implementation.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1.2 Method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Each source document was read and its use cases mapped to functional modules.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Requirements were compared across documents to surface duplication, contradiction and missing coverage.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Every rule and requirement that depended on an unspecified value or undefined term was flagged.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Findings were rated by severity and grouped by category.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1.3 Severity scale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7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7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Blocks build/decision, creates security/compliance/UX risk, or contains a contradiction that must be resolved before design.</w:t>
            </w:r>
          </w:p>
        </w:tc>
      </w:tr>
      <w:tr>
        <w:tc>
          <w:tcPr>
            <w:tcW w:type="dxa" w:w="1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77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Should be resolved before the affected module is built; workable assumptions exist but need confirmation.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7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Documentation/consistency issue; low functional risk but should be tidied for clarity.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Findings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 Consistency &amp; document hygiene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GAP-01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Duplicate use-case IDs: two use cases are numbered UC_FA_006 (Failed Face Authentication and User Without Face Enrollment).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Traceability breaks; the wrong flow may be built or tested.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Renumber to unique IDs; keep both scenarios (both are captured as FR-FA-05 and FR-FA-06).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GAP-02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voice-enrollment file uses UC_AE_005/006 IDs for voice content, colliding with Agent Experience UC_AE_005/006.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Cross-document references are ambiguous.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Adopt a single ID namespace per module (e.g. UC_VE_005) and re-reference.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GAP-03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Inconsistent ID formatting (UC_BU_001 vs UC_BU\_ 005, spacing around underscores).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Search/automation and traceability tooling may miss references.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Normalise all IDs to one pattern.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GAP-04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Two overlapping Agent Experience documents describe similar flows at different levels of detail with different numbering.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Risk of divergent requirements.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Consolidate into one canonical Agent Experience specification.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2.2 Contradictions between documents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GAP-05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Non-enrolled user, failed verification: Agent Experience (UC_AE_006) triggers enrollment and proceeds, while the Agent Experience Use Case doc says BioAuth is “unavailable due to lack of enrollment”.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Opposite behaviours for the same scenario.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Decide the canonical behaviour (enroll-then-proceed vs decline) and specify explicitly.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GAP-06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Face authentication failure: some flows terminate the chat (UC_FA_006/UC_FE_004) while retry is allowed elsewhere (UC_FA_008) with no defined attempt limit before termination.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Inconsistent user experience and security posture.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the exact retry count and the terminate-vs-retry sequence.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GAP-07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“Fingerprint” is mentioned as a biometric (Agent Experience Use Case UC_AE_001/003) although scope is voice and face only.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Scope confusion; possible expectation of an unsupported modality.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Remove fingerprint references or add it to scope explicitly.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GAP-08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 enrollment for a new user has two flows: one where the phone number is not recognised at all (UC_VA_001) and one where it is recognised but has no account (UC_VA_002); the trigger difference and precedence are unclear.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Ambiguous branching logic.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Clarify the decision tree for recognised vs matched phone numbers.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2.3 Undefined values &amp; thresholds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GAP-09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biometric match confidence threshold is defined for voice or face matching.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Cannot determine match/non-match boundary; affects fraud and false-reject rates.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acceptance thresholds and tuning process with the BioAuth vendor.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GAP-10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“Multiple attempts” / “repeatedly” verification failures are referenced but no maximum retry count is defined (voice, face, alternative methods).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Escalation timing is undefined; inconsistent handling.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Specify retry limits per channel and method.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GAP-11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 length, format, delivery channel priority and expiry are not specified.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and UX gaps in enrollment/identifier flows.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OTP policy (length, validity, resend, lockout).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GAP-12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Health/uptime alert thresholds that trigger MM Admin notifications are undefined.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Notifications cannot be configured deterministically.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thresholds per metric (uptime %, error rate, latency).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GAP-13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target verification time or uptime SLA; reports flag contacts over 30s but no target is stated.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Performance/availability cannot be measured against a target.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 NFR targets (see FRD NFR-01, NFR-02).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GAP-14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“Trust levels” configurable by MM Admin are referenced but never enumerated or defined.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Configuration module cannot be built without the level definitions.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the discrete trust levels and their effects.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GAP-15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Criteria for a “high-security transaction” requiring BioAuth are not defined.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Cannot implement conditional BioAuth requirement.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the transaction/risk criteria.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2.4 Security, privacy &amp; compliance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GAP-16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liveness / anti-spoofing (presentation-attack) requirement is stated for voice or face capture.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Biometric flows may be bypassed with recordings/photos.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explicit liveness-detection requirements.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GAP-17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Applicable biometric-data privacy regulations (e.g. consent wording, retention limits, jurisdiction) are not identified.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Legal/compliance exposure.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regulatory scope and derive consent, retention and deletion requirements.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GAP-18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Biometric data retention period (before/after account or record deletion, and for logs) is unspecified.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Non-compliant retention risk.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retention and purge schedule.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GAP-19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 access to reports, admin config and deletion is implied but not specified (which roles can do what).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Over-privileged access risk.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an access-control/RBAC matrix.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GAP-20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PresentID identity-verification integration is mentioned once (UC_AE_006) with no defined data, flow, or fallback.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Integration cannot be designed.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Specify the PresentID data exchange, triggers and error handling.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2.5 Functional coverage gaps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GAP-21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Reporting use cases specify main flows only; error/empty-data/permission-denied flows are largely absent.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Undefined behaviour when data is missing or access is denied.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alternate/exception flows for each report.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GAP-22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Notification behaviour when an alert is not acknowledged (re-notify, escalate) is not defined.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 alerts could be missed.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acknowledgment SLAs and escalation.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GAP-23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accessibility requirements for enrollment/verification (e.g. users unable to provide voice or face samples).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Exclusion and possible compliance issues.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accessible alternative verification paths.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GAP-24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Localization / language handling for prompts and messages is not addressed.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Limits multi-region rollout.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supported languages and prompt localisation.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GAP-25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Behaviour when a device lacks a microphone/camera, or capture fails mid-session, is only partially covered (voice technical failure exists; chat/camera failure does not).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Unhandled failure paths.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device-capability and capture-failure handling for chat/face.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GAP-26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Handling of consent withdrawal (as opposed to biometric deletion) during an active session is not described.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Unclear behaviour if a user revokes consent mid-flow.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consent-withdrawal handling.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GAP-27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Review Team process, tooling and SLAs are referenced but not specified.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Escalation outcomes are undefined.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the manual review workflow and turnaround.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2.6 Data &amp; reporting definitions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100"/>
        <w:gridCol w:w="2100"/>
        <w:gridCol w:w="1000"/>
        <w:gridCol w:w="226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GAP-28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“Error codes” and their categorisation are referenced across reports but no code list/taxonomy is provided.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Failure-reason reporting cannot be standardised.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Publish a standardised error-code catalogue.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GAP-29</w:t>
            </w:r>
          </w:p>
        </w:tc>
        <w:tc>
          <w:tcPr>
            <w:tcW w:type="dxa" w:w="3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Optional report fields (Agent ID, failure reason, user location) are listed as “suggestions”; inclusion is undecided.</w:t>
            </w:r>
          </w:p>
        </w:tc>
        <w:tc>
          <w:tcPr>
            <w:tcW w:type="dxa" w:w="2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 scope ambiguity.</w:t>
            </w:r>
          </w:p>
        </w:tc>
        <w:tc>
          <w:tcPr>
            <w:tcW w:type="dxa" w:w="1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which optional fields are in scope and any privacy constraints on location.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GAP-30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NPS collection mechanism, timing and survey source are not specified, though multiple NPS reports are required.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NPS reports have no defined data source.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Define NPS capture (when, how, from whom).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Summary of Findings</w:t>
      </w:r>
    </w:p>
    <w:p>
      <w:pPr>
        <w:spacing w:after="120" w:before="0" w:line="264"/>
      </w:pPr>
      <w:r>
        <w:rPr>
          <w:rFonts w:ascii="Calibri" w:cs="Calibri" w:eastAsia="Calibri" w:hAnsi="Calibri"/>
        </w:rPr>
        <w:t xml:space="preserve">A total of 30 findings were identified. The distribution by severity is shown below. High-severity items should be resolved before the affected modules are designed.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3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Representative items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GAP-05, 06, 09, 10, 14, 16, 17 (and consent/spoofing risks)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Numbering, thresholds, PresentID, RBAC, error flows, manual review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Formatting, localization, optional fields, consent withdrawal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3.1 Recommended resolution sequence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Resolve the two behavioural contradictions (GAP-05, GAP-06) — these change core flows.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Fix definitions blocking build: match thresholds, retry limits, trust levels (GAP-09, GAP-10, GAP-14).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Confirm privacy/compliance scope and add liveness (GAP-16, GAP-17, GAP-18).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Specify PresentID integration and RBAC (GAP-20, GAP-19).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Backfill error/exception flows, notification escalation, accessibility and error-code taxonomy.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Tidy numbering and documentation consistency for maintainability.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595959"/>
        <w:sz w:val="16"/>
        <w:szCs w:val="16"/>
      </w:rPr>
      <w:t xml:space="preserve">BioAuth — MM Business</w:t>
    </w:r>
    <w:r>
      <w:rPr>
        <w:rFonts w:ascii="Calibri" w:cs="Calibri" w:eastAsia="Calibri" w:hAnsi="Calibri"/>
        <w:color w:val="595959"/>
        <w:sz w:val="16"/>
        <w:szCs w:val="16"/>
      </w:rPr>
      <w:t xml:space="preserve">	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–"/>
      <w:lvlJc w:val="left"/>
      <w:pPr>
        <w:ind w:left="13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</dc:title>
  <dc:creator>Business Analysis Team</dc:creator>
  <dc:description>Gap Analysis</dc:description>
  <cp:lastModifiedBy>Un-named</cp:lastModifiedBy>
  <cp:revision>1</cp:revision>
  <dcterms:created xsi:type="dcterms:W3CDTF">2026-07-24T11:27:38.032Z</dcterms:created>
  <dcterms:modified xsi:type="dcterms:W3CDTF">2026-07-24T11:27:38.032Z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