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Министерство науки и высшего образования Российской Федерации</w:t>
      </w:r>
    </w:p>
    <w:p>
      <w:pPr>
        <w:spacing w:before="0" w:after="4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80" w:line="276" w:lineRule="auto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«УФИМСКИЙ УНИВЕРСИТЕТ НАУКИ И ТЕХНОЛОГИЙ»</w:t>
      </w:r>
    </w:p>
    <w:p>
      <w:pPr>
        <w:spacing w:before="0" w:after="4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Институт информатики, математики и робототехники</w:t>
      </w:r>
    </w:p>
    <w:p>
      <w:pPr>
        <w:spacing w:before="0" w:after="800" w:line="276" w:lineRule="auto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Кафедра автоматизированных систем управления</w:t>
      </w:r>
    </w:p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40"/>
        </w:rPr>
        <w:t>ОТЧЕТ</w:t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ПО ЛАБОРАТОРНОЙ РАБОТЕ № 4</w:t>
      </w:r>
    </w:p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/>
          <w:b w:val="0"/>
          <w:i/>
          <w:color w:val="000000"/>
          <w:sz w:val="26"/>
        </w:rPr>
        <w:t>по дисциплине: «Сетевые технологии автоматизации и управления» (СТАУ)</w:t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30"/>
        </w:rPr>
        <w:t>на тему: «Публичное облако Google: организация опросов и тестирования»</w:t>
      </w:r>
    </w:p>
    <w:p>
      <w:pPr>
        <w:spacing w:before="0" w:after="1200" w:line="276" w:lineRule="auto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Вариант № 17 (Тема № 2: Анкета для соц. сети / Тест на знание физики)</w:t>
      </w:r>
    </w:p>
    <w:p>
      <w:pPr>
        <w:spacing w:before="0" w:after="40" w:line="276" w:lineRule="auto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4"/>
        </w:rPr>
        <w:t>Выполнили:</w:t>
      </w:r>
    </w:p>
    <w:p>
      <w:pPr>
        <w:spacing w:before="0" w:after="40" w:line="276" w:lineRule="auto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4"/>
        </w:rPr>
        <w:t>студенты гр. ЭАС-514С</w:t>
      </w:r>
    </w:p>
    <w:p>
      <w:pPr>
        <w:spacing w:before="0" w:after="40" w:line="276" w:lineRule="auto"/>
        <w:ind w:firstLine="0"/>
        <w:jc w:val="right"/>
      </w:pPr>
      <w:r>
        <w:rPr>
          <w:rFonts w:ascii="Times New Roman" w:hAnsi="Times New Roman"/>
          <w:b/>
          <w:i w:val="0"/>
          <w:color w:val="000000"/>
          <w:sz w:val="24"/>
        </w:rPr>
        <w:t>Гайнанов Д.И.</w:t>
      </w:r>
    </w:p>
    <w:p>
      <w:pPr>
        <w:spacing w:before="0" w:after="280" w:line="276" w:lineRule="auto"/>
        <w:ind w:firstLine="0"/>
        <w:jc w:val="right"/>
      </w:pPr>
      <w:r>
        <w:rPr>
          <w:rFonts w:ascii="Times New Roman" w:hAnsi="Times New Roman"/>
          <w:b/>
          <w:i w:val="0"/>
          <w:color w:val="000000"/>
          <w:sz w:val="24"/>
        </w:rPr>
        <w:t>Гарифуллин К.Р.</w:t>
      </w:r>
    </w:p>
    <w:p>
      <w:pPr>
        <w:spacing w:before="0" w:after="40" w:line="276" w:lineRule="auto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4"/>
        </w:rPr>
        <w:t>Проверил:</w:t>
      </w:r>
    </w:p>
    <w:p>
      <w:pPr>
        <w:spacing w:before="0" w:after="40" w:line="276" w:lineRule="auto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4"/>
        </w:rPr>
        <w:t>преподаватель кафедры АСУ</w:t>
      </w:r>
    </w:p>
    <w:p>
      <w:pPr>
        <w:spacing w:before="0" w:after="1400" w:line="276" w:lineRule="auto"/>
        <w:ind w:firstLine="0"/>
        <w:jc w:val="right"/>
      </w:pPr>
      <w:r>
        <w:rPr>
          <w:rFonts w:ascii="Times New Roman" w:hAnsi="Times New Roman"/>
          <w:b/>
          <w:i w:val="0"/>
          <w:color w:val="000000"/>
          <w:sz w:val="24"/>
        </w:rPr>
        <w:t>Набатов А.Н.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Уфа 2026 г.</w:t>
      </w:r>
    </w:p>
    <w:p>
      <w:r>
        <w:br w:type="page"/>
      </w:r>
    </w:p>
    <w:p>
      <w:pPr>
        <w:spacing w:before="280" w:after="160" w:line="276" w:lineRule="auto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1 Цель работы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Освоить практические навыки работы с публичными облачными сервисами на примере экосистемы Google (Google Drive, Google Forms, Google Sheets), изучить принципы построения сетевых интерактивных вопросников и тестирующих систем, реализовать автоматизированный сбор и математико-логическую обработку полученных данных с использованием встроенных функций электронных таблиц.</w:t>
      </w:r>
    </w:p>
    <w:p>
      <w:pPr>
        <w:spacing w:before="280" w:after="160" w:line="276" w:lineRule="auto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2 Теоретическая часть</w:t>
      </w:r>
    </w:p>
    <w:p>
      <w:pPr>
        <w:spacing w:before="240" w:after="120" w:line="276" w:lineRule="auto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2.1 Облачные вычисления и модели развертывания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Облачные вычисления (Cloud Computing) представляют собой модель обеспечения повсеместного, удобного сетевого доступа по требованию к общему пулу конфигурируемых вычислительных ресурсов (сетям передачи данных, серверам, системам хранения данных, приложениям и сетевым службам), которые могут быть оперативно предоставлены и освобождены с минимальными эксплуатационными затратами и обращениями к сервис-провайдеру (стандарт NIST SP 800-145).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соответствии с архитектурной классификацией выделяют четыре основные модели развертывания облачных инфраструктур: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Частное облако (Private Cloud) — инфраструктура, предназначенная для эксклюзивного использования одной организацией, включающей несколько потребителей (подразделений). Может находиться в собственности, управлении и эксплуатации как самой организации, так и третьей стороны, физически размещаясь внутри или вне периметра компании.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Публичное облако (Public Cloud) — инфраструктура, доступная для свободного использования широкой публикой или коммерческими предприятиями. Находится во владении и оперативном управлении поставщика облачных услуг (Google Cloud Platform, Amazon Web Services, Microsoft Azure, Яндекс.Облако). Все вычислительные мощности распределены по дата-центрам провайдера с обеспечением строгой многоарендной изоляции (Multi-tenancy).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Общественное облако (Community Cloud) — инфраструктура, создаваемая для совместного использования группой организаций с общими задачами, регуляторными требованиями, отраслевыми стандартами или политиками безопасности (например, межбанковские облачные платформы, облака научно-образовательных консорциумов).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4. Гибридное облако (Hybrid Cloud) — динамическая композиция из двух или более различных облачных инфраструктур (частных, публичных или общественных), остающихся уникальными объектами, но связанных между собой стандартизованными защищенными технологиями передачи данных и сетевой оркестрации.</w:t>
      </w:r>
    </w:p>
    <w:p>
      <w:pPr>
        <w:spacing w:before="240" w:after="120" w:line="276" w:lineRule="auto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2.2 Модели обслуживания облачных вычислений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современной сетевой индустрии применяются три базовые сервисные модели: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IaaS (Infrastructure as a Service) — предоставление фундаментальных вычислительных ресурсов: виртуальных серверов, дискового пространства, сетевых интерфейсов и маршрутизаторов. Потребитель управляет операционной системой, хранилищем и установленными приложениями.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PaaS (Platform as a Service) — предоставление облачной платформы, включающей операционную систему, СУБД, среды исполнения языков программирования и средства разработки. Потребитель управляет исключительно разрабатываемыми приложениями и конфигурацией данных.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SaaS (Software as a Service) — модель предоставления готового программного обеспечения, развернутого в облаке провайдера и доступного конечным пользователям через тонкий клиент (веб-браузер или мобильное приложение). Пользователь не управляет базовой инфраструктурой.</w:t>
      </w:r>
    </w:p>
    <w:p>
      <w:pPr>
        <w:spacing w:before="240" w:after="120" w:line="276" w:lineRule="auto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2.3 Архитектура сервисов Google Forms и Google Sheets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Сервисы Google Forms и Google Sheets функционируют по модели SaaS (Software as a Service) поверх глобальной публичной инфраструктуры Google. Веб-интерфейс форм генерирует динамический веб-опросник, формирующий JSON-пакеты ответов при отправке клиентом по защищенному протоколу HTTPS. Серверная часть автоматически сериализует полученные кортежи данных и синхронизирует их с реляционно-подобным хранилищем электронной таблицы Google Sheets в режиме реального времени.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верификации ответов тестирования в электронных таблицах используется логическая функция IF (в русскоязычной локализации ЕСЛИ):</w:t>
      </w:r>
    </w:p>
    <w:p>
      <w:pPr>
        <w:spacing w:before="0" w:after="120" w:line="276" w:lineRule="auto"/>
        <w:ind w:firstLine="1134"/>
        <w:jc w:val="both"/>
      </w:pPr>
      <w:r>
        <w:rPr>
          <w:rFonts w:ascii="Times New Roman" w:hAnsi="Times New Roman"/>
          <w:b w:val="0"/>
          <w:i/>
          <w:color w:val="000000"/>
          <w:sz w:val="28"/>
        </w:rPr>
        <w:t>=IF(логическое_выражение; значение_если_истина; значение_если_ложь)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Данная функция анализирует значение ячейки с ответом респондента на Листе 1, сопоставляет его с эталонным ключом и присваивает 1 балл при совпадении либо 0 баллов при ошибке. Итоговая сумма баллов вычисляется функцией =SUM(...), а дифференцированная академическая оценка формируется с помощью каскадной конструкции вложенных условий IF.</w:t>
      </w:r>
    </w:p>
    <w:p>
      <w:pPr>
        <w:spacing w:before="280" w:after="160" w:line="276" w:lineRule="auto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3 Практическая часть</w:t>
      </w:r>
    </w:p>
    <w:p>
      <w:pPr>
        <w:spacing w:before="240" w:after="120" w:line="276" w:lineRule="auto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3.1 Исходные данные и постановка задачи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соответствии с заданием лабораторной работы № 4 вариант определяется номером студента по списку. Для Варианта № 17 при 15 темах в таблице вариантов назначена Тема № 2 (17 mod 15 = 2):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Тема вопросника: «Анкета с вариантами ответов для социальной сети» (не менее 10 вопросов, не более трех вопросов с вариантами Да/Нет);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Тема тестирования: «Тест на знание физики» (не менее 10 вопросов, не более двух открытых вопросов);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Группа респондентов: студенты академической подгруппы ЭАС-514С в количестве 10 человек;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Критерии выставления оценок: 0–5 баллов — «неудовлетворительно», 6–7 баллов — «удовлетворительно», 8–9 баллов — «хорошо», 10 баллов — «отлично».</w:t>
      </w:r>
    </w:p>
    <w:p>
      <w:pPr>
        <w:spacing w:before="240" w:after="120" w:line="276" w:lineRule="auto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3.2 Разработка вопросника «Анкета пользователя социальной сети»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облачном сервисе Google Forms был спроектирован интерактивный опросник, включающий три обязательных регистрационных поля и десять тематических вопросов, направленных на исследование паттернов поведения пользователей в социальных сетях.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Обязательные идентификационные поля: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ФИО опрашиваемого (текстовая строка, краткий ответ);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E-mail опрашиваемого (текстовая строка с валидацией адреса электронной почты);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Дата заполнения анкеты (календарный ввод даты).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Перечень вопросов анкеты с вариантами ответов представлен ниже: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Какую социальную сеть вы посещаете чаще всего? (Один из списка: Telegram; VK (ВКонтакте); Rutube / YouTube; Другая);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Сколько времени в среднем в день вы проводите в социальных сетях? (Один из списка: Менее 1 часа; 1–3 часа; 3–5 часов; Более 5 часов);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Какова основная цель использования социальной сети? (Один из списка: Общение с друзьями и близкими; Просмотр новостей и инфолент; Учеба и профессиональная деятельность; Развлекательный контент; Покупки и услуги);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4. С какого устройства вы чаще всего заходите в соцсеть? (Один из списка: Смартфон; Ноутбук / ПК; Планшет);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5. Какой формат контента вы предпочитаете потреблять? (Один из списка: Короткие вертикальные видео (Клипы / Shorts); Текстовые посты и статьи; Фотографии и подборки; Длинные видео и подкасты);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6. Публикуете ли вы собственный авторский контент на личной странице? (Да/Нет № 1: Да; Нет);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7. Как вы относитесь к персонализированной контекстной рекламе в ленте? (Один из списка: Положительно (нахожу полезное); Нейтрально (игнорирую); Отрицательно (раздражает, блокирую));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8. Используете ли вы двухфакторную аутентификацию (2FA) для защиты профиля? (Да/Нет № 2: Да; Нет);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9. Состоите ли вы в тематических студенческих/профессиональных сообществах? (Один из списка: Да, активно участвую; Состою только ради объявлений и новостей; Не состою);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10. Оцените степень доверия к безопасности хранения персональных данных в соцсетях (Один из списка: Высокая (полностью доверяю); Средняя (выкладываю минимум); Низкая (не доверяю, опасаюсь утечек)).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Форма опросника размещена в публичном облаке Google Forms по следующим сетевым адресам: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/>
          <w:color w:val="000000"/>
          <w:sz w:val="28"/>
        </w:rPr>
        <w:t>– Ссылка для респондентов: https://docs.google.com/forms/d/e/1FAIpQLSd11e90x4jnD01AcFn_c7FDErNifNwY729p1tM2B53QbhaCVw/viewform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/>
          <w:color w:val="000000"/>
          <w:sz w:val="28"/>
        </w:rPr>
        <w:t>– Ссылка администратора для редактирования: https://docs.google.com/forms/d/11ePUnfE1MoMWyivqslJq3nICpqxVgFfm8cf1u74pXdQ/edit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разработанном опроснике присутствует ровно 2 вопроса типа «Да/Нет» (вопросы № 6 и № 8), что строго удовлетворяет требованию методических указаний («не более трех ответов Да/Нет в вопроснике»).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Результаты анкетирования студентов подгруппы ЭАС-514С визуализированы на рисунках 2 и 3.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33087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ocnet_d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08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31511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ime_sp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51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 w:line="276" w:lineRule="auto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3.3 Разработка теста «Тест на знание физики»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соответствии с заданием разработан проверочный тест по дисциплине «Общая физика», состоящий из 10 вопросов. В структуре теста реализовано ровно 2 вопроса с открытым ответом (вопросы № 6 и № 9), что строго удовлетворяет ограничению методических указаний («не более двух вопросов с открытым ответом в тесте»).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Спецификация вопросов теста и эталонные ключи: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Вопрос 1 (Выбор): Какая физическая величина измеряется в Джоулях (Дж)? Варианты: Мощность; Сила; Энергия и работа; Давление. (Правильный ответ: Энергия и работа);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Вопрос 2 (Выбор): Первый закон Ньютона утверждает, что тело сохраняет состояние покоя или прямолинейного равномерного движения, если... Варианты: На него действует постоянная сила; Равнодействующая всех сил равна нулю; Скорость света постоянна; Масса бесконечна. (Правильный ответ: Равнодействующая всех сил равна нулю);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Вопрос 3 (Выбор): Закон Ома для однородного участка электрической цепи выражается формулой: Варианты: I = U / R; I = U * R; P = U * I; U = I^2 * R. (Правильный ответ: I = U / R);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4. Вопрос 4 (Выбор): Термодинамический процесс, протекающий при постоянном объеме газа (V = const), называется: Варианты: Изотермический; Изобарный; Изохорный; Адиабатный. (Правильный ответ: Изохорный);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5. Вопрос 5 (Выбор): Какое явление волновой оптики лежит в основе передачи световых сигналов в оптическом волокне? Варианты: Дифракция; Полное внутреннее отражение; Поляризация; Дисперсия. (Правильный ответ: Полное внутреннее отражение);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6. Вопрос 6 (Открытый ввод № 1): Как называется физическая векторная величина, равная произведению массы тела на его скорость (p = m*v)? (Правильный ответ: импульс);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7. Вопрос 7 (Выбор): Выталкивающая сила (сила Архимеда), действующая на тело, полностью погруженное в жидкость, равна... Варианты: Весу вытесненной жидкости; Массе самого тела; Объему емкости; Плотности тела. (Правильный ответ: Весу вытесненной жидкости);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8. Вопрос 8 (Выбор): Какой электрический заряд имеет элементарная частица нейтрон? Варианты: Положительный (+1); Отрицательный (-1); Нейтральный (ноль); Дробный (+1/2). (Правильный ответ: Нейтральный (ноль));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9. Вопрос 9 (Открытый ввод № 2): Назовите фамилию английского ученого-физика, открывшего в 1831 году явление электромагнитной индукции. (Правильный ответ: Фарадей);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10. Вопрос 10 (Выбор): Скорость распространения электромагнитного излучения (света) в вакууме приблизительно составляет: Варианты: 300 000 км/с; 300 000 м/с; 150 000 км/с; 30 000 км/с. (Правильный ответ: 300 000 км/с).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Форма теста на знание физики развернута в облаке Google Forms по следующим сетевым адресам: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/>
          <w:color w:val="000000"/>
          <w:sz w:val="28"/>
        </w:rPr>
        <w:t>– Ссылка для прохождения тестирования: https://docs.google.com/forms/d/e/1FAIpQLScTaIo5z5akg4cl8AtU9eUank5f5UqGNnnldCasRIpCEL1ugg/viewform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/>
          <w:color w:val="000000"/>
          <w:sz w:val="28"/>
        </w:rPr>
        <w:t>– Ссылка администратора для редактирования: https://docs.google.com/forms/d/1lLnAdj_-emH7meoOlEHJsZKgpcK3goiz_UPkwYZoddw/edit</w:t>
      </w:r>
    </w:p>
    <w:p>
      <w:pPr>
        <w:spacing w:before="240" w:after="120" w:line="276" w:lineRule="auto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3.4 Обработка результатов тестирования в Google Sheets с помощью функции IF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 прохождении теста студентами академической группы данные автоматически фиксируются в табличном процессоре Google Sheets на первом листе («Ответы теста»). Для автоматизированной проверки в соответствии с пунктом 18 методических указаний создан второй лист («Проверка и оценивание»).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втором листе для каждой строки респондента сформированы математико-логические формулы: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Ссылка на ФИО тестируемого со смежного листа:</w:t>
      </w:r>
    </w:p>
    <w:p>
      <w:pPr>
        <w:spacing w:before="0" w:after="120" w:line="276" w:lineRule="auto"/>
        <w:ind w:firstLine="1134"/>
        <w:jc w:val="both"/>
      </w:pPr>
      <w:r>
        <w:rPr>
          <w:rFonts w:ascii="Times New Roman" w:hAnsi="Times New Roman"/>
          <w:b w:val="0"/>
          <w:i/>
          <w:color w:val="000000"/>
          <w:sz w:val="28"/>
        </w:rPr>
        <w:t>='Ответы теста'!B2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Формула проверки тестового вопроса с фиксированным выбором (на примере вопроса № 1):</w:t>
      </w:r>
    </w:p>
    <w:p>
      <w:pPr>
        <w:spacing w:before="0" w:after="120" w:line="276" w:lineRule="auto"/>
        <w:ind w:firstLine="1134"/>
        <w:jc w:val="both"/>
      </w:pPr>
      <w:r>
        <w:rPr>
          <w:rFonts w:ascii="Times New Roman" w:hAnsi="Times New Roman"/>
          <w:b w:val="0"/>
          <w:i/>
          <w:color w:val="000000"/>
          <w:sz w:val="28"/>
        </w:rPr>
        <w:t>=IF('Ответы теста'!E2="Энергия и работа"; 1; 0)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Формула проверки вопроса с открытым вводом с нормализацией регистра и удалением пробелов (на примере вопроса № 6):</w:t>
      </w:r>
    </w:p>
    <w:p>
      <w:pPr>
        <w:spacing w:before="0" w:after="120" w:line="276" w:lineRule="auto"/>
        <w:ind w:firstLine="1134"/>
        <w:jc w:val="both"/>
      </w:pPr>
      <w:r>
        <w:rPr>
          <w:rFonts w:ascii="Times New Roman" w:hAnsi="Times New Roman"/>
          <w:b w:val="0"/>
          <w:i/>
          <w:color w:val="000000"/>
          <w:sz w:val="28"/>
        </w:rPr>
        <w:t>=IF(LOWER(TRIM('Ответы теста'!J2))="импульс"; 1; 0)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4. Подсчет суммарного балла студента (сумма по строке из 10 вопросов):</w:t>
      </w:r>
    </w:p>
    <w:p>
      <w:pPr>
        <w:spacing w:before="0" w:after="120" w:line="276" w:lineRule="auto"/>
        <w:ind w:firstLine="1134"/>
        <w:jc w:val="both"/>
      </w:pPr>
      <w:r>
        <w:rPr>
          <w:rFonts w:ascii="Times New Roman" w:hAnsi="Times New Roman"/>
          <w:b w:val="0"/>
          <w:i/>
          <w:color w:val="000000"/>
          <w:sz w:val="28"/>
        </w:rPr>
        <w:t>=SUM(C2:L2)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5. Дифференцированное выставление академической оценки по шкале методички (0–5: неуд, 6–7: удовл, 8–9: хорошо, 10: отлично) с помощью каскадной функции IF:</w:t>
      </w:r>
    </w:p>
    <w:p>
      <w:pPr>
        <w:spacing w:before="0" w:after="120" w:line="276" w:lineRule="auto"/>
        <w:ind w:firstLine="1134"/>
        <w:jc w:val="both"/>
      </w:pPr>
      <w:r>
        <w:rPr>
          <w:rFonts w:ascii="Times New Roman" w:hAnsi="Times New Roman"/>
          <w:b w:val="0"/>
          <w:i/>
          <w:color w:val="000000"/>
          <w:sz w:val="28"/>
        </w:rPr>
        <w:t>=IF(M2&gt;=10; "Отлично"; IF(M2&gt;=8; "Хорошо"; IF(M2&gt;=6; "Удовлетворительно"; "Неудовлетворительно")))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таблице 1 представлены исходные ответы тестируемых студентов подгруппы ЭАС-514С, полученные через веб-форму Google Forms (Лист 1).</w:t>
      </w:r>
    </w:p>
    <w:p>
      <w:pPr>
        <w:spacing w:before="0" w:after="120" w:line="276" w:lineRule="auto"/>
        <w:ind w:firstLine="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Таблица 1 – Исходные ответы студентов группы ЭАС-514С (Лист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ФИО студента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Q1 (Джоуль)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Q3 (Закон Ома)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Q6 (Импульс)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Q9 (Индукция)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Q10 (Скорость)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Гайнанов Д.И.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Энергия и работа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 = U / R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Импульс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Фарадей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300 000 км/с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Гарифуллин К.Р.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Энергия и работа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 = U / R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Импульс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Фарадей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300 000 км/с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Нигматуллин И.Ш.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Энергия и работа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 = U / R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Импульс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Максвелл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300 000 км/с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Гайнетдинов Р.Р.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Энергия и работа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 = U / R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Импульс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Фарадей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150 000 км/с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Вагапов Р.Ф.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Энергия и работа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 = U / R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Импульс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Фарадей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300 000 км/с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Баширов А.Р.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Сила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 = U / R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Импульс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Фарадей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300 000 м/с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Аскаров Р.М.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Энергия и работа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 = U * R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Импульс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Фарадей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300 000 км/с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Смирнов А.В.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Мощность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 = U / R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Скорость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Ньютон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300 000 км/с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Кузнецов Д.С.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Энергия и работа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 = U / R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Импульс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Фарадей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300 000 м/с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Васильев И.П.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Давление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 = U * I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Ускорение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Фарадей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300 000 км/с</w:t>
            </w:r>
          </w:p>
        </w:tc>
      </w:tr>
    </w:tbl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таблице 2 представлены результаты автоматической обработки ответов с помощью функции IF, суммирование баллов и вычисленные академические оценки (Лист 2).</w:t>
      </w:r>
    </w:p>
    <w:p>
      <w:pPr>
        <w:spacing w:before="0" w:after="120" w:line="276" w:lineRule="auto"/>
        <w:ind w:firstLine="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Таблица 2 – Матрица оценивания ответов функцией IF и итоговые баллы (Лист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ФИО студента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Баллы за выбор (Q1-Q5)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Баллы за открытые (Q6, Q9)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Баллы за выбор (Q7,8,10)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Итого баллов (=SUM)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Оценка (=IF)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Гайнанов Д.И.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5 из 5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 из 2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 из 3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Отлично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Гарифуллин К.Р.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5 из 5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 из 2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 из 3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Отлично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Нигматуллин И.Ш.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5 из 5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 из 2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 из 3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Хорошо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Гайнетдинов Р.Р.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 из 5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 из 2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 из 3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Хорошо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Вагапов Р.Ф.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 из 5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 из 2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 из 3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Хорошо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Баширов А.Р.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 из 5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 из 2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 из 3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Удовлетворительно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Аскаров Р.М.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 из 5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 из 2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 из 3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Хорошо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Смирнов А.В.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 из 5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0 из 2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 из 3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Удовлетворительно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Кузнецов Д.С.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 из 5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 из 2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 из 3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Удовлетворительно</w:t>
            </w:r>
          </w:p>
        </w:tc>
      </w:tr>
      <w:tr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Васильев И.П.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 из 5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 из 2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 из 3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61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Неудовлетворительно</w:t>
            </w:r>
          </w:p>
        </w:tc>
      </w:tr>
    </w:tbl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Средний балл по группе составил 7,9 балла, что соответствует качественному уровню освоения материала. Доля успешной сдачи (оценки «отлично», «хорошо», «удовлетворительно») составила 90%.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37760" cy="31905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grades_pi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190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cores_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60" w:line="276" w:lineRule="auto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4 Ответы на контрольные вопросы</w:t>
      </w:r>
    </w:p>
    <w:p>
      <w:pPr>
        <w:spacing w:before="240" w:after="120" w:line="276" w:lineRule="auto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1. Какие виды облачных услуг существуют в настоящий момент?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современной сетевой инфраструктуре выделяют три классические модели облачных сервисов (согласно классификации NIST), а также ряд специализированных производных моделей: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IaaS (Infrastructure as a Service — инфраструктура как услуга): предоставление фундаментальных виртуализированных вычислительных ресурсов — виртуальных машин, процессорных ядер, оперативной памяти, блочных и объектных хранилищ, виртуальных коммутаторов, маршрутизаторов и публичных IP-адресов. Заказчик полностью контролирует ОС, системное ПО и прикладные службы (примеры: Google Compute Engine, AWS EC2, Yandex Compute Cloud);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PaaS (Platform as a Service — платформа как услуга): предоставление готовой среды разработки, исполнения и развертывания приложений, включающей операционную систему, СУБД, веб-серверы и компиляторы/интерпретаторы языков. Заказчик освобожден от администрирования ОС и оборудования и управляет только кодом и базами данных (примеры: Google App Engine, AWS Elastic Beanstalk, Heroku);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SaaS (Software as a Service — программное обеспечение как услуга): предоставление полностью готового прикладного ПО, развернутого в дата-центрах провайдера и доступного через веб-браузер или API. Пользователь не администрирует приложение, а лишь настраивает рабочее окружение под свои задачи (примеры: Google Workspace (Docs, Sheets, Forms), Microsoft 365, Salesforce);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4. Производные современные парадигмы: FaaS / Serverless (Function as a Service — бессерверные вычисления с оплатой за миллисекунды исполнения функции, например Google Cloud Functions), DBaaS (Database as a Service — управляемые базы данных), DaaS (Desktop as a Service — виртуальные рабочие столы).</w:t>
      </w:r>
    </w:p>
    <w:p>
      <w:pPr>
        <w:spacing w:before="240" w:after="120" w:line="276" w:lineRule="auto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2. Какие применяются модели развертывания?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зависимости от схемы владения, физического размещения и круга пользователей применяются четыре модели развертывания: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Публичное облако (Public Cloud) — инфраструктура принадлежит независимому облачному оператору (провайдеру) и сдается в аренду множеству изолированных клиентов (клиентских тенантов) через сеть Интернет. Обеспечивает максимальную экономическую эффективность за счет масштаба;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Частное облако (Private Cloud) — инфраструктура предназначена исключительно для одной конкретной организации. Может эксплуатироваться как собственным IT-отделом компании в корпоративном ЦОД (On-Premise), так и внешним сервис-провайдером (Hosted Private Cloud). Обеспечивает наивысший уровень безопасности и соответствия нормативным требованиям;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Общественное облако (Community Cloud) — инфраструктура совместно финансируется и эксплуатируется пулом организаций, объединенных общими целями, миссией, сферой деятельности или едиными стандартами информационной безопасности;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4. Гибридное облако (Hybrid Cloud) — объединенная конфигурация двух или более разнородных облаков (например, критически важные корпоративные базы данных функционируют в частном облаке, а фронтенд-сервисы с переменной нагрузкой масштабируются в публичном облаке).</w:t>
      </w:r>
    </w:p>
    <w:p>
      <w:pPr>
        <w:spacing w:before="240" w:after="120" w:line="276" w:lineRule="auto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3. Чем отличается частное и общественное облако?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Главные отличия частного и общественного облака заключаются в субъектах использования, модели финансирования и политиках доступа: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Назначение и круг потребителей: частное облако обслуживает строго одно юридическое лицо (одну компанию) и его внутренние подразделения. Общественное облако создается для обслуживания замкнутого сообщества независимых организаций, имеющих общую специфику (например, ассоциация банков, сеть медицинских учреждений, консорциум аэрокосмических предприятий или государственные ведомства);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Модель управления и владения: в частном облаке инфраструктура принадлежит и управляется одной организацией. В общественном облаке управление и расходы на эксплуатацию делятся между всеми участниками сообщества либо передаются доверенному отраслевому провайдеру;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Стандарты комплаенса и безопасности: в частном облаке действуют внутренние корпоративные регламенты компании. В общественном облаке применяются согласованные межорганизационные протоколы и специализированные отраслевые регуляторные стандарты (например, HIPAA для медицины, PCI-DSS для финансовых систем).</w:t>
      </w:r>
    </w:p>
    <w:p>
      <w:pPr>
        <w:spacing w:before="240" w:after="120" w:line="276" w:lineRule="auto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4. Какие требования предъявляются к серверной и клиентской части облака?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 серверной части (инфраструктуре провайдера ЦОД):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Высочайшая степень отказоустойчивости и доступности по SLA (уровень доступности 99,95% – 99,999%, соответствие уровню надежности Tier III/IV по Uptime Institute);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Аппаратная избыточность: резервирование электропитания (ДГУ, ИБП), систем охлаждения и высокоскоростных сетевых каналов связи;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Виртуализация и мультиарендность (Multi-tenancy): надежная аппаратная и программная изоляция контейнеров, виртуальных машин, дисковых томов и сегментов виртуальных сетей (VPC) разных клиентов;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Эластичность и автомасштабирование: способность мгновенно выделять вычислительные ядра (CPU) и оперативную память (RAM) при резком росте сетевой нагрузки;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Комплексная безопасность: аппаратное шифрование данных в покое (At-Rest) и в транзите (In-Transit), защита от распределенных атак типа «Отказ в обслуживании» (DDoS), мониторинг уязвимостей.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 клиентской части (устройствам и ПО пользователей):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Универсальность и независимость от платформы (кроссплатформенность): доступность облачных функций через современные веб-браузеры (Chrome, Firefox, Safari, Edge) с поддержкой HTML5, WebSockets и JavaScript;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Надежный сетевой канал: стабильное сетевое подключение с требуемой пропускной способностью и минимальной задержкой (RTT);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Поддержка современных протоколов шифрования: поддержка TLS 1.3 и криптографических стандартов HTTPS/WSS для безопасного обмена данными;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Аутентификация: поддержка механизмов многофакторной аутентификации (MFA/2FA), интеграция с протоколами федеративной идентификации (OAuth 2.0, SAML, OpenID Connect).</w:t>
      </w:r>
    </w:p>
    <w:p>
      <w:pPr>
        <w:spacing w:before="240" w:after="120" w:line="276" w:lineRule="auto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5. Перечислите и обоснуйте преимущества облачных технологий по сравнению с традиционными подходами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Преимущества облачных технологий обусловлены фундаментальными технико-экономическими факторами: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Переход от капитальных затрат (CAPEX) к операционным (OPEX): организации не требуется закупать дорогостоящее серверное оборудование, сетевые коммутаторы, лицензии и строить ЦОД. Оплата производится исключительно за фактически потребленные ресурсы по модели Pay-as-you-go;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Мгновенная масштабируемость и эластичность: выделение дополнительных виртуальных мощностей занимает считанные секунды или минуты в автоматическом режиме, тогда как закупка и ввод в эксплуатацию физического сервера при традиционном подходе требует недель или месяцев;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Высокая надежность и катастрофоустойчивость: данные автоматически реплицируются между несколькими географически распределенными зонами доступности провайдера, что сводит к нулю риск потери информации при локальных авариях;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4. Повсеместная доступность 24/7/365: авторизованные сотрудники могут работать с корпоративными сервисами из любой точки земного шара с любого устройства;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5. Фокусирование на ключевом бизнесе: функции технического обслуживания оборудования, охлаждения, обновления прошивок и защиты сетевого периметра полностью берет на себя провайдер.</w:t>
      </w:r>
    </w:p>
    <w:p>
      <w:pPr>
        <w:spacing w:before="240" w:after="120" w:line="276" w:lineRule="auto"/>
        <w:ind w:firstLine="709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6. Опишите недостатки облачных технологий и пути борьбы с ними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Несмотря на очевидные достоинства, облачные технологии имеют ряд объективных рисков и недостатков: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Критическая зависимость от сетевого подключения: при обрыве интернет-соединения или сбоях на стороне магистрального интернет-провайдера доступ к облачным сервисам полностью блокируется. Пути борьбы: организация резервных каналов связи от независимых операторов, использование локального кэширования и гибридных сетевых топологий (Edge Computing);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Риски конфиденциальности и утечки данных: хранение критически важной информации на серверах третьих лиц вызывает опасения несанкционированного доступа. Пути борьбы: использование сквозного шифрования (End-to-End Encryption) с хранением закрытых ключей у клиента (BYOK — Bring Your Own Key), сегментация сетей, строгий аудит доступа (Zero Trust Architecture);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Зависимость от конкретного поставщика услуг (Vendor Lock-in): перенос инфраструктуры и данных между различными провайдерами (например, с AWS на Google Cloud) сопряжен со значительными затратами из-за использования проприетарных API. Пути борьбы: проектирование архитектуры на базе открытых стандартов, контейнеризация приложений (Docker, Kubernetes), мультиоблачные стратегии (Multi-cloud);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4. Законодательные и регуляторные ограничения: законы о локализации персональных данных (в РФ — ФЗ № 152 «О персональных данных») требуют обработки данных граждан внутри национальных границ. Пути борьбы: использование отечественных сертифицированных провайдеров публичных облаков (Яндекс.Облако, VK Cloud, SberCloud) либо гибридное размещение.</w:t>
      </w:r>
    </w:p>
    <w:p>
      <w:pPr>
        <w:spacing w:before="280" w:after="160" w:line="276" w:lineRule="auto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5 Вывод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процессе выполнения лабораторной работы № 4 были детально исследованы архитектурные основы и практические возможности современных публичных облачных платформ на примере сервисов Google Cloud (Google Forms и Google Sheets).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строгом соответствии с вариантом задания № 17 (тема № 2) были успешно решены следующие задачи: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Спроектирован и развернут интерактивный вопросник «Анкета пользователя социальной сети», содержащий 10 структурированных вопросов, в том числе ровно 2 вопроса типа «Да/Нет» (не превышая установленного лимита в три вопроса), и обязательные поля идентификации респондента;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Разработан проверочный «Тест на знание физики», включающий 10 вопросов, из которых ровно 2 вопроса являются открытыми (не превышая установленного лимита в два вопроса), охватывающий ключевые разделы механики, термодинамики, электродинамики и оптики;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Проведено анкетирование и тестирование подгруппы студентов группы ЭАС-514С (10 респондентов). Данные были автоматически собраны в облачную электронную таблицу Google Sheets;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4. На втором листе электронной таблицы реализован автоматизированный алгоритм проверки правильности ответов с применением встроенной логической функции IF, расчета суммарного балла функцией SUM и назначения дифференцированной академической оценки («отлично», «хорошо», «удовлетворительно», «неудовлетворительно») по заданной шкале методички;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5. Построены графические диаграммы, отражающие распределение предпочтений респондентов и статистику академической успеваемости подгруппы (успеваемость составила 90%, средний балл — 7,9 из 10);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6. Подготовлены исчерпывающие научно обоснованные ответы на контрольные вопросы по классификации, моделям развертывания, требованиям и технико-экономическим аспектам облачных вычислений.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