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val="0"/>
          <w:i w:val="0"/>
          <w:sz w:val="28"/>
        </w:rPr>
        <w:t>Федеральное государственное бюджетное образовательное учреждение</w:t>
      </w:r>
    </w:p>
    <w:p>
      <w:pPr>
        <w:spacing w:line="276" w:lineRule="auto" w:before="0" w:after="0"/>
        <w:ind w:firstLine="0"/>
        <w:jc w:val="center"/>
      </w:pPr>
      <w:r>
        <w:rPr>
          <w:rFonts w:ascii="Times New Roman" w:hAnsi="Times New Roman"/>
          <w:b w:val="0"/>
          <w:i w:val="0"/>
          <w:sz w:val="28"/>
        </w:rPr>
        <w:t>высшего образования</w:t>
      </w:r>
    </w:p>
    <w:p>
      <w:pPr>
        <w:spacing w:line="276" w:lineRule="auto" w:before="0" w:after="0"/>
        <w:ind w:firstLine="0"/>
        <w:jc w:val="center"/>
      </w:pPr>
      <w:r>
        <w:rPr>
          <w:rFonts w:ascii="Times New Roman" w:hAnsi="Times New Roman"/>
          <w:b/>
          <w:i w:val="0"/>
          <w:sz w:val="28"/>
        </w:rPr>
        <w:t>«Уфимский университет науки и технологий»</w:t>
      </w:r>
    </w:p>
    <w:p>
      <w:pPr>
        <w:spacing w:line="240" w:lineRule="auto" w:before="0" w:after="0"/>
        <w:ind w:firstLine="0"/>
        <w:jc w:val="both"/>
      </w:pPr>
    </w:p>
    <w:p>
      <w:pPr>
        <w:spacing w:line="276" w:lineRule="auto" w:before="160" w:after="480"/>
        <w:ind w:firstLine="0"/>
        <w:jc w:val="center"/>
      </w:pPr>
      <w:r>
        <w:rPr>
          <w:rFonts w:ascii="Times New Roman" w:hAnsi="Times New Roman"/>
          <w:b w:val="0"/>
          <w:i w:val="0"/>
          <w:sz w:val="28"/>
        </w:rPr>
        <w:t>Кафедра АСУ</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76" w:lineRule="auto" w:before="0" w:after="0"/>
        <w:ind w:firstLine="0"/>
        <w:jc w:val="center"/>
      </w:pPr>
      <w:r>
        <w:rPr>
          <w:rFonts w:ascii="Times New Roman" w:hAnsi="Times New Roman"/>
          <w:b/>
          <w:i w:val="0"/>
          <w:sz w:val="32"/>
        </w:rPr>
        <w:t>ОТЧЕТ ПО ЛАБОРАТОРНОЙ РАБОТЕ № 2</w:t>
      </w:r>
    </w:p>
    <w:p>
      <w:pPr>
        <w:spacing w:line="276" w:lineRule="auto" w:before="80" w:after="80"/>
        <w:ind w:firstLine="0"/>
        <w:jc w:val="center"/>
      </w:pPr>
      <w:r>
        <w:rPr>
          <w:rFonts w:ascii="Times New Roman" w:hAnsi="Times New Roman"/>
          <w:b w:val="0"/>
          <w:i w:val="0"/>
          <w:sz w:val="26"/>
        </w:rPr>
        <w:t>по дисциплине: «Сетевые технологии автоматизации и управления» (СТАУ)</w:t>
      </w:r>
    </w:p>
    <w:p>
      <w:pPr>
        <w:spacing w:line="276" w:lineRule="auto" w:before="0" w:after="0"/>
        <w:ind w:firstLine="0"/>
        <w:jc w:val="center"/>
      </w:pPr>
      <w:r>
        <w:rPr>
          <w:rFonts w:ascii="Times New Roman" w:hAnsi="Times New Roman"/>
          <w:b/>
          <w:i w:val="0"/>
          <w:sz w:val="28"/>
        </w:rPr>
        <w:t>на тему: «Сканирование и трассировка сети»</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76" w:lineRule="auto" w:before="0" w:after="0"/>
        <w:ind w:firstLine="0"/>
        <w:jc w:val="right"/>
      </w:pPr>
      <w:r>
        <w:rPr>
          <w:rFonts w:ascii="Times New Roman" w:hAnsi="Times New Roman"/>
          <w:b w:val="0"/>
          <w:i w:val="0"/>
          <w:sz w:val="28"/>
        </w:rPr>
        <w:t>Выполнил(и):</w:t>
      </w:r>
    </w:p>
    <w:p>
      <w:pPr>
        <w:spacing w:line="276" w:lineRule="auto" w:before="0" w:after="0"/>
        <w:ind w:firstLine="0"/>
        <w:jc w:val="right"/>
      </w:pPr>
      <w:r>
        <w:rPr>
          <w:rFonts w:ascii="Times New Roman" w:hAnsi="Times New Roman"/>
          <w:b w:val="0"/>
          <w:i w:val="0"/>
          <w:sz w:val="28"/>
        </w:rPr>
        <w:t>студент(ы) гр. ЭАС-414С</w:t>
      </w:r>
    </w:p>
    <w:p>
      <w:pPr>
        <w:spacing w:line="276" w:lineRule="auto" w:before="0" w:after="0"/>
        <w:ind w:firstLine="0"/>
        <w:jc w:val="right"/>
      </w:pPr>
      <w:r>
        <w:rPr>
          <w:rFonts w:ascii="Times New Roman" w:hAnsi="Times New Roman"/>
          <w:b/>
          <w:i w:val="0"/>
          <w:sz w:val="28"/>
        </w:rPr>
        <w:t>Гарифуллин К.Р.</w:t>
      </w:r>
    </w:p>
    <w:p>
      <w:pPr>
        <w:spacing w:line="276" w:lineRule="auto" w:before="120" w:after="0"/>
        <w:ind w:firstLine="0"/>
        <w:jc w:val="right"/>
      </w:pPr>
      <w:r>
        <w:rPr>
          <w:rFonts w:ascii="Times New Roman" w:hAnsi="Times New Roman"/>
          <w:b w:val="0"/>
          <w:i w:val="0"/>
          <w:sz w:val="28"/>
        </w:rPr>
        <w:t>Проверил:</w:t>
      </w:r>
    </w:p>
    <w:p>
      <w:pPr>
        <w:spacing w:line="276" w:lineRule="auto" w:before="0" w:after="0"/>
        <w:ind w:firstLine="0"/>
        <w:jc w:val="right"/>
      </w:pPr>
      <w:r>
        <w:rPr>
          <w:rFonts w:ascii="Times New Roman" w:hAnsi="Times New Roman"/>
          <w:b w:val="0"/>
          <w:i w:val="0"/>
          <w:sz w:val="28"/>
        </w:rPr>
        <w:t>преподаватель кафедры АСУ</w:t>
      </w:r>
    </w:p>
    <w:p>
      <w:pPr>
        <w:spacing w:line="276" w:lineRule="auto" w:before="0" w:after="0"/>
        <w:ind w:firstLine="0"/>
        <w:jc w:val="right"/>
      </w:pPr>
      <w:r>
        <w:rPr>
          <w:rFonts w:ascii="Times New Roman" w:hAnsi="Times New Roman"/>
          <w:b/>
          <w:i w:val="0"/>
          <w:sz w:val="28"/>
        </w:rPr>
        <w:t>Антонов В.В.</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center"/>
      </w:pPr>
      <w:r>
        <w:rPr>
          <w:rFonts w:ascii="Times New Roman" w:hAnsi="Times New Roman"/>
          <w:b w:val="0"/>
          <w:i w:val="0"/>
          <w:sz w:val="28"/>
        </w:rPr>
        <w:t>Уфа 2026 г.</w:t>
      </w:r>
    </w:p>
    <w:p>
      <w:r>
        <w:br w:type="page"/>
      </w:r>
    </w:p>
    <w:p>
      <w:pPr>
        <w:spacing w:line="360" w:lineRule="auto" w:before="280" w:after="120"/>
        <w:ind w:firstLine="0"/>
        <w:jc w:val="left"/>
      </w:pPr>
      <w:r>
        <w:rPr>
          <w:rFonts w:ascii="Times New Roman" w:hAnsi="Times New Roman"/>
          <w:b/>
          <w:i w:val="0"/>
          <w:sz w:val="28"/>
        </w:rPr>
        <w:t>Цель работы</w:t>
      </w:r>
    </w:p>
    <w:p>
      <w:pPr>
        <w:spacing w:line="360" w:lineRule="auto" w:before="0" w:after="0"/>
        <w:ind w:firstLine="709"/>
        <w:jc w:val="both"/>
      </w:pPr>
      <w:r>
        <w:rPr>
          <w:rFonts w:ascii="Times New Roman" w:hAnsi="Times New Roman"/>
          <w:b w:val="0"/>
          <w:i w:val="0"/>
          <w:sz w:val="28"/>
        </w:rPr>
        <w:t>Изучить базовые системные утилиты командной строки сетевого администрирования операционных систем семейства Windows (IPConfig, Ping, Netstat, Tracert); освоить принципы и механизмы адресации и маршрутизации дейтаграмм в гетерогенных сетях стека протоколов TCP/IP; исследовать таблицу маршрутизации IPv4/IPv6 и активные сетевые подключения конечного узла; приобрести практические навыки аудита безопасности, сканирования открытых портов (TCP/UDP), обнаружения функционирующих служб и сетевых ресурсов; выполнить трассировку исходящих маршрутов к удаленным серверам в четырех регионах мира (Северная Америка, Восточная Азия, Западная Европа, Австралия) и встречной входящей трассировки к серверу университета (УУНиТ / УГАТУ); освоить идентификацию промежуточных транзитных узлов и автономных систем (ASN) с помощью сервиса Whois, проанализировать топологические точки ветвления и схождения маршрутов, а также визуализировать глобальные географические траектории передачи данных с использованием картографических сервисов GeoTrace.</w:t>
      </w:r>
    </w:p>
    <w:p>
      <w:pPr>
        <w:spacing w:line="360" w:lineRule="auto" w:before="280" w:after="120"/>
        <w:ind w:firstLine="0"/>
        <w:jc w:val="left"/>
      </w:pPr>
      <w:r>
        <w:rPr>
          <w:rFonts w:ascii="Times New Roman" w:hAnsi="Times New Roman"/>
          <w:b/>
          <w:i w:val="0"/>
          <w:sz w:val="28"/>
        </w:rPr>
        <w:t>1 Краткие теоретические сведения</w:t>
      </w:r>
    </w:p>
    <w:p>
      <w:pPr>
        <w:spacing w:line="360" w:lineRule="auto" w:before="200" w:after="80"/>
        <w:ind w:firstLine="0"/>
        <w:jc w:val="left"/>
      </w:pPr>
      <w:r>
        <w:rPr>
          <w:rFonts w:ascii="Times New Roman" w:hAnsi="Times New Roman"/>
          <w:b/>
          <w:i w:val="0"/>
          <w:sz w:val="28"/>
        </w:rPr>
        <w:t>1.1 Утилита IPConfig и протоколы DHCP / DNS</w:t>
      </w:r>
    </w:p>
    <w:p>
      <w:pPr>
        <w:spacing w:line="360" w:lineRule="auto" w:before="0" w:after="0"/>
        <w:ind w:firstLine="709"/>
        <w:jc w:val="both"/>
      </w:pPr>
      <w:r>
        <w:rPr>
          <w:rFonts w:ascii="Times New Roman" w:hAnsi="Times New Roman"/>
          <w:b w:val="0"/>
          <w:i w:val="0"/>
          <w:sz w:val="28"/>
        </w:rPr>
        <w:t>Утилита IPConfig представляет собой консольный программный инструмент для отображения и управления параметрами сетевых интерфейсов стека протоколов TCP/IP в операционных системах семейства Microsoft Windows. В современных телекоммуникационных средах IPConfig позволяет оперативно диагностировать корректность получения сетевых параметров (IP-адрес хоста, маска подсети, IP-адрес шлюза по умолчанию, адреса первичного и вторичного DNS-серверов), полученных автоматически по протоколу динамического конфигурирования узлов DHCP (Dynamic Host Configuration Protocol), сгенерированных службой APIPA (Automatic Private IP Addressing, диапазон 169.254.0.0/16) или назначенных статически системным администратором.</w:t>
      </w:r>
    </w:p>
    <w:p>
      <w:pPr>
        <w:spacing w:line="360" w:lineRule="auto" w:before="0" w:after="0"/>
        <w:ind w:firstLine="709"/>
        <w:jc w:val="both"/>
      </w:pPr>
      <w:r>
        <w:rPr>
          <w:rFonts w:ascii="Times New Roman" w:hAnsi="Times New Roman"/>
          <w:b w:val="0"/>
          <w:i w:val="0"/>
          <w:sz w:val="28"/>
        </w:rPr>
        <w:t>Ключевыми функциональными параметрами утилиты являются: ключ /all — вывод детальной конфигурации по всем физическим и виртуальным адаптерам; ключи /release и /renew — процедура освобождения и повторного запроса арендного IP-адреса у DHCP-сервера; /flushdns — принудительная очистка содержимого локального кэша службы распознавания доменных имен DNS Resolver Cache; /displaydns — вывод записей кэша DNS с указанием типа ресурсной записи (A, AAAA, CNAME) и времени жизни TTL (Time To Live).</w:t>
      </w:r>
    </w:p>
    <w:p>
      <w:pPr>
        <w:spacing w:line="360" w:lineRule="auto" w:before="200" w:after="80"/>
        <w:ind w:firstLine="0"/>
        <w:jc w:val="left"/>
      </w:pPr>
      <w:r>
        <w:rPr>
          <w:rFonts w:ascii="Times New Roman" w:hAnsi="Times New Roman"/>
          <w:b/>
          <w:i w:val="0"/>
          <w:sz w:val="28"/>
        </w:rPr>
        <w:t>1.2 Протокол ICMP и диагностическая утилита Ping</w:t>
      </w:r>
    </w:p>
    <w:p>
      <w:pPr>
        <w:spacing w:line="360" w:lineRule="auto" w:before="0" w:after="0"/>
        <w:ind w:firstLine="709"/>
        <w:jc w:val="both"/>
      </w:pPr>
      <w:r>
        <w:rPr>
          <w:rFonts w:ascii="Times New Roman" w:hAnsi="Times New Roman"/>
          <w:b w:val="0"/>
          <w:i w:val="0"/>
          <w:sz w:val="28"/>
        </w:rPr>
        <w:t>Ping является фундаментальной сетевой утилитой для проверки доступности узлов и оценки качества сквозного канала передачи данных в сетях TCP/IP. Ее функционирование базируется на межсетевом протоколе управляющих сообщений ICMP (Internet Control Message Protocol, RFC 792). При выполнении команды локальный хост генерирует пакет ICMP Echo-Request (тип 8, код 0) и направляет его целевому IP-адресу. Целевой узел при получении запроса формирует ответный пакет ICMP Echo-Reply (тип 0, код 0). Фиксация интервала времени между отправкой запроса и приемом отклика позволяет вычислить двустороннюю задержку RTT (Round Trip Time) в миллисекундах, а процент неполученных пакетов определяет долю потерь данных (Packet Loss Ratio).</w:t>
      </w:r>
    </w:p>
    <w:p>
      <w:pPr>
        <w:spacing w:line="360" w:lineRule="auto" w:before="0" w:after="0"/>
        <w:ind w:firstLine="709"/>
        <w:jc w:val="both"/>
      </w:pPr>
      <w:r>
        <w:rPr>
          <w:rFonts w:ascii="Times New Roman" w:hAnsi="Times New Roman"/>
          <w:b w:val="0"/>
          <w:i w:val="0"/>
          <w:sz w:val="28"/>
        </w:rPr>
        <w:t>Этимологически наименование программы восходит к звуковому импульсу гидролокатора (сонара), фиксирующему отражение акустической волны от подводного объекта. Программа была разработана Майком Мууссом в Баллистической исследовательской лаборатории США в 1983 году. Полное отсутствие откликов (100% потерь) не обязательно свидетельствует о недоступности целевого хоста: современные межсетевые экраны (Firewall), шлюзы безопасности и граничные маршрутизаторы зачастую намеренно фильтруют или сбрасывают трафик ICMP для предотвращения атак типа Ping of Death, ICMP Flood и несанкционированного сканирования топологии.</w:t>
      </w:r>
    </w:p>
    <w:p>
      <w:pPr>
        <w:spacing w:line="360" w:lineRule="auto" w:before="200" w:after="80"/>
        <w:ind w:firstLine="0"/>
        <w:jc w:val="left"/>
      </w:pPr>
      <w:r>
        <w:rPr>
          <w:rFonts w:ascii="Times New Roman" w:hAnsi="Times New Roman"/>
          <w:b/>
          <w:i w:val="0"/>
          <w:sz w:val="28"/>
        </w:rPr>
        <w:t>1.3 Утилита Netstat и модель состояний транспортного протокола TCP</w:t>
      </w:r>
    </w:p>
    <w:p>
      <w:pPr>
        <w:spacing w:line="360" w:lineRule="auto" w:before="0" w:after="0"/>
        <w:ind w:firstLine="709"/>
        <w:jc w:val="both"/>
      </w:pPr>
      <w:r>
        <w:rPr>
          <w:rFonts w:ascii="Times New Roman" w:hAnsi="Times New Roman"/>
          <w:b w:val="0"/>
          <w:i w:val="0"/>
          <w:sz w:val="28"/>
        </w:rPr>
        <w:t>Утилита Netstat (Network Statistics) предназначена для отображения текущих сетевых соединений TCP/IP, прослушиваемых сетевых портов, таблиц маршрутизации, а также детальной статистики работы сетевых интерфейсов и протоколов IP, ICMP, TCP и UDP. Для протокола гарантированной доставки TCP утилита фиксирует текущее состояние сокетов в соответствии с конечным автоматом спецификации RFC 793:</w:t>
      </w:r>
    </w:p>
    <w:p>
      <w:pPr>
        <w:spacing w:line="360" w:lineRule="auto" w:before="0" w:after="0"/>
        <w:ind w:firstLine="709"/>
        <w:jc w:val="both"/>
      </w:pPr>
      <w:r>
        <w:rPr>
          <w:rFonts w:ascii="Times New Roman" w:hAnsi="Times New Roman"/>
          <w:b w:val="0"/>
          <w:i w:val="0"/>
          <w:sz w:val="28"/>
        </w:rPr>
        <w:t>– LISTENING: сокет находится в пассивном режиме ожидания входящего запроса на соединение от удаленного клиента;</w:t>
      </w:r>
    </w:p>
    <w:p>
      <w:pPr>
        <w:spacing w:line="360" w:lineRule="auto" w:before="0" w:after="0"/>
        <w:ind w:firstLine="709"/>
        <w:jc w:val="both"/>
      </w:pPr>
      <w:r>
        <w:rPr>
          <w:rFonts w:ascii="Times New Roman" w:hAnsi="Times New Roman"/>
          <w:b w:val="0"/>
          <w:i w:val="0"/>
          <w:sz w:val="28"/>
        </w:rPr>
        <w:t>– SYN_SENT: отправлен запрос на установление соединения (SYN-пакет), ожидается подтверждение;</w:t>
      </w:r>
    </w:p>
    <w:p>
      <w:pPr>
        <w:spacing w:line="360" w:lineRule="auto" w:before="0" w:after="0"/>
        <w:ind w:firstLine="709"/>
        <w:jc w:val="both"/>
      </w:pPr>
      <w:r>
        <w:rPr>
          <w:rFonts w:ascii="Times New Roman" w:hAnsi="Times New Roman"/>
          <w:b w:val="0"/>
          <w:i w:val="0"/>
          <w:sz w:val="28"/>
        </w:rPr>
        <w:t>– ESTABLISHED: трехэтапное рукопожатие (Three-Way Handshake) успешно завершено, сессия активна, осуществляется двунаправленный обмен прикладными данными;</w:t>
      </w:r>
    </w:p>
    <w:p>
      <w:pPr>
        <w:spacing w:line="360" w:lineRule="auto" w:before="0" w:after="0"/>
        <w:ind w:firstLine="709"/>
        <w:jc w:val="both"/>
      </w:pPr>
      <w:r>
        <w:rPr>
          <w:rFonts w:ascii="Times New Roman" w:hAnsi="Times New Roman"/>
          <w:b w:val="0"/>
          <w:i w:val="0"/>
          <w:sz w:val="28"/>
        </w:rPr>
        <w:t>– CLOSE_WAIT: удаленная сторона инициировала разрыв соединения (получен FIN), локальное приложение уведомлено и готовит закрытие сокета;</w:t>
      </w:r>
    </w:p>
    <w:p>
      <w:pPr>
        <w:spacing w:line="360" w:lineRule="auto" w:before="0" w:after="0"/>
        <w:ind w:firstLine="709"/>
        <w:jc w:val="both"/>
      </w:pPr>
      <w:r>
        <w:rPr>
          <w:rFonts w:ascii="Times New Roman" w:hAnsi="Times New Roman"/>
          <w:b w:val="0"/>
          <w:i w:val="0"/>
          <w:sz w:val="28"/>
        </w:rPr>
        <w:t>– TIME_WAIT: соединение закрыто локальной стороной, сокет удерживается в течение двойного максимального времени жизни сегмента (2MSL, обычно 1–2 минуты) для гарантии того, что задержавшиеся в сети дубликаты пакетов не нарушат работу будущих соединений.</w:t>
      </w:r>
    </w:p>
    <w:p>
      <w:pPr>
        <w:spacing w:line="360" w:lineRule="auto" w:before="200" w:after="80"/>
        <w:ind w:firstLine="0"/>
        <w:jc w:val="left"/>
      </w:pPr>
      <w:r>
        <w:rPr>
          <w:rFonts w:ascii="Times New Roman" w:hAnsi="Times New Roman"/>
          <w:b/>
          <w:i w:val="0"/>
          <w:sz w:val="28"/>
        </w:rPr>
        <w:t>1.4 Программные средства аудита и сканирования безопасности</w:t>
      </w:r>
    </w:p>
    <w:p>
      <w:pPr>
        <w:spacing w:line="360" w:lineRule="auto" w:before="0" w:after="0"/>
        <w:ind w:firstLine="709"/>
        <w:jc w:val="both"/>
      </w:pPr>
      <w:r>
        <w:rPr>
          <w:rFonts w:ascii="Times New Roman" w:hAnsi="Times New Roman"/>
          <w:b w:val="0"/>
          <w:i w:val="0"/>
          <w:sz w:val="28"/>
        </w:rPr>
        <w:t>Программный комплекс Shadow Security Scanner (а также современные анализаторы портов и уязвимостей, такие как Nmap, Nessus, OpenVAS) предназначен для комплексного аудита защищенности телекоммуникационных узлов. Сканеры безопасности реализуют следующие ключевые процедуры:</w:t>
      </w:r>
    </w:p>
    <w:p>
      <w:pPr>
        <w:spacing w:line="360" w:lineRule="auto" w:before="0" w:after="0"/>
        <w:ind w:firstLine="709"/>
        <w:jc w:val="both"/>
      </w:pPr>
      <w:r>
        <w:rPr>
          <w:rFonts w:ascii="Times New Roman" w:hAnsi="Times New Roman"/>
          <w:b w:val="0"/>
          <w:i w:val="0"/>
          <w:sz w:val="28"/>
        </w:rPr>
        <w:t>1) Сканирование диапазона TCP/UDP портов: выявление открытых служб методом попытки подключения (TCP Connect scan, SYN Stealth scan, UDP port scan);</w:t>
      </w:r>
    </w:p>
    <w:p>
      <w:pPr>
        <w:spacing w:line="360" w:lineRule="auto" w:before="0" w:after="0"/>
        <w:ind w:firstLine="709"/>
        <w:jc w:val="both"/>
      </w:pPr>
      <w:r>
        <w:rPr>
          <w:rFonts w:ascii="Times New Roman" w:hAnsi="Times New Roman"/>
          <w:b w:val="0"/>
          <w:i w:val="0"/>
          <w:sz w:val="28"/>
        </w:rPr>
        <w:t>2) Идентификация версий операционных систем и сетевых демонов (OS Fingerprinting / Banner Grabbing);</w:t>
      </w:r>
    </w:p>
    <w:p>
      <w:pPr>
        <w:spacing w:line="360" w:lineRule="auto" w:before="0" w:after="0"/>
        <w:ind w:firstLine="709"/>
        <w:jc w:val="both"/>
      </w:pPr>
      <w:r>
        <w:rPr>
          <w:rFonts w:ascii="Times New Roman" w:hAnsi="Times New Roman"/>
          <w:b w:val="0"/>
          <w:i w:val="0"/>
          <w:sz w:val="28"/>
        </w:rPr>
        <w:t>3) Анализ открытых общедоступных ресурсов (сетевые папки SMB, скрытые административные ресурсы C$, ADMIN$, IPC$);</w:t>
      </w:r>
    </w:p>
    <w:p>
      <w:pPr>
        <w:spacing w:line="360" w:lineRule="auto" w:before="0" w:after="0"/>
        <w:ind w:firstLine="709"/>
        <w:jc w:val="both"/>
      </w:pPr>
      <w:r>
        <w:rPr>
          <w:rFonts w:ascii="Times New Roman" w:hAnsi="Times New Roman"/>
          <w:b w:val="0"/>
          <w:i w:val="0"/>
          <w:sz w:val="28"/>
        </w:rPr>
        <w:t>4) Инвентаризация учетных записей пользователей и системных привилегий;</w:t>
      </w:r>
    </w:p>
    <w:p>
      <w:pPr>
        <w:spacing w:line="360" w:lineRule="auto" w:before="0" w:after="0"/>
        <w:ind w:firstLine="709"/>
        <w:jc w:val="both"/>
      </w:pPr>
      <w:r>
        <w:rPr>
          <w:rFonts w:ascii="Times New Roman" w:hAnsi="Times New Roman"/>
          <w:b w:val="0"/>
          <w:i w:val="0"/>
          <w:sz w:val="28"/>
        </w:rPr>
        <w:t>5) Оценка уязвимостей по базам сигнатур CVE (слабые пароли, устаревшие протоколы SSL/TLS, открытые интерфейсы удаленного администрирования RDP/VNC/RPC).</w:t>
      </w:r>
    </w:p>
    <w:p>
      <w:pPr>
        <w:spacing w:line="360" w:lineRule="auto" w:before="200" w:after="80"/>
        <w:ind w:firstLine="0"/>
        <w:jc w:val="left"/>
      </w:pPr>
      <w:r>
        <w:rPr>
          <w:rFonts w:ascii="Times New Roman" w:hAnsi="Times New Roman"/>
          <w:b/>
          <w:i w:val="0"/>
          <w:sz w:val="28"/>
        </w:rPr>
        <w:t>1.5 Механизм трассировки Tracert / Traceroute и поле TTL</w:t>
      </w:r>
    </w:p>
    <w:p>
      <w:pPr>
        <w:spacing w:line="360" w:lineRule="auto" w:before="0" w:after="0"/>
        <w:ind w:firstLine="709"/>
        <w:jc w:val="both"/>
      </w:pPr>
      <w:r>
        <w:rPr>
          <w:rFonts w:ascii="Times New Roman" w:hAnsi="Times New Roman"/>
          <w:b w:val="0"/>
          <w:i w:val="0"/>
          <w:sz w:val="28"/>
        </w:rPr>
        <w:t>Утилита Tracert (в ОС Windows) и Traceroute (в Unix/Linux) позволяет восстановить последовательность промежуточных маршрутизаторов (hops, «прыжков») на пути следования пакета от источника к адресату. В основе алгоритма лежит управление 8-битным полем TTL (Time To Live — время жизни) в IP-заголовке. Каждый транзитный маршрутизатор при пересылке дейтаграммы декрементирует значение TTL на единицу. Если значение TTL достигает нуля (TTL = 0), маршрутизатор отбрасывает пакет и генерирует источнику служебное сообщение ICMP Time Exceeded (тип 11, код 0).</w:t>
      </w:r>
    </w:p>
    <w:p>
      <w:pPr>
        <w:spacing w:line="360" w:lineRule="auto" w:before="0" w:after="0"/>
        <w:ind w:firstLine="709"/>
        <w:jc w:val="both"/>
      </w:pPr>
      <w:r>
        <w:rPr>
          <w:rFonts w:ascii="Times New Roman" w:hAnsi="Times New Roman"/>
          <w:b w:val="0"/>
          <w:i w:val="0"/>
          <w:sz w:val="28"/>
        </w:rPr>
        <w:t>Принцип работы Tracert: утилита отправляет серию пакетов (обычно 3 штуки) с TTL = 1. Первый же шлюз возвращает ICMP Time Exceeded, раскрывая свой IP-адрес и позволяя замерить RTT. Затем отправляется серия с TTL = 2, достигая второго маршрутизатора, и так далее. Процесс завершается при достижении целевого узла (в Windows отправляются пакеты ICMP Echo, а целевой хост отвечает ICMP Echo-Reply; в Unix отправляются UDP-пакеты на порты выше 33434, а целевой хост отвечает ICMP Destination Unreachable / Port Unreachable). Трассировка маршрутов носит асимметричный характер: обратный путь от адресата к источнику может проходить через совершенно иную цепочку автономных систем согласно политикам динамической маршрутизации BGP.</w:t>
      </w:r>
    </w:p>
    <w:p>
      <w:pPr>
        <w:spacing w:line="360" w:lineRule="auto" w:before="200" w:after="80"/>
        <w:ind w:firstLine="0"/>
        <w:jc w:val="left"/>
      </w:pPr>
      <w:r>
        <w:rPr>
          <w:rFonts w:ascii="Times New Roman" w:hAnsi="Times New Roman"/>
          <w:b/>
          <w:i w:val="0"/>
          <w:sz w:val="28"/>
        </w:rPr>
        <w:t>1.6 Глобальный регистрационный сервис Whois и иерархия RIR</w:t>
      </w:r>
    </w:p>
    <w:p>
      <w:pPr>
        <w:spacing w:line="360" w:lineRule="auto" w:before="0" w:after="0"/>
        <w:ind w:firstLine="709"/>
        <w:jc w:val="both"/>
      </w:pPr>
      <w:r>
        <w:rPr>
          <w:rFonts w:ascii="Times New Roman" w:hAnsi="Times New Roman"/>
          <w:b w:val="0"/>
          <w:i w:val="0"/>
          <w:sz w:val="28"/>
        </w:rPr>
        <w:t>Whois (порт TCP 43, RFC 3912) представляет собой сетевой протокол прикладного уровня, предназначенный для запроса регистрационных данных о владельцах доменных имен, диапазонов IP-адресов и автономных систем (ASN — Autonomous System Number). Управление адресным пространством сети Интернет осуществляет корпорация IANA/ICANN через пять континентальных региональных интернет-регистраторов (RIR — Regional Internet Registry):</w:t>
      </w:r>
    </w:p>
    <w:p>
      <w:pPr>
        <w:spacing w:line="360" w:lineRule="auto" w:before="0" w:after="0"/>
        <w:ind w:firstLine="709"/>
        <w:jc w:val="both"/>
      </w:pPr>
      <w:r>
        <w:rPr>
          <w:rFonts w:ascii="Times New Roman" w:hAnsi="Times New Roman"/>
          <w:b w:val="0"/>
          <w:i w:val="0"/>
          <w:sz w:val="28"/>
        </w:rPr>
        <w:t>1) RIPE NCC — Европа, Ближний Восток, Центральная Азия и Российская Федерация;</w:t>
      </w:r>
    </w:p>
    <w:p>
      <w:pPr>
        <w:spacing w:line="360" w:lineRule="auto" w:before="0" w:after="0"/>
        <w:ind w:firstLine="709"/>
        <w:jc w:val="both"/>
      </w:pPr>
      <w:r>
        <w:rPr>
          <w:rFonts w:ascii="Times New Roman" w:hAnsi="Times New Roman"/>
          <w:b w:val="0"/>
          <w:i w:val="0"/>
          <w:sz w:val="28"/>
        </w:rPr>
        <w:t>2) ARIN — Северная Америка (США, Канада);</w:t>
      </w:r>
    </w:p>
    <w:p>
      <w:pPr>
        <w:spacing w:line="360" w:lineRule="auto" w:before="0" w:after="0"/>
        <w:ind w:firstLine="709"/>
        <w:jc w:val="both"/>
      </w:pPr>
      <w:r>
        <w:rPr>
          <w:rFonts w:ascii="Times New Roman" w:hAnsi="Times New Roman"/>
          <w:b w:val="0"/>
          <w:i w:val="0"/>
          <w:sz w:val="28"/>
        </w:rPr>
        <w:t>3) APNIC — Азиатско-Тихоокеанский регион (Япония, Австралия, Китай);</w:t>
      </w:r>
    </w:p>
    <w:p>
      <w:pPr>
        <w:spacing w:line="360" w:lineRule="auto" w:before="0" w:after="0"/>
        <w:ind w:firstLine="709"/>
        <w:jc w:val="both"/>
      </w:pPr>
      <w:r>
        <w:rPr>
          <w:rFonts w:ascii="Times New Roman" w:hAnsi="Times New Roman"/>
          <w:b w:val="0"/>
          <w:i w:val="0"/>
          <w:sz w:val="28"/>
        </w:rPr>
        <w:t>4) LACNIC — Латинская Америка и страны Карибского бассейна;</w:t>
      </w:r>
    </w:p>
    <w:p>
      <w:pPr>
        <w:spacing w:line="360" w:lineRule="auto" w:before="0" w:after="0"/>
        <w:ind w:firstLine="709"/>
        <w:jc w:val="both"/>
      </w:pPr>
      <w:r>
        <w:rPr>
          <w:rFonts w:ascii="Times New Roman" w:hAnsi="Times New Roman"/>
          <w:b w:val="0"/>
          <w:i w:val="0"/>
          <w:sz w:val="28"/>
        </w:rPr>
        <w:t>5) AFRINIC — Африканский континент.</w:t>
      </w:r>
    </w:p>
    <w:p>
      <w:pPr>
        <w:spacing w:line="360" w:lineRule="auto" w:before="200" w:after="80"/>
        <w:ind w:firstLine="0"/>
        <w:jc w:val="left"/>
      </w:pPr>
      <w:r>
        <w:rPr>
          <w:rFonts w:ascii="Times New Roman" w:hAnsi="Times New Roman"/>
          <w:b/>
          <w:i w:val="0"/>
          <w:sz w:val="28"/>
        </w:rPr>
        <w:t>1.7 Сервисы геолокации и визуализации сетевых маршрутов (GeoTrace)</w:t>
      </w:r>
    </w:p>
    <w:p>
      <w:pPr>
        <w:spacing w:line="360" w:lineRule="auto" w:before="0" w:after="0"/>
        <w:ind w:firstLine="709"/>
        <w:jc w:val="both"/>
      </w:pPr>
      <w:r>
        <w:rPr>
          <w:rFonts w:ascii="Times New Roman" w:hAnsi="Times New Roman"/>
          <w:b w:val="0"/>
          <w:i w:val="0"/>
          <w:sz w:val="28"/>
        </w:rPr>
        <w:t>Сервис GeoTrace выполняет сопоставление IP-адресов промежуточных маршрутизаторов с физическими географическими координатами (широта, долгота, город, страна) на основе глобальных баз данных GeoIP (MaxMind GeoLite2, IP2Location). Это позволяет отобразить траекторию передачи сетевых пакетов на мировой карте. Географическая задержка RTT напрямую коррелирует с физической длиной волоконно-оптических линий связи: скорость распространения света в стекле кабеля составляет около 200 000 км/с (примерно 5 мс на 1000 км), к чему добавляются задержки очередей, буферизации и аппаратно-программной коммутации на транзитных узлах.</w:t>
      </w:r>
    </w:p>
    <w:p>
      <w:pPr>
        <w:spacing w:line="360" w:lineRule="auto" w:before="280" w:after="120"/>
        <w:ind w:firstLine="0"/>
        <w:jc w:val="left"/>
      </w:pPr>
      <w:r>
        <w:rPr>
          <w:rFonts w:ascii="Times New Roman" w:hAnsi="Times New Roman"/>
          <w:b/>
          <w:i w:val="0"/>
          <w:sz w:val="28"/>
        </w:rPr>
        <w:t>2 Ход выполнения работы</w:t>
      </w:r>
    </w:p>
    <w:p>
      <w:pPr>
        <w:spacing w:line="360" w:lineRule="auto" w:before="200" w:after="80"/>
        <w:ind w:firstLine="0"/>
        <w:jc w:val="left"/>
      </w:pPr>
      <w:r>
        <w:rPr>
          <w:rFonts w:ascii="Times New Roman" w:hAnsi="Times New Roman"/>
          <w:b/>
          <w:i w:val="0"/>
          <w:sz w:val="28"/>
        </w:rPr>
        <w:t>2.1 Исследование локальной сетевой конфигурации и опрос узлов подсети утилитой Ping</w:t>
      </w:r>
    </w:p>
    <w:p>
      <w:pPr>
        <w:spacing w:line="360" w:lineRule="auto" w:before="0" w:after="0"/>
        <w:ind w:firstLine="709"/>
        <w:jc w:val="both"/>
      </w:pPr>
      <w:r>
        <w:rPr>
          <w:rFonts w:ascii="Times New Roman" w:hAnsi="Times New Roman"/>
          <w:b w:val="0"/>
          <w:i w:val="0"/>
          <w:sz w:val="28"/>
        </w:rPr>
        <w:t>На первом этапе работы было проведено комплексное исследование сетевых интерфейсов локального рабочего компьютера с помощью утилиты ipconfig /all. В таблице 1 представлены параметры основных активных сетевых адаптеров хоста.</w:t>
      </w:r>
    </w:p>
    <w:tbl>
      <w:tblPr>
        <w:tblW w:type="auto" w:w="0"/>
        <w:jc w:val="center"/>
        <w:tblLook w:firstColumn="1" w:firstRow="1" w:lastColumn="0" w:lastRow="0" w:noHBand="0" w:noVBand="1" w:val="04A0"/>
        <w:tblBorders>
          <w:top w:val="single" w:sz="4" w:space="0" w:color="B0C0D0"/>
          <w:left w:val="single" w:sz="4" w:space="0" w:color="B0C0D0"/>
          <w:bottom w:val="single" w:sz="4" w:space="0" w:color="B0C0D0"/>
          <w:right w:val="single" w:sz="4" w:space="0" w:color="B0C0D0"/>
          <w:insideH w:val="single" w:sz="4" w:space="0" w:color="B0C0D0"/>
          <w:insideV w:val="single" w:sz="4" w:space="0" w:color="B0C0D0"/>
        </w:tblBorders>
      </w:tblPr>
      <w:tblGrid>
        <w:gridCol w:w="2339"/>
        <w:gridCol w:w="2339"/>
        <w:gridCol w:w="2339"/>
        <w:gridCol w:w="2339"/>
      </w:tblGrid>
      <w:tr>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Имя интерфейса</w:t>
            </w:r>
          </w:p>
        </w:tc>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IP-адрес / Маска</w:t>
            </w:r>
          </w:p>
        </w:tc>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Основной шлюз</w:t>
            </w:r>
          </w:p>
        </w:tc>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Режим работы</w:t>
            </w:r>
          </w:p>
        </w:tc>
      </w:tr>
      <w:tr>
        <w:tc>
          <w:tcPr>
            <w:tcW w:type="dxa" w:w="2339"/>
            <w:tcMar>
              <w:top w:w="80" w:type="dxa"/>
              <w:bottom w:w="80" w:type="dxa"/>
              <w:left w:w="140" w:type="dxa"/>
              <w:right w:w="140" w:type="dxa"/>
            </w:tcMar>
            <w:shd w:fill="F4F6F9"/>
          </w:tcPr>
          <w:p>
            <w:pPr>
              <w:jc w:val="left"/>
            </w:pPr>
            <w:r>
              <w:rPr>
                <w:rFonts w:ascii="Times New Roman" w:hAnsi="Times New Roman"/>
                <w:b w:val="0"/>
                <w:i w:val="0"/>
                <w:sz w:val="19"/>
              </w:rPr>
              <w:t>Wi-Fi 6E (RZ608 80MHz)</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10.160.151.252 / 255.255.192.0</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10.160.128.1</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DHCP клиент (Физический адаптер)</w:t>
            </w:r>
          </w:p>
        </w:tc>
      </w:tr>
      <w:tr>
        <w:tc>
          <w:tcPr>
            <w:tcW w:type="dxa" w:w="2339"/>
            <w:tcMar>
              <w:top w:w="80" w:type="dxa"/>
              <w:bottom w:w="80" w:type="dxa"/>
              <w:left w:w="140" w:type="dxa"/>
              <w:right w:w="140" w:type="dxa"/>
            </w:tcMar>
          </w:tcPr>
          <w:p>
            <w:pPr>
              <w:jc w:val="left"/>
            </w:pPr>
            <w:r>
              <w:rPr>
                <w:rFonts w:ascii="Times New Roman" w:hAnsi="Times New Roman"/>
                <w:b w:val="0"/>
                <w:i w:val="0"/>
                <w:sz w:val="19"/>
              </w:rPr>
              <w:t>VirtualBox Host-Only</w:t>
            </w:r>
          </w:p>
        </w:tc>
        <w:tc>
          <w:tcPr>
            <w:tcW w:type="dxa" w:w="2339"/>
            <w:tcMar>
              <w:top w:w="80" w:type="dxa"/>
              <w:bottom w:w="80" w:type="dxa"/>
              <w:left w:w="140" w:type="dxa"/>
              <w:right w:w="140" w:type="dxa"/>
            </w:tcMar>
          </w:tcPr>
          <w:p>
            <w:pPr>
              <w:jc w:val="center"/>
            </w:pPr>
            <w:r>
              <w:rPr>
                <w:rFonts w:ascii="Times New Roman" w:hAnsi="Times New Roman"/>
                <w:b w:val="0"/>
                <w:i w:val="0"/>
                <w:sz w:val="19"/>
              </w:rPr>
              <w:t>192.168.56.1 / 255.255.255.0</w:t>
            </w:r>
          </w:p>
        </w:tc>
        <w:tc>
          <w:tcPr>
            <w:tcW w:type="dxa" w:w="2339"/>
            <w:tcMar>
              <w:top w:w="80" w:type="dxa"/>
              <w:bottom w:w="80" w:type="dxa"/>
              <w:left w:w="140" w:type="dxa"/>
              <w:right w:w="140" w:type="dxa"/>
            </w:tcMar>
          </w:tcPr>
          <w:p>
            <w:pPr>
              <w:jc w:val="center"/>
            </w:pPr>
            <w:r>
              <w:rPr>
                <w:rFonts w:ascii="Times New Roman" w:hAnsi="Times New Roman"/>
                <w:b w:val="0"/>
                <w:i w:val="0"/>
                <w:sz w:val="19"/>
              </w:rPr>
              <w:t>Отсутствует</w:t>
            </w:r>
          </w:p>
        </w:tc>
        <w:tc>
          <w:tcPr>
            <w:tcW w:type="dxa" w:w="2339"/>
            <w:tcMar>
              <w:top w:w="80" w:type="dxa"/>
              <w:bottom w:w="80" w:type="dxa"/>
              <w:left w:w="140" w:type="dxa"/>
              <w:right w:w="140" w:type="dxa"/>
            </w:tcMar>
          </w:tcPr>
          <w:p>
            <w:pPr>
              <w:jc w:val="center"/>
            </w:pPr>
            <w:r>
              <w:rPr>
                <w:rFonts w:ascii="Times New Roman" w:hAnsi="Times New Roman"/>
                <w:b w:val="0"/>
                <w:i w:val="0"/>
                <w:sz w:val="19"/>
              </w:rPr>
              <w:t>Локальная виртуальная сеть</w:t>
            </w:r>
          </w:p>
        </w:tc>
      </w:tr>
      <w:tr>
        <w:tc>
          <w:tcPr>
            <w:tcW w:type="dxa" w:w="2339"/>
            <w:tcMar>
              <w:top w:w="80" w:type="dxa"/>
              <w:bottom w:w="80" w:type="dxa"/>
              <w:left w:w="140" w:type="dxa"/>
              <w:right w:w="140" w:type="dxa"/>
            </w:tcMar>
            <w:shd w:fill="F4F6F9"/>
          </w:tcPr>
          <w:p>
            <w:pPr>
              <w:jc w:val="left"/>
            </w:pPr>
            <w:r>
              <w:rPr>
                <w:rFonts w:ascii="Times New Roman" w:hAnsi="Times New Roman"/>
                <w:b w:val="0"/>
                <w:i w:val="0"/>
                <w:sz w:val="19"/>
              </w:rPr>
              <w:t>Happ-xray Tunnel (TUN)</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172.19.0.1 / 255.255.255.252</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0.0.0.0</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Маршрутизируемый прокси-интерфейс</w:t>
            </w:r>
          </w:p>
        </w:tc>
      </w:tr>
      <w:tr>
        <w:tc>
          <w:tcPr>
            <w:tcW w:type="dxa" w:w="2339"/>
            <w:tcMar>
              <w:top w:w="80" w:type="dxa"/>
              <w:bottom w:w="80" w:type="dxa"/>
              <w:left w:w="140" w:type="dxa"/>
              <w:right w:w="140" w:type="dxa"/>
            </w:tcMar>
          </w:tcPr>
          <w:p>
            <w:pPr>
              <w:jc w:val="left"/>
            </w:pPr>
            <w:r>
              <w:rPr>
                <w:rFonts w:ascii="Times New Roman" w:hAnsi="Times New Roman"/>
                <w:b w:val="0"/>
                <w:i w:val="0"/>
                <w:sz w:val="19"/>
              </w:rPr>
              <w:t>Loopback (lo0)</w:t>
            </w:r>
          </w:p>
        </w:tc>
        <w:tc>
          <w:tcPr>
            <w:tcW w:type="dxa" w:w="2339"/>
            <w:tcMar>
              <w:top w:w="80" w:type="dxa"/>
              <w:bottom w:w="80" w:type="dxa"/>
              <w:left w:w="140" w:type="dxa"/>
              <w:right w:w="140" w:type="dxa"/>
            </w:tcMar>
          </w:tcPr>
          <w:p>
            <w:pPr>
              <w:jc w:val="center"/>
            </w:pPr>
            <w:r>
              <w:rPr>
                <w:rFonts w:ascii="Times New Roman" w:hAnsi="Times New Roman"/>
                <w:b w:val="0"/>
                <w:i w:val="0"/>
                <w:sz w:val="19"/>
              </w:rPr>
              <w:t>127.0.0.1 / 255.0.0.0</w:t>
            </w:r>
          </w:p>
        </w:tc>
        <w:tc>
          <w:tcPr>
            <w:tcW w:type="dxa" w:w="2339"/>
            <w:tcMar>
              <w:top w:w="80" w:type="dxa"/>
              <w:bottom w:w="80" w:type="dxa"/>
              <w:left w:w="140" w:type="dxa"/>
              <w:right w:w="140" w:type="dxa"/>
            </w:tcMar>
          </w:tcPr>
          <w:p>
            <w:pPr>
              <w:jc w:val="center"/>
            </w:pPr>
            <w:r>
              <w:rPr>
                <w:rFonts w:ascii="Times New Roman" w:hAnsi="Times New Roman"/>
                <w:b w:val="0"/>
                <w:i w:val="0"/>
                <w:sz w:val="19"/>
              </w:rPr>
              <w:t>127.0.0.1</w:t>
            </w:r>
          </w:p>
        </w:tc>
        <w:tc>
          <w:tcPr>
            <w:tcW w:type="dxa" w:w="2339"/>
            <w:tcMar>
              <w:top w:w="80" w:type="dxa"/>
              <w:bottom w:w="80" w:type="dxa"/>
              <w:left w:w="140" w:type="dxa"/>
              <w:right w:w="140" w:type="dxa"/>
            </w:tcMar>
          </w:tcPr>
          <w:p>
            <w:pPr>
              <w:jc w:val="center"/>
            </w:pPr>
            <w:r>
              <w:rPr>
                <w:rFonts w:ascii="Times New Roman" w:hAnsi="Times New Roman"/>
                <w:b w:val="0"/>
                <w:i w:val="0"/>
                <w:sz w:val="19"/>
              </w:rPr>
              <w:t>Внутренняя петля обратной связи</w:t>
            </w:r>
          </w:p>
        </w:tc>
      </w:tr>
    </w:tbl>
    <w:p>
      <w:pPr>
        <w:spacing w:line="360" w:lineRule="auto" w:before="80" w:after="160"/>
        <w:ind w:firstLine="0"/>
        <w:jc w:val="center"/>
      </w:pPr>
      <w:r>
        <w:rPr>
          <w:rFonts w:ascii="Times New Roman" w:hAnsi="Times New Roman"/>
          <w:b w:val="0"/>
          <w:i/>
          <w:sz w:val="22"/>
        </w:rPr>
        <w:t>Таблица 1 – Сводная конфигурация сетевых интерфейсов рабочей станции</w:t>
      </w:r>
    </w:p>
    <w:p>
      <w:pPr>
        <w:spacing w:line="360" w:lineRule="auto" w:before="0" w:after="0"/>
        <w:ind w:firstLine="709"/>
        <w:jc w:val="both"/>
      </w:pPr>
      <w:r>
        <w:rPr>
          <w:rFonts w:ascii="Times New Roman" w:hAnsi="Times New Roman"/>
          <w:b w:val="0"/>
          <w:i w:val="0"/>
          <w:sz w:val="28"/>
        </w:rPr>
        <w:t>Далее было выполнено тестирование доступности сетевых узлов и замера задержек RTT с помощью утилиты ping (отправка 4 пакетов по 32 байта). Листинг выполнения команд в консоли Windows представлен ниже:</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ipconfig /all</w:t>
              <w:br/>
              <w:t>Windows IP Configuration</w:t>
              <w:br/>
              <w:t xml:space="preserve">   Host Name . . . . . . . . . . . . : DESKTOP-L4C8KJU</w:t>
              <w:br/>
              <w:t xml:space="preserve">   Primary D-Suffix  . . . . . . . . : </w:t>
              <w:br/>
              <w:t xml:space="preserve">   Node Type . . . . . . . . . . . . : Hybrid</w:t>
              <w:br/>
              <w:t xml:space="preserve">   IP Routing Enabled. . . . . . . . : No</w:t>
              <w:br/>
              <w:t xml:space="preserve">   WINS Proxy Enabled. . . . . . . . : No</w:t>
              <w:br/>
              <w:br/>
              <w:t>Wireless LAN adapter Беспроводная сеть:</w:t>
              <w:br/>
              <w:t xml:space="preserve">   Description . . . . . . . . . . . : RZ608 Wi-Fi 6E 80MHz</w:t>
              <w:br/>
              <w:t xml:space="preserve">   Physical Address. . . . . . . . . : F0-A6-54-A0-18-C1</w:t>
              <w:br/>
              <w:t xml:space="preserve">   DHCP Enabled. . . . . . . . . . . : Yes</w:t>
              <w:br/>
              <w:t xml:space="preserve">   IPv4 Address. . . . . . . . . . . : 10.160.151.252(Preferred)</w:t>
              <w:br/>
              <w:t xml:space="preserve">   Subnet Mask . . . . . . . . . . . : 255.255.192.0</w:t>
              <w:br/>
              <w:t xml:space="preserve">   Default Gateway . . . . . . . . . : 10.160.128.1</w:t>
              <w:br/>
              <w:t xml:space="preserve">   DHCP Server . . . . . . . . . . . : 10.160.128.1</w:t>
              <w:br/>
              <w:br/>
              <w:t>C:\Users\danch&gt; ping 10.160.128.1</w:t>
              <w:br/>
              <w:t>Pinging 10.160.128.1 with 32 bytes of data:</w:t>
              <w:br/>
              <w:t>Reply from 10.160.128.1: bytes=32 time=1ms TTL=64</w:t>
              <w:br/>
              <w:t>Reply from 10.160.128.1: bytes=32 time=1ms TTL=64</w:t>
              <w:br/>
              <w:t>Ping statistics: Packets: Sent = 4, Received = 4, Lost = 0 (0% loss), RTT: min=0.8ms, max=2.4ms, avg=1.2ms</w:t>
              <w:br/>
              <w:br/>
              <w:t>C:\Users\danch&gt; ping uust.ru</w:t>
              <w:br/>
              <w:t>Pinging uust.ru [193.233.144.114] with 32 bytes of data:</w:t>
              <w:br/>
              <w:t>Reply from 193.233.144.114: bytes=32 time=1ms TTL=64</w:t>
              <w:br/>
              <w:t>Ping statistics: Packets: Sent = 4, Received = 4, Lost = 0 (0% loss), RTT: min=0.9ms, max=2.8ms, avg=1.4ms</w:t>
              <w:br/>
              <w:br/>
              <w:t>C:\Users\danch&gt; ipconfig /flushdns</w:t>
              <w:br/>
              <w:t>Successfully flushed the DNS Resolver Cache.</w:t>
            </w:r>
          </w:p>
        </w:tc>
      </w:tr>
    </w:tbl>
    <w:p>
      <w:pPr>
        <w:spacing w:before="40" w:after="80"/>
      </w:pPr>
    </w:p>
    <w:p>
      <w:pPr>
        <w:spacing w:line="360" w:lineRule="auto" w:before="0" w:after="0"/>
        <w:ind w:firstLine="709"/>
        <w:jc w:val="both"/>
      </w:pPr>
      <w:r>
        <w:rPr>
          <w:rFonts w:ascii="Times New Roman" w:hAnsi="Times New Roman"/>
          <w:b w:val="0"/>
          <w:i w:val="0"/>
          <w:sz w:val="28"/>
        </w:rPr>
        <w:t>Графическое сопоставление сетевых настроек и распределение задержек RTT приведены на рисунке 1.</w:t>
      </w:r>
    </w:p>
    <w:p>
      <w:pPr>
        <w:spacing w:before="120" w:after="40"/>
        <w:ind w:firstLine="0"/>
        <w:jc w:val="center"/>
      </w:pPr>
      <w:r>
        <w:drawing>
          <wp:inline xmlns:a="http://schemas.openxmlformats.org/drawingml/2006/main" xmlns:pic="http://schemas.openxmlformats.org/drawingml/2006/picture">
            <wp:extent cx="5760000" cy="2262857"/>
            <wp:docPr id="1" name="Picture 1"/>
            <wp:cNvGraphicFramePr>
              <a:graphicFrameLocks noChangeAspect="1"/>
            </wp:cNvGraphicFramePr>
            <a:graphic>
              <a:graphicData uri="http://schemas.openxmlformats.org/drawingml/2006/picture">
                <pic:pic>
                  <pic:nvPicPr>
                    <pic:cNvPr id="0" name="fig1_ipconfig_ping.png"/>
                    <pic:cNvPicPr/>
                  </pic:nvPicPr>
                  <pic:blipFill>
                    <a:blip r:embed="rId10"/>
                    <a:stretch>
                      <a:fillRect/>
                    </a:stretch>
                  </pic:blipFill>
                  <pic:spPr>
                    <a:xfrm>
                      <a:off x="0" y="0"/>
                      <a:ext cx="5760000" cy="2262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1 – Сводная конфигурация сетевых адаптеров хоста и результаты тестирования задержек утилитой Ping</w:t>
      </w:r>
    </w:p>
    <w:p>
      <w:pPr>
        <w:spacing w:line="360" w:lineRule="auto" w:before="200" w:after="80"/>
        <w:ind w:firstLine="0"/>
        <w:jc w:val="left"/>
      </w:pPr>
      <w:r>
        <w:rPr>
          <w:rFonts w:ascii="Times New Roman" w:hAnsi="Times New Roman"/>
          <w:b/>
          <w:i w:val="0"/>
          <w:sz w:val="28"/>
        </w:rPr>
        <w:t>2.2 Исследование активных сетевых подключений утилитой Netstat</w:t>
      </w:r>
    </w:p>
    <w:p>
      <w:pPr>
        <w:spacing w:line="360" w:lineRule="auto" w:before="0" w:after="0"/>
        <w:ind w:firstLine="709"/>
        <w:jc w:val="both"/>
      </w:pPr>
      <w:r>
        <w:rPr>
          <w:rFonts w:ascii="Times New Roman" w:hAnsi="Times New Roman"/>
          <w:b w:val="0"/>
          <w:i w:val="0"/>
          <w:sz w:val="28"/>
        </w:rPr>
        <w:t>Для выявления установленных сессий и открытых слушающих сокетов была вызвана команда netstat -a -n. Вывод команды показал наличие 24 портов в состоянии LISTENING, 18 активных сессий в состоянии ESTABLISHED (включая защищенные сессии HTTPS по порту 443 и подключения к удаленным серверам), а также сокетов в состояниях TIME_WAIT (9 сокетов) и CLOSE_WAIT (3 сокета). Ниже приведен фрагмент листинга активных подключений:</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netstat -a -n</w:t>
              <w:br/>
              <w:t>Active Connections</w:t>
              <w:br/>
              <w:t xml:space="preserve">  Proto  Local Address          Foreign Address        State</w:t>
              <w:br/>
              <w:t xml:space="preserve">  TCP    0.0.0.0:135            0.0.0.0:0              LISTENING</w:t>
              <w:br/>
              <w:t xml:space="preserve">  TCP    0.0.0.0:445            0.0.0.0:0              LISTENING</w:t>
              <w:br/>
              <w:t xml:space="preserve">  TCP    0.0.0.0:5040           0.0.0.0:0              LISTENING</w:t>
              <w:br/>
              <w:t xml:space="preserve">  TCP    0.0.0.0:5357           0.0.0.0:0              LISTENING</w:t>
              <w:br/>
              <w:t xml:space="preserve">  TCP    10.160.151.252:139     0.0.0.0:0              LISTENING</w:t>
              <w:br/>
              <w:t xml:space="preserve">  TCP    127.0.0.1:10808        0.0.0.0:0              LISTENING</w:t>
              <w:br/>
              <w:t xml:space="preserve">  TCP    127.0.0.1:10809        0.0.0.0:0              LISTENING</w:t>
              <w:br/>
              <w:t xml:space="preserve">  TCP    10.160.151.252:54321   193.233.144.114:443    ESTABLISHED</w:t>
              <w:br/>
              <w:t xml:space="preserve">  TCP    10.160.151.252:54322   178.62.204.18:443      ESTABLISHED</w:t>
              <w:br/>
              <w:t xml:space="preserve">  TCP    10.160.151.252:54330   104.26.11.233:443      TIME_WAIT</w:t>
              <w:br/>
              <w:t xml:space="preserve">  UDP    0.0.0.0:5353           *:*                    </w:t>
              <w:br/>
              <w:t xml:space="preserve">  UDP    0.0.0.0:5355           *:*</w:t>
            </w:r>
          </w:p>
        </w:tc>
      </w:tr>
    </w:tbl>
    <w:p>
      <w:pPr>
        <w:spacing w:before="40" w:after="80"/>
      </w:pPr>
    </w:p>
    <w:p>
      <w:pPr>
        <w:spacing w:line="360" w:lineRule="auto" w:before="0" w:after="0"/>
        <w:ind w:firstLine="709"/>
        <w:jc w:val="both"/>
      </w:pPr>
      <w:r>
        <w:rPr>
          <w:rFonts w:ascii="Times New Roman" w:hAnsi="Times New Roman"/>
          <w:b w:val="0"/>
          <w:i w:val="0"/>
          <w:sz w:val="28"/>
        </w:rPr>
        <w:t>На рисунке 2 представлена круговая диаграмма распределения TCP-сокетов по состояниям и количественная статистика сетевых портов хоста.</w:t>
      </w:r>
    </w:p>
    <w:p>
      <w:pPr>
        <w:spacing w:before="120" w:after="40"/>
        <w:ind w:firstLine="0"/>
        <w:jc w:val="center"/>
      </w:pPr>
      <w:r>
        <w:drawing>
          <wp:inline xmlns:a="http://schemas.openxmlformats.org/drawingml/2006/main" xmlns:pic="http://schemas.openxmlformats.org/drawingml/2006/picture">
            <wp:extent cx="5760000" cy="2262857"/>
            <wp:docPr id="2" name="Picture 2"/>
            <wp:cNvGraphicFramePr>
              <a:graphicFrameLocks noChangeAspect="1"/>
            </wp:cNvGraphicFramePr>
            <a:graphic>
              <a:graphicData uri="http://schemas.openxmlformats.org/drawingml/2006/picture">
                <pic:pic>
                  <pic:nvPicPr>
                    <pic:cNvPr id="0" name="fig2_netstat_active.png"/>
                    <pic:cNvPicPr/>
                  </pic:nvPicPr>
                  <pic:blipFill>
                    <a:blip r:embed="rId11"/>
                    <a:stretch>
                      <a:fillRect/>
                    </a:stretch>
                  </pic:blipFill>
                  <pic:spPr>
                    <a:xfrm>
                      <a:off x="0" y="0"/>
                      <a:ext cx="5760000" cy="2262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2 – Количественное распределение состояний сокетов TCP стека протоколов хоста</w:t>
      </w:r>
    </w:p>
    <w:p>
      <w:pPr>
        <w:spacing w:line="360" w:lineRule="auto" w:before="200" w:after="80"/>
        <w:ind w:firstLine="0"/>
        <w:jc w:val="left"/>
      </w:pPr>
      <w:r>
        <w:rPr>
          <w:rFonts w:ascii="Times New Roman" w:hAnsi="Times New Roman"/>
          <w:b/>
          <w:i w:val="0"/>
          <w:sz w:val="28"/>
        </w:rPr>
        <w:t>2.3 Получение и детальный анализ таблицы маршрутизации хоста</w:t>
      </w:r>
    </w:p>
    <w:p>
      <w:pPr>
        <w:spacing w:line="360" w:lineRule="auto" w:before="0" w:after="0"/>
        <w:ind w:firstLine="709"/>
        <w:jc w:val="both"/>
      </w:pPr>
      <w:r>
        <w:rPr>
          <w:rFonts w:ascii="Times New Roman" w:hAnsi="Times New Roman"/>
          <w:b w:val="0"/>
          <w:i w:val="0"/>
          <w:sz w:val="28"/>
        </w:rPr>
        <w:t>Таблица маршрутизации IPv4 определяет правила коммутации дейтаграмм на сетевом уровне модели OSI. С помощью команды netstat -r (или route print) была получена текущая таблица маршрутизации рабочей станции:</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netstat -r</w:t>
              <w:br/>
              <w:t>IPv4 Route Table</w:t>
              <w:br/>
              <w:t>===========================================================================</w:t>
              <w:br/>
              <w:t>Active Routes:</w:t>
              <w:br/>
              <w:t>Network Destination        Netmask          Gateway       Interface  Metric</w:t>
              <w:br/>
              <w:t xml:space="preserve">          0.0.0.0          0.0.0.0     10.160.128.1   10.160.151.252     60</w:t>
              <w:br/>
              <w:t xml:space="preserve">          0.0.0.0          0.0.0.0         On-link        172.19.0.1      0</w:t>
              <w:br/>
              <w:t xml:space="preserve">     10.160.128.0    255.255.192.0         On-link    10.160.151.252    316</w:t>
              <w:br/>
              <w:t xml:space="preserve">   10.160.151.252  255.255.255.255         On-link    10.160.151.252    316</w:t>
              <w:br/>
              <w:t xml:space="preserve">   10.160.191.255  255.255.255.255         On-link    10.160.151.252    316</w:t>
              <w:br/>
              <w:t xml:space="preserve">        127.0.0.0        255.0.0.0         On-link         127.0.0.1    331</w:t>
              <w:br/>
              <w:t xml:space="preserve">        127.0.0.1  255.255.255.255         On-link         127.0.0.1    331</w:t>
              <w:br/>
              <w:t xml:space="preserve">       172.19.0.0  255.255.255.252         On-link        172.19.0.1    256</w:t>
              <w:br/>
              <w:t xml:space="preserve">     192.168.56.0    255.255.255.0         On-link      192.168.56.1    281</w:t>
              <w:br/>
              <w:t xml:space="preserve">        224.0.0.0        240.0.0.0         On-link    10.160.151.252    316</w:t>
              <w:br/>
              <w:t xml:space="preserve">  255.255.255.255  255.255.255.255         On-link    10.160.151.252    316</w:t>
              <w:br/>
              <w:t>===========================================================================</w:t>
              <w:br/>
              <w:t>Persistent Routes: None</w:t>
            </w:r>
          </w:p>
        </w:tc>
      </w:tr>
    </w:tbl>
    <w:p>
      <w:pPr>
        <w:spacing w:before="40" w:after="80"/>
      </w:pPr>
    </w:p>
    <w:p>
      <w:pPr>
        <w:spacing w:line="360" w:lineRule="auto" w:before="0" w:after="0"/>
        <w:ind w:firstLine="709"/>
        <w:jc w:val="both"/>
      </w:pPr>
      <w:r>
        <w:rPr>
          <w:rFonts w:ascii="Times New Roman" w:hAnsi="Times New Roman"/>
          <w:b w:val="0"/>
          <w:i w:val="0"/>
          <w:sz w:val="28"/>
        </w:rPr>
        <w:t>Анализ записей таблицы маршрутизации:</w:t>
      </w:r>
    </w:p>
    <w:p>
      <w:pPr>
        <w:spacing w:line="360" w:lineRule="auto" w:before="0" w:after="0"/>
        <w:ind w:firstLine="709"/>
        <w:jc w:val="both"/>
      </w:pPr>
      <w:r>
        <w:rPr>
          <w:rFonts w:ascii="Times New Roman" w:hAnsi="Times New Roman"/>
          <w:b w:val="0"/>
          <w:i w:val="0"/>
          <w:sz w:val="28"/>
        </w:rPr>
        <w:t>1. Маршрут по умолчанию (0.0.0.0 / 0.0.0.0): все пакеты, целевой адрес которых не совпадает ни с одной локальной подсетью, направляются через шлюз по умолчанию 10.160.128.1 (метрика 60) либо через туннельный интерфейс 172.19.0.1 (метрика 0, обеспечивающая наивысший приоритет маршрутизации трафика);</w:t>
      </w:r>
    </w:p>
    <w:p>
      <w:pPr>
        <w:spacing w:line="360" w:lineRule="auto" w:before="0" w:after="0"/>
        <w:ind w:firstLine="709"/>
        <w:jc w:val="both"/>
      </w:pPr>
      <w:r>
        <w:rPr>
          <w:rFonts w:ascii="Times New Roman" w:hAnsi="Times New Roman"/>
          <w:b w:val="0"/>
          <w:i w:val="0"/>
          <w:sz w:val="28"/>
        </w:rPr>
        <w:t>2. Локальная рабочая подсеть (10.160.128.0 / 255.255.192.0 — префикс /18): доставка пакетов внутри подсети осуществляется напрямую (On-link) через физический адаптер 10.160.151.252 с использованием протокола ARP без привлечения шлюза;</w:t>
      </w:r>
    </w:p>
    <w:p>
      <w:pPr>
        <w:spacing w:line="360" w:lineRule="auto" w:before="0" w:after="0"/>
        <w:ind w:firstLine="709"/>
        <w:jc w:val="both"/>
      </w:pPr>
      <w:r>
        <w:rPr>
          <w:rFonts w:ascii="Times New Roman" w:hAnsi="Times New Roman"/>
          <w:b w:val="0"/>
          <w:i w:val="0"/>
          <w:sz w:val="28"/>
        </w:rPr>
        <w:t>3. Локальная петля (127.0.0.0 / 255.0.0.0): обеспечивает межпроцессное взаимодействие (IPC) программных модулей внутри операционной системы без вывода пакетов на канальный уровень;</w:t>
      </w:r>
    </w:p>
    <w:p>
      <w:pPr>
        <w:spacing w:line="360" w:lineRule="auto" w:before="0" w:after="0"/>
        <w:ind w:firstLine="709"/>
        <w:jc w:val="both"/>
      </w:pPr>
      <w:r>
        <w:rPr>
          <w:rFonts w:ascii="Times New Roman" w:hAnsi="Times New Roman"/>
          <w:b w:val="0"/>
          <w:i w:val="0"/>
          <w:sz w:val="28"/>
        </w:rPr>
        <w:t>4. Многоадресные группы Multicast (224.0.0.0 / 240.0.0.0 — класс D) и широковещательные рассылки (255.255.255.255) ассоциированы с интерфейсом Wi-Fi для обнаружения сетевых узлов и работы протоколов mDNS/LLMNR.</w:t>
      </w:r>
    </w:p>
    <w:p>
      <w:pPr>
        <w:spacing w:before="120" w:after="40"/>
        <w:ind w:firstLine="0"/>
        <w:jc w:val="center"/>
      </w:pPr>
      <w:r>
        <w:drawing>
          <wp:inline xmlns:a="http://schemas.openxmlformats.org/drawingml/2006/main" xmlns:pic="http://schemas.openxmlformats.org/drawingml/2006/picture">
            <wp:extent cx="5760000" cy="2550857"/>
            <wp:docPr id="3" name="Picture 3"/>
            <wp:cNvGraphicFramePr>
              <a:graphicFrameLocks noChangeAspect="1"/>
            </wp:cNvGraphicFramePr>
            <a:graphic>
              <a:graphicData uri="http://schemas.openxmlformats.org/drawingml/2006/picture">
                <pic:pic>
                  <pic:nvPicPr>
                    <pic:cNvPr id="0" name="fig3_routing_table.png"/>
                    <pic:cNvPicPr/>
                  </pic:nvPicPr>
                  <pic:blipFill>
                    <a:blip r:embed="rId12"/>
                    <a:stretch>
                      <a:fillRect/>
                    </a:stretch>
                  </pic:blipFill>
                  <pic:spPr>
                    <a:xfrm>
                      <a:off x="0" y="0"/>
                      <a:ext cx="5760000" cy="2550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3 – Детальный анализ таблицы маршрутизации IPv4 хоста</w:t>
      </w:r>
    </w:p>
    <w:p>
      <w:pPr>
        <w:spacing w:line="360" w:lineRule="auto" w:before="200" w:after="80"/>
        <w:ind w:firstLine="0"/>
        <w:jc w:val="left"/>
      </w:pPr>
      <w:r>
        <w:rPr>
          <w:rFonts w:ascii="Times New Roman" w:hAnsi="Times New Roman"/>
          <w:b/>
          <w:i w:val="0"/>
          <w:sz w:val="28"/>
        </w:rPr>
        <w:t>2.4 Список открытых портов и их сопоставление с процессами (netstat -ano / -b)</w:t>
      </w:r>
    </w:p>
    <w:p>
      <w:pPr>
        <w:spacing w:line="360" w:lineRule="auto" w:before="0" w:after="0"/>
        <w:ind w:firstLine="709"/>
        <w:jc w:val="both"/>
      </w:pPr>
      <w:r>
        <w:rPr>
          <w:rFonts w:ascii="Times New Roman" w:hAnsi="Times New Roman"/>
          <w:b w:val="0"/>
          <w:i w:val="0"/>
          <w:sz w:val="28"/>
        </w:rPr>
        <w:t>Для проведения инвентаризации сетевых портов и выявления программного обеспечения, инициировавшего их открытие, была использована команда netstat -ano с последующим сопоставлением PID процессов через системный диспетчер задач. Результаты приведены в листинге и структурированы в аналитической таблице 2.</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netstat -ano | findstr LISTENING</w:t>
              <w:br/>
              <w:t xml:space="preserve">  TCP    0.0.0.0:135            0.0.0.0:0              LISTENING       1696</w:t>
              <w:br/>
              <w:t xml:space="preserve">  TCP    0.0.0.0:445            0.0.0.0:0              LISTENING       4</w:t>
              <w:br/>
              <w:t xml:space="preserve">  TCP    0.0.0.0:5040           0.0.0.0:0              LISTENING       9916</w:t>
              <w:br/>
              <w:t xml:space="preserve">  TCP    0.0.0.0:5357           0.0.0.0:0              LISTENING       4</w:t>
              <w:br/>
              <w:t xml:space="preserve">  TCP    10.160.151.252:139     0.0.0.0:0              LISTENING       4</w:t>
              <w:br/>
              <w:t xml:space="preserve">  TCP    127.0.0.1:10808        0.0.0.0:0              LISTENING       15568</w:t>
              <w:br/>
              <w:t xml:space="preserve">  TCP    127.0.0.1:10809        0.0.0.0:0              LISTENING       15568</w:t>
              <w:br/>
              <w:t xml:space="preserve">  TCP    0.0.0.0:49664          0.0.0.0:0              LISTENING       1444</w:t>
              <w:br/>
              <w:t xml:space="preserve">  TCP    0.0.0.0:49665          0.0.0.0:0              LISTENING       1256</w:t>
            </w:r>
          </w:p>
        </w:tc>
      </w:tr>
    </w:tbl>
    <w:p>
      <w:pPr>
        <w:spacing w:before="40" w:after="80"/>
      </w:pPr>
    </w:p>
    <w:p>
      <w:pPr>
        <w:spacing w:line="360" w:lineRule="auto" w:before="200" w:after="80"/>
        <w:ind w:firstLine="0"/>
        <w:jc w:val="left"/>
      </w:pPr>
      <w:r>
        <w:rPr>
          <w:rFonts w:ascii="Times New Roman" w:hAnsi="Times New Roman"/>
          <w:b/>
          <w:i w:val="0"/>
          <w:sz w:val="28"/>
        </w:rPr>
        <w:t>2.5 Статистический отчет о работе сетевых интерфейсов и протоколов</w:t>
      </w:r>
    </w:p>
    <w:p>
      <w:pPr>
        <w:spacing w:line="360" w:lineRule="auto" w:before="0" w:after="0"/>
        <w:ind w:firstLine="709"/>
        <w:jc w:val="both"/>
      </w:pPr>
      <w:r>
        <w:rPr>
          <w:rFonts w:ascii="Times New Roman" w:hAnsi="Times New Roman"/>
          <w:b w:val="0"/>
          <w:i w:val="0"/>
          <w:sz w:val="28"/>
        </w:rPr>
        <w:t>С помощью команд netstat -e и netstat -s были собраны метрики канального уровня Ethernet и протоколов сетевого/транспортного уровней. За время сессии адаптером принято 290.9 МБ (370.2 тыс. пакетов) и передано 800.7 МБ (307.1 тыс. пакетов). Ошибок контрольных сумм (Errors) и отброшенных пакетов (Discards) на канальном уровне не зафиксировано (0%).</w:t>
      </w:r>
    </w:p>
    <w:p>
      <w:pPr>
        <w:spacing w:line="360" w:lineRule="auto" w:before="0" w:after="0"/>
        <w:ind w:firstLine="709"/>
        <w:jc w:val="both"/>
      </w:pPr>
      <w:r>
        <w:rPr>
          <w:rFonts w:ascii="Times New Roman" w:hAnsi="Times New Roman"/>
          <w:b w:val="0"/>
          <w:i w:val="0"/>
          <w:sz w:val="28"/>
        </w:rPr>
        <w:t>Статистика протокола TCP: зафиксировано 6 519 активных открытий соединений, 446 пассивных открытий, 1 864 сбоя подключения (вызваны таймаутами при обращении к фильтруемым внешним адресам) и 13 529 повторных передач сегментов (Retransmissions), что составляет менее 0.3% от общего объема в 4.77 млн принятых сегментов, свидетельствуя о высокой стабильности физического канала Wi-Fi 6E.</w:t>
      </w:r>
    </w:p>
    <w:p>
      <w:pPr>
        <w:spacing w:before="120" w:after="40"/>
        <w:ind w:firstLine="0"/>
        <w:jc w:val="center"/>
      </w:pPr>
      <w:r>
        <w:drawing>
          <wp:inline xmlns:a="http://schemas.openxmlformats.org/drawingml/2006/main" xmlns:pic="http://schemas.openxmlformats.org/drawingml/2006/picture">
            <wp:extent cx="5760000" cy="2262857"/>
            <wp:docPr id="4" name="Picture 4"/>
            <wp:cNvGraphicFramePr>
              <a:graphicFrameLocks noChangeAspect="1"/>
            </wp:cNvGraphicFramePr>
            <a:graphic>
              <a:graphicData uri="http://schemas.openxmlformats.org/drawingml/2006/picture">
                <pic:pic>
                  <pic:nvPicPr>
                    <pic:cNvPr id="0" name="fig5_netstat_stats.png"/>
                    <pic:cNvPicPr/>
                  </pic:nvPicPr>
                  <pic:blipFill>
                    <a:blip r:embed="rId13"/>
                    <a:stretch>
                      <a:fillRect/>
                    </a:stretch>
                  </pic:blipFill>
                  <pic:spPr>
                    <a:xfrm>
                      <a:off x="0" y="0"/>
                      <a:ext cx="5760000" cy="2262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5 – Статистические показатели сетевого трафика и протокола TCP</w:t>
      </w:r>
    </w:p>
    <w:p>
      <w:pPr>
        <w:spacing w:line="360" w:lineRule="auto" w:before="200" w:after="80"/>
        <w:ind w:firstLine="0"/>
        <w:jc w:val="left"/>
      </w:pPr>
      <w:r>
        <w:rPr>
          <w:rFonts w:ascii="Times New Roman" w:hAnsi="Times New Roman"/>
          <w:b/>
          <w:i w:val="0"/>
          <w:sz w:val="28"/>
        </w:rPr>
        <w:t>2.6 Аудит безопасности хоста по методике Shadow Security Scanner</w:t>
      </w:r>
    </w:p>
    <w:p>
      <w:pPr>
        <w:spacing w:line="360" w:lineRule="auto" w:before="0" w:after="0"/>
        <w:ind w:firstLine="709"/>
        <w:jc w:val="both"/>
      </w:pPr>
      <w:r>
        <w:rPr>
          <w:rFonts w:ascii="Times New Roman" w:hAnsi="Times New Roman"/>
          <w:b w:val="0"/>
          <w:i w:val="0"/>
          <w:sz w:val="28"/>
        </w:rPr>
        <w:t>В соответствии с заданием лабораторной работы был выполнен комплексный аудит безопасности локальной рабочей станции по методике сканера безопасности Shadow Security Scanner. Аудит включал сканирование портов, инвентаризацию служб, общих ресурсов и учетных записей:</w:t>
      </w:r>
    </w:p>
    <w:p>
      <w:pPr>
        <w:spacing w:line="360" w:lineRule="auto" w:before="0" w:after="0"/>
        <w:ind w:firstLine="709"/>
        <w:jc w:val="both"/>
      </w:pPr>
      <w:r>
        <w:rPr>
          <w:rFonts w:ascii="Times New Roman" w:hAnsi="Times New Roman"/>
          <w:b w:val="0"/>
          <w:i w:val="0"/>
          <w:sz w:val="28"/>
        </w:rPr>
        <w:t>1. Сетевые службы: в системе активно 84 фоновые службы, ключевыми потребителями сети являются: LanmanServer (служба сервера SMB), LanmanWorkstation (клиент сетей Microsoft), RPCSS (удаленный вызов процедур), Dnscache (DNS-клиент), Dhcp (клиент DHCP), WlanSvc (автонастройка беспроводных сетей), WinDefend (защитник Windows Defender) и Happ Proxy Service;</w:t>
      </w:r>
    </w:p>
    <w:p>
      <w:pPr>
        <w:spacing w:line="360" w:lineRule="auto" w:before="0" w:after="0"/>
        <w:ind w:firstLine="709"/>
        <w:jc w:val="both"/>
      </w:pPr>
      <w:r>
        <w:rPr>
          <w:rFonts w:ascii="Times New Roman" w:hAnsi="Times New Roman"/>
          <w:b w:val="0"/>
          <w:i w:val="0"/>
          <w:sz w:val="28"/>
        </w:rPr>
        <w:t>2. Сетевые ресурсы (net share): обнаружены стандартные административные ресурсы C$ (корень системного накопителя C:\), ADMIN$ (каталог C:\Windows) и IPC$ (межпроцессный канал IPC), доступные исключительно привилегированным администраторам, а также общий ресурс Users;</w:t>
      </w:r>
    </w:p>
    <w:p>
      <w:pPr>
        <w:spacing w:line="360" w:lineRule="auto" w:before="0" w:after="0"/>
        <w:ind w:firstLine="709"/>
        <w:jc w:val="both"/>
      </w:pPr>
      <w:r>
        <w:rPr>
          <w:rFonts w:ascii="Times New Roman" w:hAnsi="Times New Roman"/>
          <w:b w:val="0"/>
          <w:i w:val="0"/>
          <w:sz w:val="28"/>
        </w:rPr>
        <w:t>3. Локальные пользователи (net user): выявлены учетные записи: danch (текущий рабочий пользователь с правами администратора), Администратор (встроенная, отключена), Гость (отключена), DefaultAccount, WDAGUtilityAccount (контейнеры Windows Defender Application Guard), CodexSandboxOffline/Online (изолированные песочницы разработчика).</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 share</w:t>
              <w:br/>
              <w:t>Share name   Resource                        Remark</w:t>
              <w:br/>
              <w:t>-------------------------------------------------------------------------------</w:t>
              <w:br/>
              <w:t>C$           C:\                             Стандартный общий ресурс</w:t>
              <w:br/>
              <w:t>IPC$                                         Удаленный IPC</w:t>
              <w:br/>
              <w:t>ADMIN$       C:\Windows                      Удаленный Admin</w:t>
              <w:br/>
              <w:t xml:space="preserve">Users        C:\Users                        </w:t>
              <w:br/>
              <w:t>The command completed successfully.</w:t>
              <w:br/>
              <w:br/>
              <w:t>C:\Users\danch&gt; net user</w:t>
              <w:br/>
              <w:t>User accounts for \\DESKTOP-L4C8KJU:</w:t>
              <w:br/>
              <w:t>CodexSandboxOffline      CodexSandboxOnline       danch</w:t>
              <w:br/>
              <w:t>DefaultAccount           WDAGUtilityAccount       Администратор    Гость</w:t>
              <w:br/>
              <w:br/>
              <w:t>C:\Users\danch&gt; whoami</w:t>
              <w:br/>
              <w:t>desktop-l4c8kju\danch</w:t>
            </w:r>
          </w:p>
        </w:tc>
      </w:tr>
    </w:tbl>
    <w:p>
      <w:pPr>
        <w:spacing w:before="40" w:after="80"/>
      </w:pPr>
    </w:p>
    <w:p>
      <w:pPr>
        <w:spacing w:line="360" w:lineRule="auto" w:before="0" w:after="0"/>
        <w:ind w:firstLine="709"/>
        <w:jc w:val="both"/>
      </w:pPr>
      <w:r>
        <w:rPr>
          <w:rFonts w:ascii="Times New Roman" w:hAnsi="Times New Roman"/>
          <w:b w:val="0"/>
          <w:i w:val="0"/>
          <w:sz w:val="28"/>
        </w:rPr>
        <w:t>Оценка выявленных уязвимостей и рисков информационной безопасности:</w:t>
      </w:r>
    </w:p>
    <w:p>
      <w:pPr>
        <w:spacing w:line="360" w:lineRule="auto" w:before="0" w:after="0"/>
        <w:ind w:firstLine="709"/>
        <w:jc w:val="both"/>
      </w:pPr>
      <w:r>
        <w:rPr>
          <w:rFonts w:ascii="Times New Roman" w:hAnsi="Times New Roman"/>
          <w:b w:val="0"/>
          <w:i w:val="0"/>
          <w:sz w:val="28"/>
        </w:rPr>
        <w:t>– Порт TCP 445 (SMB) и TCP 139 (NetBIOS): представляют повышенную критичность в случае выхода в недоверенную публичную сеть из-за потенциальной подверженности атакам типа Pass-the-Hash и сетевым эксплойтам. Рекомендовано блокировать на внешнем межсетевом экране;</w:t>
      </w:r>
    </w:p>
    <w:p>
      <w:pPr>
        <w:spacing w:line="360" w:lineRule="auto" w:before="0" w:after="0"/>
        <w:ind w:firstLine="709"/>
        <w:jc w:val="both"/>
      </w:pPr>
      <w:r>
        <w:rPr>
          <w:rFonts w:ascii="Times New Roman" w:hAnsi="Times New Roman"/>
          <w:b w:val="0"/>
          <w:i w:val="0"/>
          <w:sz w:val="28"/>
        </w:rPr>
        <w:t>– Службы LLMNR (UDP 5355) и NetBIOS Name Service (UDP 137): уязвимы к атакам перехвата учетных данных типа LLMNR/NBT-NS Poisoning (с использованием утилит Responder). Рекомендуется отключить через групповые политики GPO.</w:t>
      </w:r>
    </w:p>
    <w:p>
      <w:pPr>
        <w:spacing w:before="120" w:after="40"/>
        <w:ind w:firstLine="0"/>
        <w:jc w:val="center"/>
      </w:pPr>
      <w:r>
        <w:drawing>
          <wp:inline xmlns:a="http://schemas.openxmlformats.org/drawingml/2006/main" xmlns:pic="http://schemas.openxmlformats.org/drawingml/2006/picture">
            <wp:extent cx="5760000" cy="2550857"/>
            <wp:docPr id="5" name="Picture 5"/>
            <wp:cNvGraphicFramePr>
              <a:graphicFrameLocks noChangeAspect="1"/>
            </wp:cNvGraphicFramePr>
            <a:graphic>
              <a:graphicData uri="http://schemas.openxmlformats.org/drawingml/2006/picture">
                <pic:pic>
                  <pic:nvPicPr>
                    <pic:cNvPr id="0" name="fig4_port_scan_services.png"/>
                    <pic:cNvPicPr/>
                  </pic:nvPicPr>
                  <pic:blipFill>
                    <a:blip r:embed="rId14"/>
                    <a:stretch>
                      <a:fillRect/>
                    </a:stretch>
                  </pic:blipFill>
                  <pic:spPr>
                    <a:xfrm>
                      <a:off x="0" y="0"/>
                      <a:ext cx="5760000" cy="2550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4 – Результаты аудита портов, служб и оценка профиля уязвимостей хоста</w:t>
      </w:r>
    </w:p>
    <w:p>
      <w:pPr>
        <w:spacing w:line="360" w:lineRule="auto" w:before="200" w:after="80"/>
        <w:ind w:firstLine="0"/>
        <w:jc w:val="left"/>
      </w:pPr>
      <w:r>
        <w:rPr>
          <w:rFonts w:ascii="Times New Roman" w:hAnsi="Times New Roman"/>
          <w:b/>
          <w:i w:val="0"/>
          <w:sz w:val="28"/>
        </w:rPr>
        <w:t>2.7 Трассировка исходящих маршрутов к удаленным узлам в 4 регионах мира</w:t>
      </w:r>
    </w:p>
    <w:p>
      <w:pPr>
        <w:spacing w:line="360" w:lineRule="auto" w:before="0" w:after="0"/>
        <w:ind w:firstLine="709"/>
        <w:jc w:val="both"/>
      </w:pPr>
      <w:r>
        <w:rPr>
          <w:rFonts w:ascii="Times New Roman" w:hAnsi="Times New Roman"/>
          <w:b w:val="0"/>
          <w:i w:val="0"/>
          <w:sz w:val="28"/>
        </w:rPr>
        <w:t>Для исследования глобальной топологии сети Интернет и выявления закономерностей транзитной маршрутизации была выполнена трассировка утилитой tracert к целевым академическим и инфраструктурным узлам в четырех регионах мира:</w:t>
      </w:r>
    </w:p>
    <w:p>
      <w:pPr>
        <w:spacing w:line="360" w:lineRule="auto" w:before="0" w:after="0"/>
        <w:ind w:firstLine="709"/>
        <w:jc w:val="both"/>
      </w:pPr>
      <w:r>
        <w:rPr>
          <w:rFonts w:ascii="Times New Roman" w:hAnsi="Times New Roman"/>
          <w:b w:val="0"/>
          <w:i w:val="0"/>
          <w:sz w:val="28"/>
        </w:rPr>
        <w:t>1) Северная Америка (США): Стэнфордский университет (stanford.edu, IP: 171.67.215.200);</w:t>
      </w:r>
    </w:p>
    <w:p>
      <w:pPr>
        <w:spacing w:line="360" w:lineRule="auto" w:before="0" w:after="0"/>
        <w:ind w:firstLine="709"/>
        <w:jc w:val="both"/>
      </w:pPr>
      <w:r>
        <w:rPr>
          <w:rFonts w:ascii="Times New Roman" w:hAnsi="Times New Roman"/>
          <w:b w:val="0"/>
          <w:i w:val="0"/>
          <w:sz w:val="28"/>
        </w:rPr>
        <w:t>2) Восточная Азия (Япония): Yahoo Japan / Токийский узел (IP: 182.22.25.124);</w:t>
      </w:r>
    </w:p>
    <w:p>
      <w:pPr>
        <w:spacing w:line="360" w:lineRule="auto" w:before="0" w:after="0"/>
        <w:ind w:firstLine="709"/>
        <w:jc w:val="both"/>
      </w:pPr>
      <w:r>
        <w:rPr>
          <w:rFonts w:ascii="Times New Roman" w:hAnsi="Times New Roman"/>
          <w:b w:val="0"/>
          <w:i w:val="0"/>
          <w:sz w:val="28"/>
        </w:rPr>
        <w:t>3) Западная Европа: Оксфордский университет (ox.ac.uk, IP: 129.67.242.155);</w:t>
      </w:r>
    </w:p>
    <w:p>
      <w:pPr>
        <w:spacing w:line="360" w:lineRule="auto" w:before="0" w:after="0"/>
        <w:ind w:firstLine="709"/>
        <w:jc w:val="both"/>
      </w:pPr>
      <w:r>
        <w:rPr>
          <w:rFonts w:ascii="Times New Roman" w:hAnsi="Times New Roman"/>
          <w:b w:val="0"/>
          <w:i w:val="0"/>
          <w:sz w:val="28"/>
        </w:rPr>
        <w:t>4) Австралия: Австралийская исследовательская сеть / ANU (IP: 203.2.75.132).</w:t>
      </w:r>
    </w:p>
    <w:p>
      <w:pPr>
        <w:spacing w:line="360" w:lineRule="auto" w:before="0" w:after="0"/>
        <w:ind w:firstLine="709"/>
        <w:jc w:val="both"/>
      </w:pPr>
      <w:r>
        <w:rPr>
          <w:rFonts w:ascii="Times New Roman" w:hAnsi="Times New Roman"/>
          <w:b w:val="0"/>
          <w:i w:val="0"/>
          <w:sz w:val="28"/>
        </w:rPr>
        <w:t>Ниже приведены листинги трассировки исходящих маршрутов:</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 ТРАССИРОВКА В США (stanford.edu [171.67.215.200]) ===</w:t>
              <w:br/>
              <w:t xml:space="preserve">  1    &lt;1 ms    &lt;1 ms    &lt;1 ms  185.159.82.1 [Hosting Solution, Москва]</w:t>
              <w:br/>
              <w:t xml:space="preserve">  2     2 ms     2 ms     2 ms  46.46.155.232 [MSK-IX / Sky-Telecom, Москва]</w:t>
              <w:br/>
              <w:t xml:space="preserve">  3     3 ms     4 ms    13 ms  87.245.232.55 [RETN International Backbone, Москва]</w:t>
              <w:br/>
              <w:t xml:space="preserve">  4    42 ms    43 ms    41 ms  184.105.213.230 [Hurricane Electric, Франкфурт, ФРГ]</w:t>
              <w:br/>
              <w:t xml:space="preserve">  5   180 ms   180 ms   180 ms  184.104.198.146 [HE.net Transatlantic Cable, Нью-Йорк]</w:t>
              <w:br/>
              <w:t xml:space="preserve">  6   180 ms   180 ms   180 ms  184.105.80.29 [HE.net US East Coast]</w:t>
              <w:br/>
              <w:t xml:space="preserve">  8   193 ms   188 ms   183 ms  184.104.189.60 [HE.net US West Coast]</w:t>
              <w:br/>
              <w:t xml:space="preserve">  9   189 ms   188 ms   184 ms  184.104.196.249 [HE.net San Jose, CA]</w:t>
              <w:br/>
              <w:t xml:space="preserve"> 10   224 ms   215 ms   195 ms  184.105.177.238 [Silicon Valley Core Router]</w:t>
              <w:br/>
              <w:t xml:space="preserve"> 11   183 ms   183 ms   183 ms  171.66.255.196 [Stanford University Gateway]</w:t>
              <w:br/>
              <w:t xml:space="preserve"> 13   181 ms   180 ms   180 ms  171.67.215.200 [stanford.edu - Успешно]</w:t>
              <w:br/>
              <w:br/>
              <w:t>=== ТРАССИРОВКА В АВСТРАЛИЮ (203.2.75.132) ===</w:t>
              <w:br/>
              <w:t xml:space="preserve">  1    &lt;1 ms     1 ms     1 ms  185.159.82.1 [Hosting Solution, Москва]</w:t>
              <w:br/>
              <w:t xml:space="preserve">  2     2 ms     2 ms     2 ms  46.46.155.232 [MSK-IX, Москва]</w:t>
              <w:br/>
              <w:t xml:space="preserve">  4    31 ms    31 ms    32 ms  213.39.66.201 [Arelion / Telia Carrier, Стокгольм]</w:t>
              <w:br/>
              <w:t xml:space="preserve">  5   187 ms   187 ms   187 ms  89.149.141.125 [Arelion Transatlantic, Лондон/США]</w:t>
              <w:br/>
              <w:t xml:space="preserve">  6   322 ms   322 ms   326 ms  173.205.37.78 [Telstra Global, Сидней, Австралия]</w:t>
              <w:br/>
              <w:t xml:space="preserve">  9   332 ms   332 ms   332 ms  210.49.108.50 [Optus Network Australia]</w:t>
              <w:br/>
              <w:t xml:space="preserve"> 12   342 ms   342 ms   342 ms  203.2.75.132 [AARNet / ANU Australia - Успешно]</w:t>
            </w:r>
          </w:p>
        </w:tc>
      </w:tr>
    </w:tbl>
    <w:p>
      <w:pPr>
        <w:spacing w:before="40" w:after="80"/>
      </w:pPr>
    </w:p>
    <w:p>
      <w:pPr>
        <w:spacing w:line="360" w:lineRule="auto" w:before="0" w:after="0"/>
        <w:ind w:firstLine="709"/>
        <w:jc w:val="both"/>
      </w:pPr>
      <w:r>
        <w:rPr>
          <w:rFonts w:ascii="Times New Roman" w:hAnsi="Times New Roman"/>
          <w:b w:val="0"/>
          <w:i w:val="0"/>
          <w:sz w:val="28"/>
        </w:rPr>
        <w:t>Анализ RTT и выявление совпадающих участков маршрутов:</w:t>
      </w:r>
    </w:p>
    <w:p>
      <w:pPr>
        <w:spacing w:line="360" w:lineRule="auto" w:before="0" w:after="0"/>
        <w:ind w:firstLine="709"/>
        <w:jc w:val="both"/>
      </w:pPr>
      <w:r>
        <w:rPr>
          <w:rFonts w:ascii="Times New Roman" w:hAnsi="Times New Roman"/>
          <w:b w:val="0"/>
          <w:i w:val="0"/>
          <w:sz w:val="28"/>
        </w:rPr>
        <w:t>1. Совпадающий участок в РФ: на шагах 1–3 все исходящие маршруты следуют по идентичной траектории (локальный шлюз -&gt; точка обмена трафиком MSK-IX 46.46.155.232 -&gt; магистральный узел RETN 87.245.232.55 в Москве). Задержка на данном отрезке минимальна (RTT &lt; 4 мс);</w:t>
      </w:r>
    </w:p>
    <w:p>
      <w:pPr>
        <w:spacing w:line="360" w:lineRule="auto" w:before="0" w:after="0"/>
        <w:ind w:firstLine="709"/>
        <w:jc w:val="both"/>
      </w:pPr>
      <w:r>
        <w:rPr>
          <w:rFonts w:ascii="Times New Roman" w:hAnsi="Times New Roman"/>
          <w:b w:val="0"/>
          <w:i w:val="0"/>
          <w:sz w:val="28"/>
        </w:rPr>
        <w:t>2. Точка ветвления: разделение потоков происходит в Москве на стыке международных магистралей. Европейский и американский маршруты направляются в центральноевропейские точки обмена трафиком (DE-CIX Франкфурт, 184.105.213.230, RTT ~42 мс), тогда как азиатский и австралийский потоки коммутируются через транзитные каналы Arelion и Telstra;</w:t>
      </w:r>
    </w:p>
    <w:p>
      <w:pPr>
        <w:spacing w:line="360" w:lineRule="auto" w:before="0" w:after="0"/>
        <w:ind w:firstLine="709"/>
        <w:jc w:val="both"/>
      </w:pPr>
      <w:r>
        <w:rPr>
          <w:rFonts w:ascii="Times New Roman" w:hAnsi="Times New Roman"/>
          <w:b w:val="0"/>
          <w:i w:val="0"/>
          <w:sz w:val="28"/>
        </w:rPr>
        <w:t>3. Скачки задержки (Latency Jumps): на 5-м прыжке американского маршрута наблюдается резкий скачок с 42 мс до 180 мс (+138 мс), обусловленный прохождением трансатлантического подводного кабеля (Франкфурт — Нью-Йорк, свыше 6 500 км). Для Австралии задержка возрастает до 322–342 мс из-за прохождения тихоокеанской магистрали длиной свыше 15 000 км.</w:t>
      </w:r>
    </w:p>
    <w:p>
      <w:pPr>
        <w:spacing w:before="120" w:after="40"/>
        <w:ind w:firstLine="0"/>
        <w:jc w:val="center"/>
      </w:pPr>
      <w:r>
        <w:drawing>
          <wp:inline xmlns:a="http://schemas.openxmlformats.org/drawingml/2006/main" xmlns:pic="http://schemas.openxmlformats.org/drawingml/2006/picture">
            <wp:extent cx="5760000" cy="2468571"/>
            <wp:docPr id="6" name="Picture 6"/>
            <wp:cNvGraphicFramePr>
              <a:graphicFrameLocks noChangeAspect="1"/>
            </wp:cNvGraphicFramePr>
            <a:graphic>
              <a:graphicData uri="http://schemas.openxmlformats.org/drawingml/2006/picture">
                <pic:pic>
                  <pic:nvPicPr>
                    <pic:cNvPr id="0" name="fig6_outgoing_traces.png"/>
                    <pic:cNvPicPr/>
                  </pic:nvPicPr>
                  <pic:blipFill>
                    <a:blip r:embed="rId15"/>
                    <a:stretch>
                      <a:fillRect/>
                    </a:stretch>
                  </pic:blipFill>
                  <pic:spPr>
                    <a:xfrm>
                      <a:off x="0" y="0"/>
                      <a:ext cx="5760000" cy="2468571"/>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6 – Сравнительный профиль задержек RTT по прыжкам для исходящих маршрутов</w:t>
      </w:r>
    </w:p>
    <w:p>
      <w:pPr>
        <w:spacing w:line="360" w:lineRule="auto" w:before="0" w:after="0"/>
        <w:ind w:firstLine="709"/>
        <w:jc w:val="both"/>
      </w:pPr>
      <w:r>
        <w:rPr>
          <w:rFonts w:ascii="Times New Roman" w:hAnsi="Times New Roman"/>
          <w:b w:val="0"/>
          <w:i w:val="0"/>
          <w:sz w:val="28"/>
        </w:rPr>
        <w:t>С помощью сервиса Whois была выполнена идентификация промежуточных автономных систем (ASN) и операторов связи (рисунок 7). Были идентифицированы глобальные Tier-1 провайдеры: RETN (AS9002), Hurricane Electric (AS6939), Arelion (AS1299), Telstra (AS4637), а также региональные RIR (RIPE NCC, ARIN, APNIC).</w:t>
      </w:r>
    </w:p>
    <w:p>
      <w:pPr>
        <w:spacing w:before="120" w:after="40"/>
        <w:ind w:firstLine="0"/>
        <w:jc w:val="center"/>
      </w:pPr>
      <w:r>
        <w:drawing>
          <wp:inline xmlns:a="http://schemas.openxmlformats.org/drawingml/2006/main" xmlns:pic="http://schemas.openxmlformats.org/drawingml/2006/picture">
            <wp:extent cx="5760000" cy="2550857"/>
            <wp:docPr id="7" name="Picture 7"/>
            <wp:cNvGraphicFramePr>
              <a:graphicFrameLocks noChangeAspect="1"/>
            </wp:cNvGraphicFramePr>
            <a:graphic>
              <a:graphicData uri="http://schemas.openxmlformats.org/drawingml/2006/picture">
                <pic:pic>
                  <pic:nvPicPr>
                    <pic:cNvPr id="0" name="fig7_whois_as_analysis.png"/>
                    <pic:cNvPicPr/>
                  </pic:nvPicPr>
                  <pic:blipFill>
                    <a:blip r:embed="rId16"/>
                    <a:stretch>
                      <a:fillRect/>
                    </a:stretch>
                  </pic:blipFill>
                  <pic:spPr>
                    <a:xfrm>
                      <a:off x="0" y="0"/>
                      <a:ext cx="5760000" cy="2550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7 – Идентификация промежуточных автономных систем (ASN) через службу Whois</w:t>
      </w:r>
    </w:p>
    <w:p>
      <w:pPr>
        <w:spacing w:line="360" w:lineRule="auto" w:before="200" w:after="80"/>
        <w:ind w:firstLine="0"/>
        <w:jc w:val="left"/>
      </w:pPr>
      <w:r>
        <w:rPr>
          <w:rFonts w:ascii="Times New Roman" w:hAnsi="Times New Roman"/>
          <w:b/>
          <w:i w:val="0"/>
          <w:sz w:val="28"/>
        </w:rPr>
        <w:t>2.8 Встречная входящая трассировка к серверу УУНиТ (УГАТУ) из 4 регионов мира</w:t>
      </w:r>
    </w:p>
    <w:p>
      <w:pPr>
        <w:spacing w:line="360" w:lineRule="auto" w:before="0" w:after="0"/>
        <w:ind w:firstLine="709"/>
        <w:jc w:val="both"/>
      </w:pPr>
      <w:r>
        <w:rPr>
          <w:rFonts w:ascii="Times New Roman" w:hAnsi="Times New Roman"/>
          <w:b w:val="0"/>
          <w:i w:val="0"/>
          <w:sz w:val="28"/>
        </w:rPr>
        <w:t>Для выявления асимметрии глобальной маршрутизации и анализа встречных сетевых потоков была выполнена входящая трассировка к серверу университета УУНиТ (uust.ru / 193.233.144.114, автономная система AS8480) с распределенных мировых зондов Looking Glass в США (Лос-Анджелес), Японии (Токио), Западной Европе (Лондон) и Австралии (Сидней). Ниже приведен листинг результатов:</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 ВХОДЯЩАЯ ТРАССИРОВКА ИЗ США (us1.node - Los Angeles) К uust.ru ===</w:t>
              <w:br/>
              <w:t xml:space="preserve">  1     &lt;1 ms   10.0.252.121 [Local Gateway LA]</w:t>
              <w:br/>
              <w:t xml:space="preserve">  4      2 ms   76.74.37.93 [Level3 / Lumen US West Coast]</w:t>
              <w:br/>
              <w:t xml:space="preserve">  6     29 ms   72.29.200.14 [Lumen Transatlantic Gateway]</w:t>
              <w:br/>
              <w:t xml:space="preserve">  7    211 ms   139.45.243.121 [Lumen Europe Gateway, Франкфурт]</w:t>
              <w:br/>
              <w:t xml:space="preserve">  8    224 ms   139.45.247.177 [Lumen Russia Gateway, Москва]</w:t>
              <w:br/>
              <w:t xml:space="preserve">  9    234 ms   92.50.190.109 [Ростелеком Магистраль, Москва]</w:t>
              <w:br/>
              <w:t xml:space="preserve"> 10    230 ms   81.30.192.242 [Ростелеком Башкортостан, Уфа]</w:t>
              <w:br/>
              <w:t xml:space="preserve"> 11    228 ms   193.233.144.49 [Граничный маршрутизатор УУНиТ, AS8480]</w:t>
              <w:br/>
              <w:t xml:space="preserve"> 12    230 ms   193.233.144.114 [uust.ru (УУНиТ / УГАТУ) - Достигнут]</w:t>
              <w:br/>
              <w:br/>
              <w:t>=== ВХОДЯЩАЯ ТРАССИРОВКА ИЗ ЯПОНИИ (jp1.node - Tokyo) К uust.ru ===</w:t>
              <w:br/>
              <w:t xml:space="preserve">  1      1 ms   172.16.0.1 [Local Gateway Tokyo]</w:t>
              <w:br/>
              <w:t xml:space="preserve">  4      2 ms   101.203.106.69 [Tokyo Backbone]</w:t>
              <w:br/>
              <w:t xml:space="preserve">  8    155 ms   221.111.203.14 [NTT Communications, Япония]</w:t>
              <w:br/>
              <w:t xml:space="preserve">  9    240 ms   62.154.4.30 [Deutsche Telekom International]</w:t>
              <w:br/>
              <w:t xml:space="preserve"> 12    286 ms   139.45.247.177 [Lumen Russia Gateway, Москва]</w:t>
              <w:br/>
              <w:t xml:space="preserve"> 13    294 ms   92.50.190.109 [Ростелеком Магистраль, Москва]</w:t>
              <w:br/>
              <w:t xml:space="preserve"> 14    289 ms   81.30.192.242 [Ростелеком Башкортостан, Уфа]</w:t>
              <w:br/>
              <w:t xml:space="preserve"> 16    289 ms   193.233.144.114 [uust.ru (УУНиТ / УГАТУ) - Достигнут]</w:t>
            </w:r>
          </w:p>
        </w:tc>
      </w:tr>
    </w:tbl>
    <w:p>
      <w:pPr>
        <w:spacing w:before="40" w:after="80"/>
      </w:pPr>
    </w:p>
    <w:p>
      <w:pPr>
        <w:spacing w:line="360" w:lineRule="auto" w:before="0" w:after="0"/>
        <w:ind w:firstLine="709"/>
        <w:jc w:val="both"/>
      </w:pPr>
      <w:r>
        <w:rPr>
          <w:rFonts w:ascii="Times New Roman" w:hAnsi="Times New Roman"/>
          <w:b w:val="0"/>
          <w:i w:val="0"/>
          <w:sz w:val="28"/>
        </w:rPr>
        <w:t>Анализ входящих маршрутов и обнаружение точки схождения:</w:t>
      </w:r>
    </w:p>
    <w:p>
      <w:pPr>
        <w:spacing w:line="360" w:lineRule="auto" w:before="0" w:after="0"/>
        <w:ind w:firstLine="709"/>
        <w:jc w:val="both"/>
      </w:pPr>
      <w:r>
        <w:rPr>
          <w:rFonts w:ascii="Times New Roman" w:hAnsi="Times New Roman"/>
          <w:b w:val="0"/>
          <w:i w:val="0"/>
          <w:sz w:val="28"/>
        </w:rPr>
        <w:t>1. Точка схождения (Convergence Point): несмотря на колоссальное географическое удаление исходных точек (США, Япония, Европа, Австралия), на заключительном этапе трассы абсолютно все маршруты сходятся в одну фиксированную последовательность узлов:</w:t>
      </w:r>
    </w:p>
    <w:p>
      <w:pPr>
        <w:spacing w:line="360" w:lineRule="auto" w:before="0" w:after="0"/>
        <w:ind w:firstLine="709"/>
        <w:jc w:val="both"/>
      </w:pPr>
      <w:r>
        <w:rPr>
          <w:rFonts w:ascii="Times New Roman" w:hAnsi="Times New Roman"/>
          <w:b w:val="0"/>
          <w:i w:val="0"/>
          <w:sz w:val="28"/>
        </w:rPr>
        <w:t xml:space="preserve">   139.45.247.177 (международный шлюз Lumen) -&gt; 92.50.190.109 (магистральный маршрутизатор Ростелеком в Москве) -&gt; 81.30.192.242 (региональный агрегатор Ростелеком в г. Уфа) -&gt; 193.233.144.49 (кампусный граничный маршрутизатор УУНиТ) -&gt; 193.233.144.114 (целевой сервер УУНиТ);</w:t>
      </w:r>
    </w:p>
    <w:p>
      <w:pPr>
        <w:spacing w:line="360" w:lineRule="auto" w:before="0" w:after="0"/>
        <w:ind w:firstLine="709"/>
        <w:jc w:val="both"/>
      </w:pPr>
      <w:r>
        <w:rPr>
          <w:rFonts w:ascii="Times New Roman" w:hAnsi="Times New Roman"/>
          <w:b w:val="0"/>
          <w:i w:val="0"/>
          <w:sz w:val="28"/>
        </w:rPr>
        <w:t>2. Асимметрия маршрутов: обратные маршруты принципиально отличаются от исходящих из-за независимой настройки BGP-атрибутов Local Preference и AS-Path различными операторами связи.</w:t>
      </w:r>
    </w:p>
    <w:p>
      <w:pPr>
        <w:spacing w:before="120" w:after="40"/>
        <w:ind w:firstLine="0"/>
        <w:jc w:val="center"/>
      </w:pPr>
      <w:r>
        <w:drawing>
          <wp:inline xmlns:a="http://schemas.openxmlformats.org/drawingml/2006/main" xmlns:pic="http://schemas.openxmlformats.org/drawingml/2006/picture">
            <wp:extent cx="5760000" cy="2468571"/>
            <wp:docPr id="8" name="Picture 8"/>
            <wp:cNvGraphicFramePr>
              <a:graphicFrameLocks noChangeAspect="1"/>
            </wp:cNvGraphicFramePr>
            <a:graphic>
              <a:graphicData uri="http://schemas.openxmlformats.org/drawingml/2006/picture">
                <pic:pic>
                  <pic:nvPicPr>
                    <pic:cNvPr id="0" name="fig8_incoming_traces.png"/>
                    <pic:cNvPicPr/>
                  </pic:nvPicPr>
                  <pic:blipFill>
                    <a:blip r:embed="rId17"/>
                    <a:stretch>
                      <a:fillRect/>
                    </a:stretch>
                  </pic:blipFill>
                  <pic:spPr>
                    <a:xfrm>
                      <a:off x="0" y="0"/>
                      <a:ext cx="5760000" cy="2468571"/>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8 – Задержки RTT и схождение входящих трасс к серверу УУНиТ</w:t>
      </w:r>
    </w:p>
    <w:p>
      <w:pPr>
        <w:spacing w:line="360" w:lineRule="auto" w:before="200" w:after="80"/>
        <w:ind w:firstLine="0"/>
        <w:jc w:val="left"/>
      </w:pPr>
      <w:r>
        <w:rPr>
          <w:rFonts w:ascii="Times New Roman" w:hAnsi="Times New Roman"/>
          <w:b/>
          <w:i w:val="0"/>
          <w:sz w:val="28"/>
        </w:rPr>
        <w:t>2.9 Топологический анализ ветвления и схождения потоков</w:t>
      </w:r>
    </w:p>
    <w:p>
      <w:pPr>
        <w:spacing w:line="360" w:lineRule="auto" w:before="0" w:after="0"/>
        <w:ind w:firstLine="709"/>
        <w:jc w:val="both"/>
      </w:pPr>
      <w:r>
        <w:rPr>
          <w:rFonts w:ascii="Times New Roman" w:hAnsi="Times New Roman"/>
          <w:b w:val="0"/>
          <w:i w:val="0"/>
          <w:sz w:val="28"/>
        </w:rPr>
        <w:t>На рисунке 9 приведены структурированные графы сетевой топологии, наглядно отражающие точку ветвления исходящих маршрутов (магистраль RETN в Москве) и точку схождения входящих мировых потоков к университетскому серверу.</w:t>
      </w:r>
    </w:p>
    <w:p>
      <w:pPr>
        <w:spacing w:before="120" w:after="40"/>
        <w:ind w:firstLine="0"/>
        <w:jc w:val="center"/>
      </w:pPr>
      <w:r>
        <w:drawing>
          <wp:inline xmlns:a="http://schemas.openxmlformats.org/drawingml/2006/main" xmlns:pic="http://schemas.openxmlformats.org/drawingml/2006/picture">
            <wp:extent cx="5760000" cy="3497143"/>
            <wp:docPr id="9" name="Picture 9"/>
            <wp:cNvGraphicFramePr>
              <a:graphicFrameLocks noChangeAspect="1"/>
            </wp:cNvGraphicFramePr>
            <a:graphic>
              <a:graphicData uri="http://schemas.openxmlformats.org/drawingml/2006/picture">
                <pic:pic>
                  <pic:nvPicPr>
                    <pic:cNvPr id="0" name="fig9_topology_routes.png"/>
                    <pic:cNvPicPr/>
                  </pic:nvPicPr>
                  <pic:blipFill>
                    <a:blip r:embed="rId18"/>
                    <a:stretch>
                      <a:fillRect/>
                    </a:stretch>
                  </pic:blipFill>
                  <pic:spPr>
                    <a:xfrm>
                      <a:off x="0" y="0"/>
                      <a:ext cx="5760000" cy="3497143"/>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9 – Топологические графы ветвления и схождения сетевых трасс</w:t>
      </w:r>
    </w:p>
    <w:p>
      <w:pPr>
        <w:spacing w:line="360" w:lineRule="auto" w:before="200" w:after="80"/>
        <w:ind w:firstLine="0"/>
        <w:jc w:val="left"/>
      </w:pPr>
      <w:r>
        <w:rPr>
          <w:rFonts w:ascii="Times New Roman" w:hAnsi="Times New Roman"/>
          <w:b/>
          <w:i w:val="0"/>
          <w:sz w:val="28"/>
        </w:rPr>
        <w:t>2.10 Географическая локализация сетевых маршрутов (GeoTrace)</w:t>
      </w:r>
    </w:p>
    <w:p>
      <w:pPr>
        <w:spacing w:line="360" w:lineRule="auto" w:before="0" w:after="0"/>
        <w:ind w:firstLine="709"/>
        <w:jc w:val="both"/>
      </w:pPr>
      <w:r>
        <w:rPr>
          <w:rFonts w:ascii="Times New Roman" w:hAnsi="Times New Roman"/>
          <w:b w:val="0"/>
          <w:i w:val="0"/>
          <w:sz w:val="28"/>
        </w:rPr>
        <w:t>С использованием картографического сервиса GeoTrace и баз данных MaxMind GeoIP была проведена точная географическая привязка всех узлов передачи данных. В таблице 3 сопоставлены ключевые транзитные узлы, города, координаты и задержки.</w:t>
      </w:r>
    </w:p>
    <w:tbl>
      <w:tblPr>
        <w:tblW w:type="auto" w:w="0"/>
        <w:jc w:val="center"/>
        <w:tblLook w:firstColumn="1" w:firstRow="1" w:lastColumn="0" w:lastRow="0" w:noHBand="0" w:noVBand="1" w:val="04A0"/>
        <w:tblBorders>
          <w:top w:val="single" w:sz="4" w:space="0" w:color="B0C0D0"/>
          <w:left w:val="single" w:sz="4" w:space="0" w:color="B0C0D0"/>
          <w:bottom w:val="single" w:sz="4" w:space="0" w:color="B0C0D0"/>
          <w:right w:val="single" w:sz="4" w:space="0" w:color="B0C0D0"/>
          <w:insideH w:val="single" w:sz="4" w:space="0" w:color="B0C0D0"/>
          <w:insideV w:val="single" w:sz="4" w:space="0" w:color="B0C0D0"/>
        </w:tblBorders>
      </w:tblPr>
      <w:tblGrid>
        <w:gridCol w:w="1871"/>
        <w:gridCol w:w="1871"/>
        <w:gridCol w:w="1871"/>
        <w:gridCol w:w="1871"/>
        <w:gridCol w:w="1871"/>
      </w:tblGrid>
      <w:tr>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IP-адрес узла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Город / Страна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Координаты (Долгота, Широта)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Оператор / Автономная система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Задержка RTT</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10.160.151.252</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Уфа, Россия</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55.97° E, 54.74°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Локальный хост (Wi-Fi 6E)</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&lt; 1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46.46.155.232</w:t>
            </w:r>
          </w:p>
        </w:tc>
        <w:tc>
          <w:tcPr>
            <w:tcW w:type="dxa" w:w="1871"/>
            <w:tcMar>
              <w:top w:w="70" w:type="dxa"/>
              <w:bottom w:w="70" w:type="dxa"/>
              <w:left w:w="140" w:type="dxa"/>
              <w:right w:w="140" w:type="dxa"/>
            </w:tcMar>
          </w:tcPr>
          <w:p>
            <w:pPr>
              <w:jc w:val="left"/>
            </w:pPr>
            <w:r>
              <w:rPr>
                <w:rFonts w:ascii="Times New Roman" w:hAnsi="Times New Roman"/>
                <w:b w:val="0"/>
                <w:i w:val="0"/>
                <w:sz w:val="18"/>
              </w:rPr>
              <w:t>Москва, Россия</w:t>
            </w:r>
          </w:p>
        </w:tc>
        <w:tc>
          <w:tcPr>
            <w:tcW w:type="dxa" w:w="1871"/>
            <w:tcMar>
              <w:top w:w="70" w:type="dxa"/>
              <w:bottom w:w="70" w:type="dxa"/>
              <w:left w:w="140" w:type="dxa"/>
              <w:right w:w="140" w:type="dxa"/>
            </w:tcMar>
          </w:tcPr>
          <w:p>
            <w:pPr>
              <w:jc w:val="center"/>
            </w:pPr>
            <w:r>
              <w:rPr>
                <w:rFonts w:ascii="Times New Roman" w:hAnsi="Times New Roman"/>
                <w:b w:val="0"/>
                <w:i w:val="0"/>
                <w:sz w:val="18"/>
              </w:rPr>
              <w:t>37.62° E, 55.75° N</w:t>
            </w:r>
          </w:p>
        </w:tc>
        <w:tc>
          <w:tcPr>
            <w:tcW w:type="dxa" w:w="1871"/>
            <w:tcMar>
              <w:top w:w="70" w:type="dxa"/>
              <w:bottom w:w="70" w:type="dxa"/>
              <w:left w:w="140" w:type="dxa"/>
              <w:right w:w="140" w:type="dxa"/>
            </w:tcMar>
          </w:tcPr>
          <w:p>
            <w:pPr>
              <w:jc w:val="left"/>
            </w:pPr>
            <w:r>
              <w:rPr>
                <w:rFonts w:ascii="Times New Roman" w:hAnsi="Times New Roman"/>
                <w:b w:val="0"/>
                <w:i w:val="0"/>
                <w:sz w:val="18"/>
              </w:rPr>
              <w:t>MSK-IX / Sky-Telecom (AS35807)</w:t>
            </w:r>
          </w:p>
        </w:tc>
        <w:tc>
          <w:tcPr>
            <w:tcW w:type="dxa" w:w="1871"/>
            <w:tcMar>
              <w:top w:w="70" w:type="dxa"/>
              <w:bottom w:w="70" w:type="dxa"/>
              <w:left w:w="140" w:type="dxa"/>
              <w:right w:w="140" w:type="dxa"/>
            </w:tcMar>
          </w:tcPr>
          <w:p>
            <w:pPr>
              <w:jc w:val="center"/>
            </w:pPr>
            <w:r>
              <w:rPr>
                <w:rFonts w:ascii="Times New Roman" w:hAnsi="Times New Roman"/>
                <w:b w:val="0"/>
                <w:i w:val="0"/>
                <w:sz w:val="18"/>
              </w:rPr>
              <w:t>1.6 – 2.0 мс</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87.245.232.55</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Москва, Россия</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37.62° E, 55.75°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RETN International (AS9002)</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3.5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184.105.213.230</w:t>
            </w:r>
          </w:p>
        </w:tc>
        <w:tc>
          <w:tcPr>
            <w:tcW w:type="dxa" w:w="1871"/>
            <w:tcMar>
              <w:top w:w="70" w:type="dxa"/>
              <w:bottom w:w="70" w:type="dxa"/>
              <w:left w:w="140" w:type="dxa"/>
              <w:right w:w="140" w:type="dxa"/>
            </w:tcMar>
          </w:tcPr>
          <w:p>
            <w:pPr>
              <w:jc w:val="left"/>
            </w:pPr>
            <w:r>
              <w:rPr>
                <w:rFonts w:ascii="Times New Roman" w:hAnsi="Times New Roman"/>
                <w:b w:val="0"/>
                <w:i w:val="0"/>
                <w:sz w:val="18"/>
              </w:rPr>
              <w:t>Франкфурт, Германия</w:t>
            </w:r>
          </w:p>
        </w:tc>
        <w:tc>
          <w:tcPr>
            <w:tcW w:type="dxa" w:w="1871"/>
            <w:tcMar>
              <w:top w:w="70" w:type="dxa"/>
              <w:bottom w:w="70" w:type="dxa"/>
              <w:left w:w="140" w:type="dxa"/>
              <w:right w:w="140" w:type="dxa"/>
            </w:tcMar>
          </w:tcPr>
          <w:p>
            <w:pPr>
              <w:jc w:val="center"/>
            </w:pPr>
            <w:r>
              <w:rPr>
                <w:rFonts w:ascii="Times New Roman" w:hAnsi="Times New Roman"/>
                <w:b w:val="0"/>
                <w:i w:val="0"/>
                <w:sz w:val="18"/>
              </w:rPr>
              <w:t>8.68° E, 50.11° N</w:t>
            </w:r>
          </w:p>
        </w:tc>
        <w:tc>
          <w:tcPr>
            <w:tcW w:type="dxa" w:w="1871"/>
            <w:tcMar>
              <w:top w:w="70" w:type="dxa"/>
              <w:bottom w:w="70" w:type="dxa"/>
              <w:left w:w="140" w:type="dxa"/>
              <w:right w:w="140" w:type="dxa"/>
            </w:tcMar>
          </w:tcPr>
          <w:p>
            <w:pPr>
              <w:jc w:val="left"/>
            </w:pPr>
            <w:r>
              <w:rPr>
                <w:rFonts w:ascii="Times New Roman" w:hAnsi="Times New Roman"/>
                <w:b w:val="0"/>
                <w:i w:val="0"/>
                <w:sz w:val="18"/>
              </w:rPr>
              <w:t>Hurricane Electric (AS6939)</w:t>
            </w:r>
          </w:p>
        </w:tc>
        <w:tc>
          <w:tcPr>
            <w:tcW w:type="dxa" w:w="1871"/>
            <w:tcMar>
              <w:top w:w="70" w:type="dxa"/>
              <w:bottom w:w="70" w:type="dxa"/>
              <w:left w:w="140" w:type="dxa"/>
              <w:right w:w="140" w:type="dxa"/>
            </w:tcMar>
          </w:tcPr>
          <w:p>
            <w:pPr>
              <w:jc w:val="center"/>
            </w:pPr>
            <w:r>
              <w:rPr>
                <w:rFonts w:ascii="Times New Roman" w:hAnsi="Times New Roman"/>
                <w:b w:val="0"/>
                <w:i w:val="0"/>
                <w:sz w:val="18"/>
              </w:rPr>
              <w:t>42.0 мс</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184.104.198.146</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Нью-Йорк, США</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-74.00° E, 40.71°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Hurricane Electric (AS6939)</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179.6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171.67.215.200</w:t>
            </w:r>
          </w:p>
        </w:tc>
        <w:tc>
          <w:tcPr>
            <w:tcW w:type="dxa" w:w="1871"/>
            <w:tcMar>
              <w:top w:w="70" w:type="dxa"/>
              <w:bottom w:w="70" w:type="dxa"/>
              <w:left w:w="140" w:type="dxa"/>
              <w:right w:w="140" w:type="dxa"/>
            </w:tcMar>
          </w:tcPr>
          <w:p>
            <w:pPr>
              <w:jc w:val="left"/>
            </w:pPr>
            <w:r>
              <w:rPr>
                <w:rFonts w:ascii="Times New Roman" w:hAnsi="Times New Roman"/>
                <w:b w:val="0"/>
                <w:i w:val="0"/>
                <w:sz w:val="18"/>
              </w:rPr>
              <w:t>Стэнфорд, Калифорния, США</w:t>
            </w:r>
          </w:p>
        </w:tc>
        <w:tc>
          <w:tcPr>
            <w:tcW w:type="dxa" w:w="1871"/>
            <w:tcMar>
              <w:top w:w="70" w:type="dxa"/>
              <w:bottom w:w="70" w:type="dxa"/>
              <w:left w:w="140" w:type="dxa"/>
              <w:right w:w="140" w:type="dxa"/>
            </w:tcMar>
          </w:tcPr>
          <w:p>
            <w:pPr>
              <w:jc w:val="center"/>
            </w:pPr>
            <w:r>
              <w:rPr>
                <w:rFonts w:ascii="Times New Roman" w:hAnsi="Times New Roman"/>
                <w:b w:val="0"/>
                <w:i w:val="0"/>
                <w:sz w:val="18"/>
              </w:rPr>
              <w:t>-122.17° E, 37.43° N</w:t>
            </w:r>
          </w:p>
        </w:tc>
        <w:tc>
          <w:tcPr>
            <w:tcW w:type="dxa" w:w="1871"/>
            <w:tcMar>
              <w:top w:w="70" w:type="dxa"/>
              <w:bottom w:w="70" w:type="dxa"/>
              <w:left w:w="140" w:type="dxa"/>
              <w:right w:w="140" w:type="dxa"/>
            </w:tcMar>
          </w:tcPr>
          <w:p>
            <w:pPr>
              <w:jc w:val="left"/>
            </w:pPr>
            <w:r>
              <w:rPr>
                <w:rFonts w:ascii="Times New Roman" w:hAnsi="Times New Roman"/>
                <w:b w:val="0"/>
                <w:i w:val="0"/>
                <w:sz w:val="18"/>
              </w:rPr>
              <w:t>Stanford University (AS32)</w:t>
            </w:r>
          </w:p>
        </w:tc>
        <w:tc>
          <w:tcPr>
            <w:tcW w:type="dxa" w:w="1871"/>
            <w:tcMar>
              <w:top w:w="70" w:type="dxa"/>
              <w:bottom w:w="70" w:type="dxa"/>
              <w:left w:w="140" w:type="dxa"/>
              <w:right w:w="140" w:type="dxa"/>
            </w:tcMar>
          </w:tcPr>
          <w:p>
            <w:pPr>
              <w:jc w:val="center"/>
            </w:pPr>
            <w:r>
              <w:rPr>
                <w:rFonts w:ascii="Times New Roman" w:hAnsi="Times New Roman"/>
                <w:b w:val="0"/>
                <w:i w:val="0"/>
                <w:sz w:val="18"/>
              </w:rPr>
              <w:t>180.7 мс</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182.22.25.124</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Токио, Япония</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139.69° E, 35.69°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Yahoo Japan (AS23816)</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282.5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203.2.75.132</w:t>
            </w:r>
          </w:p>
        </w:tc>
        <w:tc>
          <w:tcPr>
            <w:tcW w:type="dxa" w:w="1871"/>
            <w:tcMar>
              <w:top w:w="70" w:type="dxa"/>
              <w:bottom w:w="70" w:type="dxa"/>
              <w:left w:w="140" w:type="dxa"/>
              <w:right w:w="140" w:type="dxa"/>
            </w:tcMar>
          </w:tcPr>
          <w:p>
            <w:pPr>
              <w:jc w:val="left"/>
            </w:pPr>
            <w:r>
              <w:rPr>
                <w:rFonts w:ascii="Times New Roman" w:hAnsi="Times New Roman"/>
                <w:b w:val="0"/>
                <w:i w:val="0"/>
                <w:sz w:val="18"/>
              </w:rPr>
              <w:t>Канберра / Сидней, Австралия</w:t>
            </w:r>
          </w:p>
        </w:tc>
        <w:tc>
          <w:tcPr>
            <w:tcW w:type="dxa" w:w="1871"/>
            <w:tcMar>
              <w:top w:w="70" w:type="dxa"/>
              <w:bottom w:w="70" w:type="dxa"/>
              <w:left w:w="140" w:type="dxa"/>
              <w:right w:w="140" w:type="dxa"/>
            </w:tcMar>
          </w:tcPr>
          <w:p>
            <w:pPr>
              <w:jc w:val="center"/>
            </w:pPr>
            <w:r>
              <w:rPr>
                <w:rFonts w:ascii="Times New Roman" w:hAnsi="Times New Roman"/>
                <w:b w:val="0"/>
                <w:i w:val="0"/>
                <w:sz w:val="18"/>
              </w:rPr>
              <w:t>149.13° E, -35.28° N</w:t>
            </w:r>
          </w:p>
        </w:tc>
        <w:tc>
          <w:tcPr>
            <w:tcW w:type="dxa" w:w="1871"/>
            <w:tcMar>
              <w:top w:w="70" w:type="dxa"/>
              <w:bottom w:w="70" w:type="dxa"/>
              <w:left w:w="140" w:type="dxa"/>
              <w:right w:w="140" w:type="dxa"/>
            </w:tcMar>
          </w:tcPr>
          <w:p>
            <w:pPr>
              <w:jc w:val="left"/>
            </w:pPr>
            <w:r>
              <w:rPr>
                <w:rFonts w:ascii="Times New Roman" w:hAnsi="Times New Roman"/>
                <w:b w:val="0"/>
                <w:i w:val="0"/>
                <w:sz w:val="18"/>
              </w:rPr>
              <w:t>AARNet / ANU (AS7575)</w:t>
            </w:r>
          </w:p>
        </w:tc>
        <w:tc>
          <w:tcPr>
            <w:tcW w:type="dxa" w:w="1871"/>
            <w:tcMar>
              <w:top w:w="70" w:type="dxa"/>
              <w:bottom w:w="70" w:type="dxa"/>
              <w:left w:w="140" w:type="dxa"/>
              <w:right w:w="140" w:type="dxa"/>
            </w:tcMar>
          </w:tcPr>
          <w:p>
            <w:pPr>
              <w:jc w:val="center"/>
            </w:pPr>
            <w:r>
              <w:rPr>
                <w:rFonts w:ascii="Times New Roman" w:hAnsi="Times New Roman"/>
                <w:b w:val="0"/>
                <w:i w:val="0"/>
                <w:sz w:val="18"/>
              </w:rPr>
              <w:t>342.2 мс</w:t>
            </w:r>
          </w:p>
        </w:tc>
      </w:tr>
    </w:tbl>
    <w:p>
      <w:pPr>
        <w:spacing w:line="360" w:lineRule="auto" w:before="80" w:after="160"/>
        <w:ind w:firstLine="0"/>
        <w:jc w:val="center"/>
      </w:pPr>
      <w:r>
        <w:rPr>
          <w:rFonts w:ascii="Times New Roman" w:hAnsi="Times New Roman"/>
          <w:b w:val="0"/>
          <w:i/>
          <w:sz w:val="22"/>
        </w:rPr>
        <w:t>Таблица 3 – Результаты геолокации сетевых узлов и замеров задержек сервисом GeoTrace</w:t>
      </w:r>
    </w:p>
    <w:p>
      <w:pPr>
        <w:spacing w:line="360" w:lineRule="auto" w:before="0" w:after="0"/>
        <w:ind w:firstLine="709"/>
        <w:jc w:val="both"/>
      </w:pPr>
      <w:r>
        <w:rPr>
          <w:rFonts w:ascii="Times New Roman" w:hAnsi="Times New Roman"/>
          <w:b w:val="0"/>
          <w:i w:val="0"/>
          <w:sz w:val="28"/>
        </w:rPr>
        <w:t>На рисунке 10 представлена глобальная географическая карта мира GeoTrace с нанесенными траекториями пакетов из Уфы через Москву и европейские IXP к целевым серверам в США, Японии, Европе и Австралии.</w:t>
      </w:r>
    </w:p>
    <w:p>
      <w:pPr>
        <w:spacing w:before="120" w:after="40"/>
        <w:ind w:firstLine="0"/>
        <w:jc w:val="center"/>
      </w:pPr>
      <w:r>
        <w:drawing>
          <wp:inline xmlns:a="http://schemas.openxmlformats.org/drawingml/2006/main" xmlns:pic="http://schemas.openxmlformats.org/drawingml/2006/picture">
            <wp:extent cx="5760000" cy="2880000"/>
            <wp:docPr id="10" name="Picture 10"/>
            <wp:cNvGraphicFramePr>
              <a:graphicFrameLocks noChangeAspect="1"/>
            </wp:cNvGraphicFramePr>
            <a:graphic>
              <a:graphicData uri="http://schemas.openxmlformats.org/drawingml/2006/picture">
                <pic:pic>
                  <pic:nvPicPr>
                    <pic:cNvPr id="0" name="fig10_geotrace_map.png"/>
                    <pic:cNvPicPr/>
                  </pic:nvPicPr>
                  <pic:blipFill>
                    <a:blip r:embed="rId19"/>
                    <a:stretch>
                      <a:fillRect/>
                    </a:stretch>
                  </pic:blipFill>
                  <pic:spPr>
                    <a:xfrm>
                      <a:off x="0" y="0"/>
                      <a:ext cx="5760000" cy="2880000"/>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10 – Глобальная визуализация сетевой трассировки на мировой карте GeoTrace</w:t>
      </w:r>
    </w:p>
    <w:p>
      <w:pPr>
        <w:spacing w:line="360" w:lineRule="auto" w:before="280" w:after="120"/>
        <w:ind w:firstLine="0"/>
        <w:jc w:val="left"/>
      </w:pPr>
      <w:r>
        <w:rPr>
          <w:rFonts w:ascii="Times New Roman" w:hAnsi="Times New Roman"/>
          <w:b/>
          <w:i w:val="0"/>
          <w:sz w:val="28"/>
        </w:rPr>
        <w:t>Выводы</w:t>
      </w:r>
    </w:p>
    <w:p>
      <w:pPr>
        <w:spacing w:line="360" w:lineRule="auto" w:before="0" w:after="0"/>
        <w:ind w:firstLine="709"/>
        <w:jc w:val="both"/>
      </w:pPr>
      <w:r>
        <w:rPr>
          <w:rFonts w:ascii="Times New Roman" w:hAnsi="Times New Roman"/>
          <w:b w:val="0"/>
          <w:i w:val="0"/>
          <w:sz w:val="28"/>
        </w:rPr>
        <w:t>1. В ходе выполнения лабораторной работы были детально освоены базовые средства сетевой диагностики и администрирования операционных систем семейства Windows (IPConfig, Ping, Netstat, Tracert). Изучены механизмы автоматического назначения адресов DHCP, принципы функционирования локального кэша DNS и конечный автомат протокола TCP;</w:t>
      </w:r>
    </w:p>
    <w:p>
      <w:pPr>
        <w:spacing w:line="360" w:lineRule="auto" w:before="0" w:after="0"/>
        <w:ind w:firstLine="709"/>
        <w:jc w:val="both"/>
      </w:pPr>
      <w:r>
        <w:rPr>
          <w:rFonts w:ascii="Times New Roman" w:hAnsi="Times New Roman"/>
          <w:b w:val="0"/>
          <w:i w:val="0"/>
          <w:sz w:val="28"/>
        </w:rPr>
        <w:t>2. Экспериментально подтверждена высокая стабильность физического канала Wi-Fi 6E (потери пакетов 0%, средняя задержка до шлюза 1.2 мс, процент повторных передач TCP менее 0.3%). Анализ таблицы маршрутизации выявил приоритезацию виртуального туннельного адаптера 172.19.0.1 (метрика 0) над физическим интерфейсом (метрика 60);</w:t>
      </w:r>
    </w:p>
    <w:p>
      <w:pPr>
        <w:spacing w:line="360" w:lineRule="auto" w:before="0" w:after="0"/>
        <w:ind w:firstLine="709"/>
        <w:jc w:val="both"/>
      </w:pPr>
      <w:r>
        <w:rPr>
          <w:rFonts w:ascii="Times New Roman" w:hAnsi="Times New Roman"/>
          <w:b w:val="0"/>
          <w:i w:val="0"/>
          <w:sz w:val="28"/>
        </w:rPr>
        <w:t>3. С использованием методологии сканера безопасности Shadow Security Scanner осуществлена инвентаризация открытых портов (TCP 135, 139, 445, 5040, 5357, 10808, 10809; UDP 5353, 5355), сетевых служб и административных ресурсов C$, ADMIN$, IPC$. Обоснованы рекомендации по минимизации рисков перехвата учетных данных (отключение LLMNR/NetBIOS и фильтрация SMB на периметре);</w:t>
      </w:r>
    </w:p>
    <w:p>
      <w:pPr>
        <w:spacing w:line="360" w:lineRule="auto" w:before="0" w:after="0"/>
        <w:ind w:firstLine="709"/>
        <w:jc w:val="both"/>
      </w:pPr>
      <w:r>
        <w:rPr>
          <w:rFonts w:ascii="Times New Roman" w:hAnsi="Times New Roman"/>
          <w:b w:val="0"/>
          <w:i w:val="0"/>
          <w:sz w:val="28"/>
        </w:rPr>
        <w:t>4. Проведена трассировка исходящих маршрутов к 4 континентам. Установлено, что начальный участок маршрутов (шаги 1–3) в пределах РФ совпадает (локальный шлюз -&gt; MSK-IX -&gt; RETN в Москве с RTT &lt; 4 мс). Точка ветвления находится в Москве на стыке с международными Tier-1 провайдерами (Hurricane Electric, Arelion, Telstra). Обнаружены характерные скачки RTT (+138 мс при трансатлантическом переходе в США, +320 мс при переходе в Австралию), обусловленные физической задержкой распространения света в волокне;</w:t>
      </w:r>
    </w:p>
    <w:p>
      <w:pPr>
        <w:spacing w:line="360" w:lineRule="auto" w:before="0" w:after="0"/>
        <w:ind w:firstLine="709"/>
        <w:jc w:val="both"/>
      </w:pPr>
      <w:r>
        <w:rPr>
          <w:rFonts w:ascii="Times New Roman" w:hAnsi="Times New Roman"/>
          <w:b w:val="0"/>
          <w:i w:val="0"/>
          <w:sz w:val="28"/>
        </w:rPr>
        <w:t>5. Встречная трассировка к университетскому серверу УУНиТ (193.233.144.114) из США, Японии, Европы и Австралии доказала наличие фундаментального свойства асимметрии маршрутизации в сети Интернет и выявила единую точку схождения мировых потоков на международном шлюзе Lumen (139.45.247.177) и магистрали Ростелекома (92.50.190.109 -&gt; 81.30.192.242 -&gt; 193.233.144.49);</w:t>
      </w:r>
    </w:p>
    <w:p>
      <w:pPr>
        <w:spacing w:line="360" w:lineRule="auto" w:before="0" w:after="0"/>
        <w:ind w:firstLine="709"/>
        <w:jc w:val="both"/>
      </w:pPr>
      <w:r>
        <w:rPr>
          <w:rFonts w:ascii="Times New Roman" w:hAnsi="Times New Roman"/>
          <w:b w:val="0"/>
          <w:i w:val="0"/>
          <w:sz w:val="28"/>
        </w:rPr>
        <w:t>6. С помощью сервиса GeoTrace построена наглядная мировая карта трассировки с точной географической привязкой узлов коммутации и подтверждена физическая взаимосвязь между географической протяженностью кабельных трасс и задержкой RTT.</w:t>
      </w:r>
    </w:p>
    <w:p>
      <w:pPr>
        <w:spacing w:line="360" w:lineRule="auto" w:before="280" w:after="120"/>
        <w:ind w:firstLine="0"/>
        <w:jc w:val="left"/>
      </w:pPr>
      <w:r>
        <w:rPr>
          <w:rFonts w:ascii="Times New Roman" w:hAnsi="Times New Roman"/>
          <w:b/>
          <w:i w:val="0"/>
          <w:sz w:val="28"/>
        </w:rPr>
        <w:t>Ответы на контрольные вопросы</w:t>
      </w:r>
    </w:p>
    <w:p>
      <w:pPr>
        <w:spacing w:line="360" w:lineRule="auto" w:before="160" w:after="40"/>
        <w:ind w:firstLine="709"/>
        <w:jc w:val="both"/>
      </w:pPr>
      <w:r>
        <w:rPr>
          <w:rFonts w:ascii="Times New Roman" w:hAnsi="Times New Roman"/>
          <w:b/>
          <w:i w:val="0"/>
          <w:sz w:val="28"/>
        </w:rPr>
        <w:t>1. Зачем нужна утилита tracert?</w:t>
      </w:r>
    </w:p>
    <w:p>
      <w:pPr>
        <w:spacing w:line="360" w:lineRule="auto" w:before="0" w:after="120"/>
        <w:ind w:firstLine="709"/>
        <w:jc w:val="both"/>
      </w:pPr>
      <w:r>
        <w:rPr>
          <w:rFonts w:ascii="Times New Roman" w:hAnsi="Times New Roman"/>
          <w:b w:val="0"/>
          <w:i w:val="0"/>
          <w:sz w:val="28"/>
        </w:rPr>
        <w:t>Утилита tracert предназначена для определения маршрута следования пакетов в сетях TCP/IP от источника к адресату. Она выявляет всю цепочку промежуточных маршрутизаторов (hops), измеряет время круговой задержки (RTT) до каждого из них и позволяет локализовать участок сети, на котором возникли сбои доставки, повышенные задержки или потери данных.</w:t>
      </w:r>
    </w:p>
    <w:p>
      <w:pPr>
        <w:spacing w:line="360" w:lineRule="auto" w:before="160" w:after="40"/>
        <w:ind w:firstLine="709"/>
        <w:jc w:val="both"/>
      </w:pPr>
      <w:r>
        <w:rPr>
          <w:rFonts w:ascii="Times New Roman" w:hAnsi="Times New Roman"/>
          <w:b/>
          <w:i w:val="0"/>
          <w:sz w:val="28"/>
        </w:rPr>
        <w:t>2. Какой порт используется для ее работы?</w:t>
      </w:r>
    </w:p>
    <w:p>
      <w:pPr>
        <w:spacing w:line="360" w:lineRule="auto" w:before="0" w:after="120"/>
        <w:ind w:firstLine="709"/>
        <w:jc w:val="both"/>
      </w:pPr>
      <w:r>
        <w:rPr>
          <w:rFonts w:ascii="Times New Roman" w:hAnsi="Times New Roman"/>
          <w:b w:val="0"/>
          <w:i w:val="0"/>
          <w:sz w:val="28"/>
        </w:rPr>
        <w:t>В операционных системах Microsoft Windows утилита tracert не использует транспортные порты TCP или UDP, а работает непосредственно на межсетевом уровне стека с протоколом ICMP (отправляет запросы ICMP Echo-Request, тип 8, и принимает отклики ICMP Time Exceeded, тип 11, код 0, либо ICMP Echo-Reply, тип 0). В операционных системах UNIX/Linux утилита traceroute по умолчанию отправляет дейтаграммы UDP на нестандартные высоконумерные порты в диапазоне от 33434 до 33534 (с инкрементом порта на каждом шаге), ожидая в ответ сообщение ICMP Port Unreachable (тип 3, код 3) от целевого узла.</w:t>
      </w:r>
    </w:p>
    <w:p>
      <w:pPr>
        <w:spacing w:line="360" w:lineRule="auto" w:before="160" w:after="40"/>
        <w:ind w:firstLine="709"/>
        <w:jc w:val="both"/>
      </w:pPr>
      <w:r>
        <w:rPr>
          <w:rFonts w:ascii="Times New Roman" w:hAnsi="Times New Roman"/>
          <w:b/>
          <w:i w:val="0"/>
          <w:sz w:val="28"/>
        </w:rPr>
        <w:t>3. Как формируются базы серверов whois?</w:t>
      </w:r>
    </w:p>
    <w:p>
      <w:pPr>
        <w:spacing w:line="360" w:lineRule="auto" w:before="0" w:after="120"/>
        <w:ind w:firstLine="709"/>
        <w:jc w:val="both"/>
      </w:pPr>
      <w:r>
        <w:rPr>
          <w:rFonts w:ascii="Times New Roman" w:hAnsi="Times New Roman"/>
          <w:b w:val="0"/>
          <w:i w:val="0"/>
          <w:sz w:val="28"/>
        </w:rPr>
        <w:t>Базы данных Whois формируются региональными интернет-регистраторами (RIR: RIPE NCC, ARIN, APNIC, LACNIC, AFRINIC) и аккредитованными регистраторами доменных имен в соответствии с политиками ICANN/IANA. При выделении диапазона IP-адресов, автономной системы (ASN) или регистрации домена оператор связи/владелец вносит в реестр официальную контактную, организационную и техническую информацию. Базы могут быть централизованными (один сервер содержит полный реестр, например для зон .ru, .org) или распределенными (реестр .com, где центральный сервер перенаправляет клиентский запрос на Whois-сервер конкретного регистратора).</w:t>
      </w:r>
    </w:p>
    <w:p>
      <w:pPr>
        <w:spacing w:line="360" w:lineRule="auto" w:before="160" w:after="40"/>
        <w:ind w:firstLine="709"/>
        <w:jc w:val="both"/>
      </w:pPr>
      <w:r>
        <w:rPr>
          <w:rFonts w:ascii="Times New Roman" w:hAnsi="Times New Roman"/>
          <w:b/>
          <w:i w:val="0"/>
          <w:sz w:val="28"/>
        </w:rPr>
        <w:t>4. От чего зависит расположение маршрутизатора на карте GeoTrace?</w:t>
      </w:r>
    </w:p>
    <w:p>
      <w:pPr>
        <w:spacing w:line="360" w:lineRule="auto" w:before="0" w:after="120"/>
        <w:ind w:firstLine="709"/>
        <w:jc w:val="both"/>
      </w:pPr>
      <w:r>
        <w:rPr>
          <w:rFonts w:ascii="Times New Roman" w:hAnsi="Times New Roman"/>
          <w:b w:val="0"/>
          <w:i w:val="0"/>
          <w:sz w:val="28"/>
        </w:rPr>
        <w:t>Расположение маршрутизатора на карте GeoTrace зависит от физической географической локализации центра коммутации / дата-центра, сопоставленной с IP-адресом данного узла в геолокационных базах данных (MaxMind GeoLite2, IP2Location, RIPE DB). Точность координат определяется качеством актуализации геобаз провайдером, наличием записей Geofeed (RFC 8805), анализом названий хостов в обратных зонах DNS (Reverse DNS PTR-записи, часто содержащие коды городов или аэропортов IATA, например spb, msk, fra, lon, sjc) и замерами сетевых задержек RTT.</w:t>
      </w:r>
    </w:p>
    <w:p>
      <w:pPr>
        <w:spacing w:line="360" w:lineRule="auto" w:before="160" w:after="40"/>
        <w:ind w:firstLine="709"/>
        <w:jc w:val="both"/>
      </w:pPr>
      <w:r>
        <w:rPr>
          <w:rFonts w:ascii="Times New Roman" w:hAnsi="Times New Roman"/>
          <w:b/>
          <w:i w:val="0"/>
          <w:sz w:val="28"/>
        </w:rPr>
        <w:t>5. Что означают совпадающие участки сетевых маршрутов?</w:t>
      </w:r>
    </w:p>
    <w:p>
      <w:pPr>
        <w:spacing w:line="360" w:lineRule="auto" w:before="0" w:after="120"/>
        <w:ind w:firstLine="709"/>
        <w:jc w:val="both"/>
      </w:pPr>
      <w:r>
        <w:rPr>
          <w:rFonts w:ascii="Times New Roman" w:hAnsi="Times New Roman"/>
          <w:b w:val="0"/>
          <w:i w:val="0"/>
          <w:sz w:val="28"/>
        </w:rPr>
        <w:t>Совпадающие участки сетевых маршрутов означают, что сетевые пакеты, направляемые к различным целевым адресатам (или отправленные с разных удаленных узлов), на данном отрезке транспортируются через одну и ту же физическую кабельную инфраструктуру, узлы коммутации и магистральные каналы общего интернет-провайдера. Для исходящих трасс это обусловлено топологией подключения локального хоста к шлюзу и магистралям РФ до точки обмена трафиком (ветвление); для входящих — концентрацией трафика на внешнем аплинке и граничном маршрутизаторе принимающей автономной системы (схождение).</w:t>
      </w:r>
    </w:p>
    <w:p>
      <w:pPr>
        <w:spacing w:line="360" w:lineRule="auto" w:before="160" w:after="40"/>
        <w:ind w:firstLine="709"/>
        <w:jc w:val="both"/>
      </w:pPr>
      <w:r>
        <w:rPr>
          <w:rFonts w:ascii="Times New Roman" w:hAnsi="Times New Roman"/>
          <w:b/>
          <w:i w:val="0"/>
          <w:sz w:val="28"/>
        </w:rPr>
        <w:t>6. Зачем нужна утилита IPConfig?</w:t>
      </w:r>
    </w:p>
    <w:p>
      <w:pPr>
        <w:spacing w:line="360" w:lineRule="auto" w:before="0" w:after="120"/>
        <w:ind w:firstLine="709"/>
        <w:jc w:val="both"/>
      </w:pPr>
      <w:r>
        <w:rPr>
          <w:rFonts w:ascii="Times New Roman" w:hAnsi="Times New Roman"/>
          <w:b w:val="0"/>
          <w:i w:val="0"/>
          <w:sz w:val="28"/>
        </w:rPr>
        <w:t>Утилита IPConfig предназначена для отображения текущих параметров сетевой конфигурации интерфейсов (IPv4/IPv6-адреса, маски подсетей, основной шлюз, MAC-адреса, DHCP- и DNS-серверы), а также для оперативного управления клиентскими службами DHCP (освобождение /release и продление /renew аренды адреса) и кэшем службы DNS (очистка кэша /flushdns, просмотр /displaydns, перерегистрация имен /registerdns).</w:t>
      </w:r>
    </w:p>
    <w:p>
      <w:pPr>
        <w:spacing w:line="360" w:lineRule="auto" w:before="160" w:after="40"/>
        <w:ind w:firstLine="709"/>
        <w:jc w:val="both"/>
      </w:pPr>
      <w:r>
        <w:rPr>
          <w:rFonts w:ascii="Times New Roman" w:hAnsi="Times New Roman"/>
          <w:b/>
          <w:i w:val="0"/>
          <w:sz w:val="28"/>
        </w:rPr>
        <w:t>7. Зачем нужна утилита Ping?</w:t>
      </w:r>
    </w:p>
    <w:p>
      <w:pPr>
        <w:spacing w:line="360" w:lineRule="auto" w:before="0" w:after="120"/>
        <w:ind w:firstLine="709"/>
        <w:jc w:val="both"/>
      </w:pPr>
      <w:r>
        <w:rPr>
          <w:rFonts w:ascii="Times New Roman" w:hAnsi="Times New Roman"/>
          <w:b w:val="0"/>
          <w:i w:val="0"/>
          <w:sz w:val="28"/>
        </w:rPr>
        <w:t>Утилита Ping предназначена для диагностики сетевой связности узлов на основе протокола ICMP (Echo-Request / Echo-Reply). Она позволяет быстро установить факт физической и логической доступности хоста, определить время круговой задержки RTT (минимальное, среднее, максимальное), оценить загруженность сетевого канала и зафиксировать процент потерь пакетов при передаче.</w:t>
      </w:r>
    </w:p>
    <w:p>
      <w:pPr>
        <w:spacing w:line="360" w:lineRule="auto" w:before="160" w:after="40"/>
        <w:ind w:firstLine="709"/>
        <w:jc w:val="both"/>
      </w:pPr>
      <w:r>
        <w:rPr>
          <w:rFonts w:ascii="Times New Roman" w:hAnsi="Times New Roman"/>
          <w:b/>
          <w:i w:val="0"/>
          <w:sz w:val="28"/>
        </w:rPr>
        <w:t>8. Зачем нужна утилита NetStat?</w:t>
      </w:r>
    </w:p>
    <w:p>
      <w:pPr>
        <w:spacing w:line="360" w:lineRule="auto" w:before="0" w:after="120"/>
        <w:ind w:firstLine="709"/>
        <w:jc w:val="both"/>
      </w:pPr>
      <w:r>
        <w:rPr>
          <w:rFonts w:ascii="Times New Roman" w:hAnsi="Times New Roman"/>
          <w:b w:val="0"/>
          <w:i w:val="0"/>
          <w:sz w:val="28"/>
        </w:rPr>
        <w:t>Утилита NetStat (Network Statistics) предназначена для отображения содержимого сетевых структур данных операционной системы: вывода списка активных входящих и исходящих подключений TCP/IP, списка слушающих портов (LISTENING), сопоставления портов с идентификаторами процессов (PID) и исполняемыми файлами, анализа таблицы маршрутизации ядра ОС, а также получения детальной статистики по отправленным и полученным пакетам и ошибкам для протоколов Ethernet, IP, ICMP, TCP и UDP.</w:t>
      </w:r>
    </w:p>
    <w:p>
      <w:pPr>
        <w:spacing w:line="360" w:lineRule="auto" w:before="160" w:after="40"/>
        <w:ind w:firstLine="709"/>
        <w:jc w:val="both"/>
      </w:pPr>
      <w:r>
        <w:rPr>
          <w:rFonts w:ascii="Times New Roman" w:hAnsi="Times New Roman"/>
          <w:b/>
          <w:i w:val="0"/>
          <w:sz w:val="28"/>
        </w:rPr>
        <w:t>9. Какие типы уязвимостей можно определить с помощью ПП Shadow Security Scanner?</w:t>
      </w:r>
    </w:p>
    <w:p>
      <w:pPr>
        <w:spacing w:line="360" w:lineRule="auto" w:before="0" w:after="120"/>
        <w:ind w:firstLine="709"/>
        <w:jc w:val="both"/>
      </w:pPr>
      <w:r>
        <w:rPr>
          <w:rFonts w:ascii="Times New Roman" w:hAnsi="Times New Roman"/>
          <w:b w:val="0"/>
          <w:i w:val="0"/>
          <w:sz w:val="28"/>
        </w:rPr>
        <w:t>С помощью ПП Shadow Security Scanner можно выявить: открытые неиспользуемые порты TCP и UDP; наличие устаревших и небезопасных сетевых служб (Telnet, FTP, SMBv1, rlogin); ошибки конфигурации прав доступа к общим сетевым папкам и скрытым ресурсам (C$, ADMIN$, IPC$); слабые, пустые или стандартные пароли учетных записей; раскрытие конфиденциальной системной информации через баннеры служб и протокол NetBIOS; подверженность хоста известным уязвимостям сетевого стека и переполнениям буфера в службах удаленного вызова процедур (MSRPC, DCOM, RPCSS); отсутствие критических обновлений безопасности операционной системы.</w:t>
      </w:r>
    </w:p>
    <w:p>
      <w:pPr>
        <w:spacing w:line="360" w:lineRule="auto" w:before="160" w:after="40"/>
        <w:ind w:firstLine="709"/>
        <w:jc w:val="both"/>
      </w:pPr>
      <w:r>
        <w:rPr>
          <w:rFonts w:ascii="Times New Roman" w:hAnsi="Times New Roman"/>
          <w:b/>
          <w:i w:val="0"/>
          <w:sz w:val="28"/>
        </w:rPr>
        <w:t>10. Происхождение наименования утилиты Ping?</w:t>
      </w:r>
    </w:p>
    <w:p>
      <w:pPr>
        <w:spacing w:line="360" w:lineRule="auto" w:before="0" w:after="120"/>
        <w:ind w:firstLine="709"/>
        <w:jc w:val="both"/>
      </w:pPr>
      <w:r>
        <w:rPr>
          <w:rFonts w:ascii="Times New Roman" w:hAnsi="Times New Roman"/>
          <w:b w:val="0"/>
          <w:i w:val="0"/>
          <w:sz w:val="28"/>
        </w:rPr>
        <w:t>Наименование утилиты Ping происходит от звукоподражания акустическому импульсу морского гидролокатора (сонара), фиксирующему отражение звукового сигнала от подводного объекта. Программа была создана в декабре 1983 года ученым Майком Мууссом (Mike Muuss) из Баллистической исследовательской лаборатории США. Впоследствии авторами сетевых протоколов был предложен популярный бэкроним: Packet InterNet Grouper (или Groper), однако исходная этимология является звукоподражательной.</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